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416070" w:rsidTr="00B909F2">
        <w:trPr>
          <w:trHeight w:val="4063"/>
        </w:trPr>
        <w:tc>
          <w:tcPr>
            <w:tcW w:w="5951" w:type="dxa"/>
            <w:tcBorders>
              <w:bottom w:val="single" w:sz="18" w:space="0" w:color="808080"/>
              <w:right w:val="single" w:sz="18" w:space="0" w:color="808080"/>
            </w:tcBorders>
            <w:vAlign w:val="center"/>
          </w:tcPr>
          <w:p w:rsidR="00023FE7" w:rsidRPr="00416070" w:rsidRDefault="00023FE7" w:rsidP="008753E9">
            <w:pPr>
              <w:pStyle w:val="Title"/>
              <w:ind w:left="849" w:hanging="1382"/>
              <w:rPr>
                <w:b w:val="0"/>
                <w:sz w:val="76"/>
                <w:szCs w:val="76"/>
              </w:rPr>
            </w:pPr>
            <w:bookmarkStart w:id="0" w:name="_Toc336337837"/>
            <w:bookmarkStart w:id="1" w:name="_Toc351212793"/>
            <w:bookmarkStart w:id="2" w:name="_Toc352233913"/>
            <w:bookmarkStart w:id="3" w:name="_GoBack"/>
            <w:bookmarkEnd w:id="3"/>
            <w:r w:rsidRPr="00416070">
              <w:rPr>
                <w:b w:val="0"/>
                <w:sz w:val="76"/>
                <w:szCs w:val="76"/>
              </w:rPr>
              <w:t xml:space="preserve">Lista de </w:t>
            </w:r>
            <w:r w:rsidR="008753E9" w:rsidRPr="00416070">
              <w:rPr>
                <w:b w:val="0"/>
                <w:sz w:val="76"/>
                <w:szCs w:val="76"/>
              </w:rPr>
              <w:br/>
            </w:r>
            <w:r w:rsidRPr="00416070">
              <w:rPr>
                <w:b w:val="0"/>
                <w:sz w:val="76"/>
                <w:szCs w:val="76"/>
              </w:rPr>
              <w:t>Produtos da</w:t>
            </w:r>
            <w:bookmarkEnd w:id="0"/>
            <w:bookmarkEnd w:id="1"/>
            <w:bookmarkEnd w:id="2"/>
          </w:p>
          <w:p w:rsidR="00023FE7" w:rsidRPr="00416070" w:rsidRDefault="00023FE7" w:rsidP="006244BB">
            <w:pPr>
              <w:pStyle w:val="Title"/>
              <w:spacing w:before="0" w:after="0"/>
              <w:ind w:left="1170" w:firstLine="97"/>
              <w:jc w:val="left"/>
              <w:rPr>
                <w:rFonts w:cs="Calibri"/>
                <w:sz w:val="76"/>
                <w:szCs w:val="72"/>
              </w:rPr>
            </w:pPr>
            <w:bookmarkStart w:id="4" w:name="_Toc352233914"/>
            <w:r w:rsidRPr="00416070">
              <w:rPr>
                <w:b w:val="0"/>
                <w:sz w:val="76"/>
                <w:szCs w:val="76"/>
              </w:rPr>
              <w:t>Microsoft</w:t>
            </w:r>
            <w:r w:rsidR="00510A6E" w:rsidRPr="00416070">
              <w:rPr>
                <w:b w:val="0"/>
                <w:sz w:val="76"/>
                <w:szCs w:val="76"/>
                <w:vertAlign w:val="superscript"/>
              </w:rPr>
              <w:t>®</w:t>
            </w:r>
            <w:bookmarkEnd w:id="4"/>
          </w:p>
        </w:tc>
        <w:tc>
          <w:tcPr>
            <w:tcW w:w="4615" w:type="dxa"/>
            <w:tcBorders>
              <w:left w:val="single" w:sz="18" w:space="0" w:color="808080"/>
              <w:bottom w:val="single" w:sz="18" w:space="0" w:color="808080"/>
            </w:tcBorders>
            <w:vAlign w:val="center"/>
          </w:tcPr>
          <w:p w:rsidR="00023FE7" w:rsidRPr="00416070" w:rsidRDefault="00023FE7">
            <w:pPr>
              <w:pStyle w:val="NoSpacing1"/>
              <w:ind w:right="-1797"/>
              <w:rPr>
                <w:sz w:val="72"/>
                <w:szCs w:val="72"/>
              </w:rPr>
            </w:pPr>
          </w:p>
          <w:p w:rsidR="00023FE7" w:rsidRPr="00416070" w:rsidRDefault="00B65F35">
            <w:pPr>
              <w:pStyle w:val="NoSpacing1"/>
              <w:ind w:right="-1797"/>
            </w:pPr>
            <w:r w:rsidRPr="00416070">
              <w:rPr>
                <w:rFonts w:ascii="Tahoma" w:hAnsi="Tahoma" w:cs="Tahoma"/>
                <w:sz w:val="72"/>
                <w:szCs w:val="72"/>
              </w:rPr>
              <w:t xml:space="preserve">1º de </w:t>
            </w:r>
            <w:r w:rsidR="008753E9" w:rsidRPr="00416070">
              <w:rPr>
                <w:rFonts w:ascii="Tahoma" w:hAnsi="Tahoma" w:cs="Tahoma"/>
                <w:sz w:val="72"/>
                <w:szCs w:val="72"/>
              </w:rPr>
              <w:t>A</w:t>
            </w:r>
            <w:r w:rsidRPr="00416070">
              <w:rPr>
                <w:rFonts w:ascii="Tahoma" w:hAnsi="Tahoma" w:cs="Tahoma"/>
                <w:sz w:val="72"/>
                <w:szCs w:val="72"/>
              </w:rPr>
              <w:t>bril de</w:t>
            </w:r>
          </w:p>
          <w:p w:rsidR="00023FE7" w:rsidRPr="00416070" w:rsidRDefault="0077167D" w:rsidP="00A04495">
            <w:pPr>
              <w:pStyle w:val="NoSpacing1"/>
              <w:ind w:rightChars="-103" w:right="-185"/>
              <w:rPr>
                <w:rFonts w:ascii="Tahoma" w:hAnsi="Tahoma" w:cs="Tahoma"/>
                <w:color w:val="4F81BD"/>
                <w:sz w:val="200"/>
                <w:szCs w:val="200"/>
              </w:rPr>
            </w:pPr>
            <w:r w:rsidRPr="00416070">
              <w:rPr>
                <w:rFonts w:ascii="Tahoma" w:hAnsi="Tahoma" w:cs="Tahoma"/>
                <w:color w:val="4F81BD"/>
                <w:sz w:val="180"/>
                <w:szCs w:val="200"/>
              </w:rPr>
              <w:t>2013</w:t>
            </w:r>
          </w:p>
        </w:tc>
      </w:tr>
      <w:tr w:rsidR="00023FE7" w:rsidRPr="00B06414" w:rsidTr="00B909F2">
        <w:trPr>
          <w:trHeight w:val="412"/>
        </w:trPr>
        <w:tc>
          <w:tcPr>
            <w:tcW w:w="5951" w:type="dxa"/>
            <w:tcBorders>
              <w:top w:val="single" w:sz="18" w:space="0" w:color="808080"/>
            </w:tcBorders>
            <w:vAlign w:val="center"/>
          </w:tcPr>
          <w:p w:rsidR="00023FE7" w:rsidRPr="00416070" w:rsidRDefault="00023FE7" w:rsidP="00DD643B">
            <w:pPr>
              <w:pStyle w:val="NoSpacing1"/>
              <w:ind w:leftChars="122" w:left="220" w:firstLine="2"/>
              <w:rPr>
                <w:rFonts w:ascii="Tahoma" w:hAnsi="Tahoma" w:cs="Tahoma"/>
                <w:sz w:val="22"/>
                <w:szCs w:val="22"/>
              </w:rPr>
            </w:pPr>
            <w:r w:rsidRPr="00416070">
              <w:rPr>
                <w:rFonts w:ascii="Tahoma" w:hAnsi="Tahoma" w:cs="Tahoma"/>
                <w:szCs w:val="22"/>
              </w:rPr>
              <w:t>A Lista de Produtos da Microsoft fornece informações mensais sobre o software e os Serviços Online da Microsoft</w:t>
            </w:r>
            <w:r w:rsidR="00DD643B" w:rsidRPr="00416070">
              <w:rPr>
                <w:rFonts w:ascii="Tahoma" w:hAnsi="Tahoma" w:cs="Tahoma"/>
                <w:szCs w:val="22"/>
              </w:rPr>
              <w:t> </w:t>
            </w:r>
            <w:r w:rsidRPr="00416070">
              <w:rPr>
                <w:rFonts w:ascii="Tahoma" w:hAnsi="Tahoma" w:cs="Tahoma"/>
                <w:szCs w:val="22"/>
              </w:rPr>
              <w:t>licenciados nos programas de Licenciamento por</w:t>
            </w:r>
            <w:r w:rsidR="00DD643B" w:rsidRPr="00416070">
              <w:rPr>
                <w:rFonts w:ascii="Tahoma" w:hAnsi="Tahoma" w:cs="Tahoma"/>
                <w:szCs w:val="22"/>
              </w:rPr>
              <w:t> </w:t>
            </w:r>
            <w:r w:rsidRPr="00416070">
              <w:rPr>
                <w:rFonts w:ascii="Tahoma" w:hAnsi="Tahoma" w:cs="Tahoma"/>
                <w:szCs w:val="22"/>
              </w:rPr>
              <w:t>Volume da Microsoft.</w:t>
            </w:r>
          </w:p>
        </w:tc>
        <w:tc>
          <w:tcPr>
            <w:tcW w:w="4615" w:type="dxa"/>
            <w:tcBorders>
              <w:top w:val="single" w:sz="18" w:space="0" w:color="808080"/>
            </w:tcBorders>
            <w:vAlign w:val="center"/>
          </w:tcPr>
          <w:p w:rsidR="00023FE7" w:rsidRPr="00416070" w:rsidRDefault="00023FE7" w:rsidP="00A04495">
            <w:pPr>
              <w:pStyle w:val="NoSpacing1"/>
              <w:ind w:rightChars="-15" w:right="-27"/>
              <w:rPr>
                <w:rFonts w:ascii="Tahoma" w:hAnsi="Tahoma" w:cs="Tahoma"/>
                <w:sz w:val="32"/>
                <w:szCs w:val="32"/>
              </w:rPr>
            </w:pPr>
          </w:p>
        </w:tc>
      </w:tr>
    </w:tbl>
    <w:p w:rsidR="00023FE7" w:rsidRPr="00416070" w:rsidRDefault="00023FE7" w:rsidP="000C2842">
      <w:pPr>
        <w:pStyle w:val="Heading1"/>
        <w:sectPr w:rsidR="00023FE7" w:rsidRPr="00416070"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rsidR="00023FE7" w:rsidRPr="00416070" w:rsidRDefault="00023FE7" w:rsidP="000C2842">
      <w:pPr>
        <w:pStyle w:val="Heading1"/>
      </w:pPr>
      <w:bookmarkStart w:id="5" w:name="_Toc336337838"/>
      <w:bookmarkStart w:id="6" w:name="_Toc352233915"/>
      <w:r w:rsidRPr="00416070">
        <w:lastRenderedPageBreak/>
        <w:t>SOBRE ESTE DOCUMENTO</w:t>
      </w:r>
      <w:bookmarkEnd w:id="5"/>
      <w:bookmarkEnd w:id="6"/>
    </w:p>
    <w:p w:rsidR="00023FE7" w:rsidRPr="002E114F" w:rsidRDefault="00023FE7">
      <w:pPr>
        <w:pStyle w:val="Body"/>
        <w:ind w:right="720"/>
        <w:rPr>
          <w:rFonts w:ascii="Tahoma" w:hAnsi="Tahoma" w:cs="Tahoma"/>
          <w:sz w:val="18"/>
          <w:szCs w:val="18"/>
          <w:lang w:val="pt-BR"/>
        </w:rPr>
      </w:pPr>
    </w:p>
    <w:p w:rsidR="00023FE7" w:rsidRPr="002E114F" w:rsidRDefault="00023FE7">
      <w:pPr>
        <w:pStyle w:val="Body"/>
        <w:ind w:right="720"/>
        <w:rPr>
          <w:rFonts w:ascii="Tahoma" w:hAnsi="Tahoma" w:cs="Tahoma"/>
          <w:sz w:val="18"/>
          <w:szCs w:val="18"/>
          <w:lang w:val="pt-BR"/>
        </w:rPr>
      </w:pPr>
      <w:r w:rsidRPr="002E114F">
        <w:rPr>
          <w:rFonts w:ascii="Tahoma" w:hAnsi="Tahoma" w:cs="Tahoma"/>
          <w:sz w:val="18"/>
          <w:szCs w:val="18"/>
          <w:lang w:val="pt-BR"/>
        </w:rPr>
        <w:t>A Lista de Produtos da Microsoft fornece informações mensais sobre o software e os Serviços Online da Microsoft licenciados nos programas de Licenciamento por Volume da Microsoft. As</w:t>
      </w:r>
      <w:r w:rsidR="00FB5496" w:rsidRPr="002E114F">
        <w:rPr>
          <w:rFonts w:ascii="Tahoma" w:hAnsi="Tahoma" w:cs="Tahoma"/>
          <w:sz w:val="18"/>
          <w:szCs w:val="18"/>
          <w:lang w:val="pt-BR"/>
        </w:rPr>
        <w:t> </w:t>
      </w:r>
      <w:r w:rsidRPr="002E114F">
        <w:rPr>
          <w:rFonts w:ascii="Tahoma" w:hAnsi="Tahoma" w:cs="Tahoma"/>
          <w:sz w:val="18"/>
          <w:szCs w:val="18"/>
          <w:lang w:val="pt-BR"/>
        </w:rPr>
        <w:t>informações descritas na Lista de Produtos da Microsoft incluem:</w:t>
      </w:r>
    </w:p>
    <w:p w:rsidR="00023FE7" w:rsidRPr="002E114F" w:rsidRDefault="00023FE7">
      <w:pPr>
        <w:pStyle w:val="Body"/>
        <w:ind w:right="720"/>
        <w:rPr>
          <w:rFonts w:ascii="Tahoma" w:hAnsi="Tahoma" w:cs="Tahoma"/>
          <w:sz w:val="18"/>
          <w:szCs w:val="18"/>
          <w:lang w:val="pt-BR"/>
        </w:rPr>
      </w:pPr>
    </w:p>
    <w:p w:rsidR="00023FE7" w:rsidRPr="002E114F" w:rsidRDefault="00023FE7">
      <w:pPr>
        <w:pStyle w:val="BulletedList"/>
        <w:ind w:right="720"/>
        <w:rPr>
          <w:rFonts w:ascii="Tahoma" w:hAnsi="Tahoma" w:cs="Tahoma"/>
          <w:sz w:val="18"/>
          <w:szCs w:val="18"/>
          <w:lang w:val="pt-BR"/>
        </w:rPr>
      </w:pPr>
      <w:r w:rsidRPr="002E114F">
        <w:rPr>
          <w:rFonts w:ascii="Tahoma" w:hAnsi="Tahoma" w:cs="Tahoma"/>
          <w:sz w:val="18"/>
          <w:szCs w:val="18"/>
          <w:lang w:val="pt-BR"/>
        </w:rPr>
        <w:t>Disponibilidade de novos aplicativos de software e produtos oferecidos por meio do Licenciamento por Volume da Microsoft</w:t>
      </w:r>
    </w:p>
    <w:p w:rsidR="00023FE7" w:rsidRPr="002E114F" w:rsidRDefault="00023FE7" w:rsidP="00024C3C">
      <w:pPr>
        <w:pStyle w:val="BulletedList"/>
        <w:numPr>
          <w:ilvl w:val="0"/>
          <w:numId w:val="16"/>
        </w:numPr>
        <w:ind w:right="720"/>
        <w:rPr>
          <w:rFonts w:ascii="Tahoma" w:hAnsi="Tahoma" w:cs="Tahoma"/>
          <w:sz w:val="18"/>
          <w:szCs w:val="18"/>
          <w:lang w:val="pt-BR"/>
        </w:rPr>
      </w:pPr>
      <w:r w:rsidRPr="002E114F">
        <w:rPr>
          <w:rFonts w:ascii="Tahoma" w:hAnsi="Tahoma" w:cs="Tahoma"/>
          <w:sz w:val="18"/>
          <w:szCs w:val="18"/>
          <w:lang w:val="pt-BR"/>
        </w:rPr>
        <w:t>Descontinuação da disponibilidade de novos aplicativos de software e produtos oferecidos por meio do Licenciamento por Volume da Microsoft</w:t>
      </w:r>
    </w:p>
    <w:p w:rsidR="00023FE7" w:rsidRPr="002E114F" w:rsidRDefault="00023FE7" w:rsidP="00024C3C">
      <w:pPr>
        <w:pStyle w:val="BulletedList"/>
        <w:numPr>
          <w:ilvl w:val="0"/>
          <w:numId w:val="16"/>
        </w:numPr>
        <w:ind w:right="720"/>
        <w:rPr>
          <w:rFonts w:ascii="Tahoma" w:hAnsi="Tahoma" w:cs="Tahoma"/>
          <w:sz w:val="18"/>
          <w:szCs w:val="18"/>
          <w:lang w:val="pt-BR"/>
        </w:rPr>
      </w:pPr>
      <w:r w:rsidRPr="002E114F">
        <w:rPr>
          <w:rFonts w:ascii="Tahoma" w:hAnsi="Tahoma" w:cs="Tahoma"/>
          <w:sz w:val="18"/>
          <w:szCs w:val="18"/>
          <w:lang w:val="pt-BR"/>
        </w:rPr>
        <w:t xml:space="preserve">Designação de software e produtos referente ao pool de produtos do Licenciamento por Volume da Microsoft </w:t>
      </w:r>
    </w:p>
    <w:p w:rsidR="00023FE7" w:rsidRPr="002E114F" w:rsidRDefault="00023FE7" w:rsidP="00024C3C">
      <w:pPr>
        <w:pStyle w:val="BulletedList"/>
        <w:numPr>
          <w:ilvl w:val="0"/>
          <w:numId w:val="16"/>
        </w:numPr>
        <w:ind w:right="720"/>
        <w:rPr>
          <w:rFonts w:ascii="Tahoma" w:hAnsi="Tahoma" w:cs="Tahoma"/>
          <w:sz w:val="18"/>
          <w:szCs w:val="18"/>
          <w:lang w:val="pt-BR"/>
        </w:rPr>
      </w:pPr>
      <w:r w:rsidRPr="002E114F">
        <w:rPr>
          <w:rFonts w:ascii="Tahoma" w:hAnsi="Tahoma" w:cs="Tahoma"/>
          <w:sz w:val="18"/>
          <w:szCs w:val="18"/>
          <w:lang w:val="pt-BR"/>
        </w:rPr>
        <w:t>O valor em pontos de cada tecnologia de software e produto</w:t>
      </w:r>
    </w:p>
    <w:p w:rsidR="00023FE7" w:rsidRPr="0020462C" w:rsidRDefault="00023FE7" w:rsidP="00024C3C">
      <w:pPr>
        <w:pStyle w:val="BulletedList"/>
        <w:numPr>
          <w:ilvl w:val="0"/>
          <w:numId w:val="16"/>
        </w:numPr>
        <w:ind w:right="720"/>
        <w:rPr>
          <w:rFonts w:ascii="Tahoma" w:hAnsi="Tahoma" w:cs="Tahoma"/>
          <w:sz w:val="18"/>
          <w:szCs w:val="18"/>
        </w:rPr>
      </w:pPr>
      <w:r w:rsidRPr="0020462C">
        <w:rPr>
          <w:rFonts w:ascii="Tahoma" w:hAnsi="Tahoma" w:cs="Tahoma"/>
          <w:sz w:val="18"/>
          <w:szCs w:val="18"/>
        </w:rPr>
        <w:t>Promoções disponíveis</w:t>
      </w:r>
    </w:p>
    <w:p w:rsidR="00023FE7" w:rsidRPr="002E114F" w:rsidRDefault="006A16CA" w:rsidP="006A16CA">
      <w:pPr>
        <w:pStyle w:val="BulletedList"/>
        <w:numPr>
          <w:ilvl w:val="0"/>
          <w:numId w:val="16"/>
        </w:numPr>
        <w:ind w:right="720"/>
        <w:rPr>
          <w:rFonts w:ascii="Tahoma" w:hAnsi="Tahoma" w:cs="Tahoma"/>
          <w:sz w:val="18"/>
          <w:szCs w:val="18"/>
          <w:lang w:val="pt-BR"/>
        </w:rPr>
      </w:pPr>
      <w:r w:rsidRPr="006A16CA">
        <w:rPr>
          <w:rFonts w:ascii="Tahoma" w:hAnsi="Tahoma" w:cs="Tahoma"/>
          <w:sz w:val="18"/>
          <w:szCs w:val="18"/>
          <w:lang w:val="pt-BR"/>
        </w:rPr>
        <w:t>Caminhos de migração de uma versão de software para outra versão do mesmo software</w:t>
      </w:r>
    </w:p>
    <w:p w:rsidR="00023FE7" w:rsidRPr="002E114F" w:rsidRDefault="00023FE7" w:rsidP="00024C3C">
      <w:pPr>
        <w:pStyle w:val="BulletedList"/>
        <w:numPr>
          <w:ilvl w:val="0"/>
          <w:numId w:val="16"/>
        </w:numPr>
        <w:ind w:right="720"/>
        <w:rPr>
          <w:rFonts w:ascii="Tahoma" w:hAnsi="Tahoma" w:cs="Tahoma"/>
          <w:sz w:val="18"/>
          <w:szCs w:val="18"/>
          <w:lang w:val="pt-BR"/>
        </w:rPr>
      </w:pPr>
      <w:r w:rsidRPr="002E114F">
        <w:rPr>
          <w:rFonts w:ascii="Tahoma" w:hAnsi="Tahoma" w:cs="Tahoma"/>
          <w:sz w:val="18"/>
          <w:szCs w:val="18"/>
          <w:lang w:val="pt-BR"/>
        </w:rPr>
        <w:t>Caminhos de migração de software descontinuado para novas versões de software</w:t>
      </w:r>
    </w:p>
    <w:p w:rsidR="00023FE7" w:rsidRPr="0020462C" w:rsidRDefault="00023FE7" w:rsidP="00024C3C">
      <w:pPr>
        <w:pStyle w:val="BulletedList"/>
        <w:numPr>
          <w:ilvl w:val="0"/>
          <w:numId w:val="16"/>
        </w:numPr>
        <w:ind w:right="720"/>
        <w:rPr>
          <w:rFonts w:ascii="Tahoma" w:hAnsi="Tahoma" w:cs="Tahoma"/>
          <w:sz w:val="18"/>
          <w:szCs w:val="18"/>
        </w:rPr>
      </w:pPr>
      <w:r w:rsidRPr="0020462C">
        <w:rPr>
          <w:rFonts w:ascii="Tahoma" w:hAnsi="Tahoma" w:cs="Tahoma"/>
          <w:sz w:val="18"/>
          <w:szCs w:val="18"/>
        </w:rPr>
        <w:t>Benefícios do Software Assurance</w:t>
      </w:r>
    </w:p>
    <w:p w:rsidR="00023FE7" w:rsidRPr="002E114F" w:rsidRDefault="00023FE7" w:rsidP="00024C3C">
      <w:pPr>
        <w:pStyle w:val="BulletedList"/>
        <w:numPr>
          <w:ilvl w:val="0"/>
          <w:numId w:val="16"/>
        </w:numPr>
        <w:ind w:right="720"/>
        <w:rPr>
          <w:rFonts w:ascii="Tahoma" w:hAnsi="Tahoma" w:cs="Tahoma"/>
          <w:sz w:val="18"/>
          <w:szCs w:val="18"/>
          <w:lang w:val="pt-BR"/>
        </w:rPr>
      </w:pPr>
      <w:r w:rsidRPr="002E114F">
        <w:rPr>
          <w:rFonts w:ascii="Tahoma" w:hAnsi="Tahoma" w:cs="Tahoma"/>
          <w:sz w:val="18"/>
          <w:szCs w:val="18"/>
          <w:lang w:val="pt-BR"/>
        </w:rPr>
        <w:t>Outras Notas e informações específicas a software e produtos determinados</w:t>
      </w:r>
    </w:p>
    <w:p w:rsidR="00023FE7" w:rsidRPr="002E114F" w:rsidRDefault="00023FE7">
      <w:pPr>
        <w:ind w:right="720"/>
        <w:rPr>
          <w:lang w:val="pt-BR"/>
        </w:rPr>
      </w:pPr>
    </w:p>
    <w:p w:rsidR="00023FE7" w:rsidRPr="002E114F" w:rsidRDefault="00023FE7">
      <w:pPr>
        <w:ind w:right="720"/>
        <w:rPr>
          <w:lang w:val="pt-BR"/>
        </w:rPr>
      </w:pPr>
    </w:p>
    <w:p w:rsidR="00023FE7" w:rsidRPr="00416070" w:rsidRDefault="00023FE7" w:rsidP="000C2842">
      <w:pPr>
        <w:pStyle w:val="Heading1"/>
      </w:pPr>
      <w:bookmarkStart w:id="7" w:name="_Toc336337839"/>
      <w:bookmarkStart w:id="8" w:name="_Toc352233916"/>
      <w:r w:rsidRPr="00416070">
        <w:t>como usar a lista de Produtos da</w:t>
      </w:r>
      <w:r w:rsidR="00BA672B" w:rsidRPr="002E114F">
        <w:rPr>
          <w:lang w:val="pt-BR"/>
        </w:rPr>
        <w:t> </w:t>
      </w:r>
      <w:r w:rsidRPr="00416070">
        <w:t>Microsoft</w:t>
      </w:r>
      <w:bookmarkEnd w:id="7"/>
      <w:bookmarkEnd w:id="8"/>
    </w:p>
    <w:p w:rsidR="00023FE7" w:rsidRPr="002E114F" w:rsidRDefault="00023FE7">
      <w:pPr>
        <w:pStyle w:val="Body"/>
        <w:ind w:right="-1890"/>
        <w:rPr>
          <w:rFonts w:ascii="Tahoma" w:hAnsi="Tahoma" w:cs="Tahoma"/>
          <w:lang w:val="pt-BR"/>
        </w:rPr>
      </w:pPr>
    </w:p>
    <w:p w:rsidR="00023FE7" w:rsidRPr="002E114F" w:rsidRDefault="00023FE7">
      <w:pPr>
        <w:pStyle w:val="Body"/>
        <w:ind w:right="-1890"/>
        <w:rPr>
          <w:rFonts w:ascii="Tahoma" w:hAnsi="Tahoma" w:cs="Tahoma"/>
          <w:lang w:val="pt-BR"/>
        </w:rPr>
      </w:pPr>
      <w:r w:rsidRPr="002E114F">
        <w:rPr>
          <w:rFonts w:ascii="Tahoma" w:hAnsi="Tahoma" w:cs="Tahoma"/>
          <w:b/>
          <w:lang w:val="pt-BR"/>
        </w:rPr>
        <w:t xml:space="preserve">Procure se familiarizar com a Legenda da Tabela que se segue às etapas </w:t>
      </w:r>
      <w:r w:rsidR="006353A7" w:rsidRPr="002E114F">
        <w:rPr>
          <w:rFonts w:ascii="Tahoma" w:hAnsi="Tahoma" w:cs="Tahoma"/>
          <w:b/>
          <w:lang w:val="pt-BR"/>
        </w:rPr>
        <w:br/>
      </w:r>
      <w:r w:rsidRPr="002E114F">
        <w:rPr>
          <w:rFonts w:ascii="Tahoma" w:hAnsi="Tahoma" w:cs="Tahoma"/>
          <w:b/>
          <w:lang w:val="pt-BR"/>
        </w:rPr>
        <w:t>indicadas abaixo.</w:t>
      </w:r>
    </w:p>
    <w:p w:rsidR="00023FE7" w:rsidRPr="002E114F" w:rsidRDefault="00023FE7">
      <w:pPr>
        <w:pStyle w:val="Body"/>
        <w:ind w:right="-1890"/>
        <w:rPr>
          <w:rFonts w:ascii="Tahoma" w:hAnsi="Tahoma" w:cs="Tahoma"/>
          <w:lang w:val="pt-BR"/>
        </w:rPr>
      </w:pPr>
    </w:p>
    <w:p w:rsidR="00023FE7" w:rsidRPr="002E114F" w:rsidRDefault="00023FE7">
      <w:pPr>
        <w:pStyle w:val="Body"/>
        <w:ind w:right="-1890"/>
        <w:rPr>
          <w:rFonts w:ascii="Tahoma" w:hAnsi="Tahoma" w:cs="Tahoma"/>
          <w:sz w:val="18"/>
          <w:szCs w:val="18"/>
          <w:lang w:val="pt-BR"/>
        </w:rPr>
      </w:pPr>
      <w:r w:rsidRPr="002E114F">
        <w:rPr>
          <w:rStyle w:val="BodyChar"/>
          <w:rFonts w:ascii="Tahoma" w:hAnsi="Tahoma" w:cs="Tahoma"/>
          <w:b/>
          <w:sz w:val="18"/>
          <w:szCs w:val="18"/>
          <w:lang w:val="pt-BR"/>
        </w:rPr>
        <w:t>Etapa 1:</w:t>
      </w:r>
      <w:r w:rsidR="00FB5496" w:rsidRPr="002E114F">
        <w:rPr>
          <w:rStyle w:val="BodyChar"/>
          <w:rFonts w:ascii="Tahoma" w:hAnsi="Tahoma" w:cs="Tahoma"/>
          <w:b/>
          <w:sz w:val="18"/>
          <w:szCs w:val="18"/>
          <w:lang w:val="pt-BR"/>
        </w:rPr>
        <w:t xml:space="preserve"> </w:t>
      </w:r>
      <w:r w:rsidRPr="002E114F">
        <w:rPr>
          <w:rFonts w:ascii="Tahoma" w:hAnsi="Tahoma" w:cs="Tahoma"/>
          <w:sz w:val="18"/>
          <w:szCs w:val="18"/>
          <w:lang w:val="pt-BR"/>
        </w:rPr>
        <w:t>Encontre na tabela o software qu</w:t>
      </w:r>
      <w:r w:rsidR="0020462C" w:rsidRPr="002E114F">
        <w:rPr>
          <w:rFonts w:ascii="Tahoma" w:hAnsi="Tahoma" w:cs="Tahoma"/>
          <w:sz w:val="18"/>
          <w:szCs w:val="18"/>
          <w:lang w:val="pt-BR"/>
        </w:rPr>
        <w:t>e você está cogitando adquirir.</w:t>
      </w:r>
    </w:p>
    <w:p w:rsidR="00023FE7" w:rsidRPr="002E114F" w:rsidRDefault="00023FE7">
      <w:pPr>
        <w:pStyle w:val="Body"/>
        <w:ind w:right="-1890"/>
        <w:rPr>
          <w:rFonts w:ascii="Tahoma" w:hAnsi="Tahoma" w:cs="Tahoma"/>
          <w:sz w:val="18"/>
          <w:szCs w:val="18"/>
          <w:lang w:val="pt-BR"/>
        </w:rPr>
      </w:pPr>
    </w:p>
    <w:p w:rsidR="00023FE7" w:rsidRPr="00416070" w:rsidRDefault="00AD0B1C" w:rsidP="0013361B">
      <w:pPr>
        <w:pStyle w:val="NumberedSteps"/>
        <w:ind w:left="-180" w:right="720"/>
      </w:pPr>
      <w:r>
        <w:rPr>
          <w:noProof/>
        </w:rPr>
        <w:drawing>
          <wp:inline distT="0" distB="0" distL="0" distR="0" wp14:anchorId="143D6443" wp14:editId="123C1A96">
            <wp:extent cx="5934456" cy="2682464"/>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7257" t="22575" r="15263" b="39297"/>
                    <a:stretch/>
                  </pic:blipFill>
                  <pic:spPr bwMode="auto">
                    <a:xfrm>
                      <a:off x="0" y="0"/>
                      <a:ext cx="5934456" cy="268246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20462C" w:rsidRDefault="00023FE7">
      <w:pPr>
        <w:pStyle w:val="NumberedSteps"/>
        <w:ind w:right="720"/>
        <w:rPr>
          <w:rFonts w:ascii="Tahoma" w:hAnsi="Tahoma" w:cs="Tahoma"/>
          <w:sz w:val="18"/>
          <w:szCs w:val="18"/>
        </w:rPr>
      </w:pPr>
    </w:p>
    <w:p w:rsidR="00023FE7" w:rsidRPr="002E114F" w:rsidRDefault="00023FE7">
      <w:pPr>
        <w:pStyle w:val="NumberedSteps"/>
        <w:ind w:right="720"/>
        <w:rPr>
          <w:rFonts w:ascii="Tahoma" w:hAnsi="Tahoma" w:cs="Tahoma"/>
          <w:sz w:val="18"/>
          <w:szCs w:val="18"/>
          <w:lang w:val="pt-BR"/>
        </w:rPr>
      </w:pPr>
      <w:r w:rsidRPr="002E114F">
        <w:rPr>
          <w:rStyle w:val="BodyChar"/>
          <w:rFonts w:ascii="Tahoma" w:hAnsi="Tahoma" w:cs="Tahoma"/>
          <w:b/>
          <w:sz w:val="18"/>
          <w:szCs w:val="18"/>
          <w:lang w:val="pt-BR"/>
        </w:rPr>
        <w:t>Etapa 2:</w:t>
      </w:r>
      <w:r w:rsidR="00FB5496" w:rsidRPr="002E114F">
        <w:rPr>
          <w:rFonts w:ascii="Tahoma" w:hAnsi="Tahoma" w:cs="Tahoma"/>
          <w:sz w:val="18"/>
          <w:szCs w:val="18"/>
          <w:lang w:val="pt-BR"/>
        </w:rPr>
        <w:t xml:space="preserve"> </w:t>
      </w:r>
      <w:r w:rsidRPr="002E114F">
        <w:rPr>
          <w:rFonts w:ascii="Tahoma" w:hAnsi="Tahoma" w:cs="Tahoma"/>
          <w:sz w:val="18"/>
          <w:szCs w:val="18"/>
          <w:lang w:val="pt-BR"/>
        </w:rPr>
        <w:t>analise se as informações nas colunas relacionadas a promoções disponíveis, benefícios do Software Assurance, contagem de pontos, disponibilidade de programas etc.</w:t>
      </w:r>
    </w:p>
    <w:p w:rsidR="00023FE7" w:rsidRPr="002E114F" w:rsidRDefault="00023FE7" w:rsidP="00AD0B1C">
      <w:pPr>
        <w:pStyle w:val="NumberedSteps"/>
        <w:spacing w:before="120" w:after="120"/>
        <w:ind w:right="720"/>
        <w:rPr>
          <w:rFonts w:ascii="Tahoma" w:hAnsi="Tahoma" w:cs="Tahoma"/>
          <w:sz w:val="18"/>
          <w:szCs w:val="18"/>
          <w:lang w:val="pt-BR"/>
        </w:rPr>
      </w:pPr>
      <w:r w:rsidRPr="002E114F">
        <w:rPr>
          <w:rStyle w:val="BodyChar"/>
          <w:rFonts w:ascii="Tahoma" w:hAnsi="Tahoma" w:cs="Tahoma"/>
          <w:b/>
          <w:sz w:val="18"/>
          <w:szCs w:val="18"/>
          <w:lang w:val="pt-BR"/>
        </w:rPr>
        <w:lastRenderedPageBreak/>
        <w:t>Etapa 3:</w:t>
      </w:r>
      <w:r w:rsidR="00FB5496" w:rsidRPr="002E114F">
        <w:rPr>
          <w:rFonts w:ascii="Tahoma" w:hAnsi="Tahoma" w:cs="Tahoma"/>
          <w:sz w:val="18"/>
          <w:szCs w:val="18"/>
          <w:lang w:val="pt-BR"/>
        </w:rPr>
        <w:t xml:space="preserve"> </w:t>
      </w:r>
      <w:r w:rsidRPr="002E114F">
        <w:rPr>
          <w:rFonts w:ascii="Tahoma" w:hAnsi="Tahoma" w:cs="Tahoma"/>
          <w:sz w:val="18"/>
          <w:szCs w:val="18"/>
          <w:lang w:val="pt-BR"/>
        </w:rPr>
        <w:t>em alguns itens de software, também haverá uma nota de rodapé referente a informações adicionais. Se aplicável, “clique” (Ctrl + clique) no número da nota de rodapé, que o</w:t>
      </w:r>
      <w:r w:rsidR="006353A7" w:rsidRPr="002E114F">
        <w:rPr>
          <w:rFonts w:ascii="Tahoma" w:hAnsi="Tahoma" w:cs="Tahoma"/>
          <w:sz w:val="18"/>
          <w:szCs w:val="18"/>
          <w:lang w:val="pt-BR"/>
        </w:rPr>
        <w:t> </w:t>
      </w:r>
      <w:r w:rsidRPr="002E114F">
        <w:rPr>
          <w:rFonts w:ascii="Tahoma" w:hAnsi="Tahoma" w:cs="Tahoma"/>
          <w:sz w:val="18"/>
          <w:szCs w:val="18"/>
          <w:lang w:val="pt-BR"/>
        </w:rPr>
        <w:t>levará diretamente até o texto aplicável; ou consulte a nota de rodapé identificada nas páginas que se seguem à tabela para ver essas informações adicionais. Estas incluem detalhes a respeito de ofertas de migração ou critérios de qualificação, conforme ilustrado no exemplo abaixo.</w:t>
      </w:r>
    </w:p>
    <w:p w:rsidR="000E5145" w:rsidRPr="002E114F" w:rsidRDefault="000E5145" w:rsidP="00AD0B1C">
      <w:pPr>
        <w:pStyle w:val="NumberedSteps"/>
        <w:spacing w:before="120" w:after="120"/>
        <w:ind w:right="720"/>
        <w:rPr>
          <w:rFonts w:ascii="Tahoma" w:hAnsi="Tahoma" w:cs="Tahoma"/>
          <w:sz w:val="18"/>
          <w:szCs w:val="18"/>
          <w:lang w:val="pt-BR"/>
        </w:rPr>
      </w:pPr>
    </w:p>
    <w:p w:rsidR="00023FE7" w:rsidRPr="00416070" w:rsidRDefault="00FD4C4F">
      <w:pPr>
        <w:pStyle w:val="NumberedSteps"/>
        <w:tabs>
          <w:tab w:val="left" w:pos="9360"/>
        </w:tabs>
        <w:ind w:right="720"/>
      </w:pPr>
      <w:r>
        <w:rPr>
          <w:noProof/>
        </w:rPr>
        <w:drawing>
          <wp:inline distT="0" distB="0" distL="0" distR="0" wp14:anchorId="3C761DC0" wp14:editId="1A60284B">
            <wp:extent cx="2575876" cy="3193443"/>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7257" t="22693" r="58107" b="39131"/>
                    <a:stretch/>
                  </pic:blipFill>
                  <pic:spPr bwMode="auto">
                    <a:xfrm>
                      <a:off x="0" y="0"/>
                      <a:ext cx="2578608" cy="3196830"/>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20462C" w:rsidRDefault="0013361B" w:rsidP="00AD0B1C">
      <w:pPr>
        <w:pStyle w:val="NumberedSteps"/>
        <w:tabs>
          <w:tab w:val="left" w:pos="9360"/>
        </w:tabs>
        <w:spacing w:before="120" w:after="120"/>
        <w:ind w:right="720"/>
        <w:rPr>
          <w:rFonts w:ascii="Tahoma" w:hAnsi="Tahoma" w:cs="Tahoma"/>
          <w:sz w:val="18"/>
          <w:szCs w:val="18"/>
        </w:rPr>
      </w:pPr>
    </w:p>
    <w:p w:rsidR="00023FE7" w:rsidRPr="00416070" w:rsidRDefault="00AD0B1C" w:rsidP="00AD0B1C">
      <w:pPr>
        <w:pStyle w:val="NumberedSteps"/>
        <w:spacing w:before="120" w:after="120"/>
        <w:ind w:right="720"/>
      </w:pPr>
      <w:r w:rsidRPr="00AD0B1C">
        <w:rPr>
          <w:noProof/>
          <w:bdr w:val="single" w:sz="4" w:space="0" w:color="auto"/>
        </w:rPr>
        <w:drawing>
          <wp:inline distT="0" distB="0" distL="0" distR="0" wp14:anchorId="5E57489B" wp14:editId="55895732">
            <wp:extent cx="4818888" cy="1069586"/>
            <wp:effectExtent l="0" t="0" r="127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0870" t="21572" r="23077" b="62876"/>
                    <a:stretch/>
                  </pic:blipFill>
                  <pic:spPr bwMode="auto">
                    <a:xfrm>
                      <a:off x="0" y="0"/>
                      <a:ext cx="4818888" cy="1069586"/>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20462C" w:rsidRDefault="0013361B" w:rsidP="00AD0B1C">
      <w:pPr>
        <w:pStyle w:val="NumberedSteps"/>
        <w:spacing w:before="120" w:after="120"/>
        <w:ind w:right="720"/>
        <w:rPr>
          <w:rFonts w:ascii="Tahoma" w:hAnsi="Tahoma" w:cs="Tahoma"/>
          <w:sz w:val="18"/>
          <w:szCs w:val="18"/>
        </w:rPr>
      </w:pPr>
    </w:p>
    <w:p w:rsidR="00023FE7" w:rsidRPr="002E114F" w:rsidRDefault="00023FE7">
      <w:pPr>
        <w:pStyle w:val="NumberedSteps"/>
        <w:ind w:right="720"/>
        <w:rPr>
          <w:rFonts w:ascii="Tahoma" w:hAnsi="Tahoma" w:cs="Tahoma"/>
          <w:sz w:val="18"/>
          <w:szCs w:val="18"/>
          <w:lang w:val="pt-BR"/>
        </w:rPr>
      </w:pPr>
      <w:r w:rsidRPr="002E114F">
        <w:rPr>
          <w:rStyle w:val="BodyChar"/>
          <w:rFonts w:ascii="Tahoma" w:hAnsi="Tahoma" w:cs="Tahoma"/>
          <w:b/>
          <w:sz w:val="18"/>
          <w:szCs w:val="18"/>
          <w:lang w:val="pt-BR"/>
        </w:rPr>
        <w:t>Etapa 4:</w:t>
      </w:r>
      <w:r w:rsidR="00FB5496" w:rsidRPr="002E114F">
        <w:rPr>
          <w:rStyle w:val="BodyChar"/>
          <w:rFonts w:ascii="Tahoma" w:hAnsi="Tahoma" w:cs="Tahoma"/>
          <w:b/>
          <w:sz w:val="18"/>
          <w:szCs w:val="18"/>
          <w:lang w:val="pt-BR"/>
        </w:rPr>
        <w:t xml:space="preserve"> </w:t>
      </w:r>
      <w:r w:rsidRPr="002E114F">
        <w:rPr>
          <w:rFonts w:ascii="Tahoma" w:hAnsi="Tahoma" w:cs="Tahoma"/>
          <w:sz w:val="18"/>
          <w:szCs w:val="18"/>
          <w:lang w:val="pt-BR"/>
        </w:rPr>
        <w:t>Para obter mais informações sobre os benefícios do Software Assurance e a aquisição e</w:t>
      </w:r>
      <w:r w:rsidR="00BA0591" w:rsidRPr="002E114F">
        <w:rPr>
          <w:rFonts w:ascii="Tahoma" w:hAnsi="Tahoma" w:cs="Tahoma"/>
          <w:sz w:val="18"/>
          <w:szCs w:val="18"/>
          <w:lang w:val="pt-BR"/>
        </w:rPr>
        <w:t> </w:t>
      </w:r>
      <w:r w:rsidRPr="002E114F">
        <w:rPr>
          <w:rFonts w:ascii="Tahoma" w:hAnsi="Tahoma" w:cs="Tahoma"/>
          <w:sz w:val="18"/>
          <w:szCs w:val="18"/>
          <w:lang w:val="pt-BR"/>
        </w:rPr>
        <w:t>renovação do Software Assurance, consulte os Apêndices 5 e 6.</w:t>
      </w:r>
    </w:p>
    <w:p w:rsidR="00023FE7" w:rsidRPr="002E114F" w:rsidRDefault="00023FE7" w:rsidP="00B26A63">
      <w:pPr>
        <w:pStyle w:val="Body"/>
        <w:ind w:right="720"/>
        <w:rPr>
          <w:rFonts w:ascii="Tahoma" w:hAnsi="Tahoma" w:cs="Tahoma"/>
          <w:sz w:val="18"/>
          <w:szCs w:val="18"/>
          <w:lang w:val="pt-BR"/>
        </w:rPr>
      </w:pPr>
      <w:r w:rsidRPr="002E114F">
        <w:rPr>
          <w:rFonts w:ascii="Tahoma" w:hAnsi="Tahoma" w:cs="Tahoma"/>
          <w:b/>
          <w:sz w:val="18"/>
          <w:szCs w:val="18"/>
          <w:lang w:val="pt-BR"/>
        </w:rPr>
        <w:t>Observação:</w:t>
      </w:r>
      <w:r w:rsidR="00FB5496" w:rsidRPr="002E114F">
        <w:rPr>
          <w:rFonts w:ascii="Tahoma" w:hAnsi="Tahoma" w:cs="Tahoma"/>
          <w:sz w:val="18"/>
          <w:szCs w:val="18"/>
          <w:lang w:val="pt-BR"/>
        </w:rPr>
        <w:t xml:space="preserve"> </w:t>
      </w:r>
      <w:r w:rsidRPr="002E114F">
        <w:rPr>
          <w:rFonts w:ascii="Tahoma" w:hAnsi="Tahoma" w:cs="Tahoma"/>
          <w:sz w:val="18"/>
          <w:szCs w:val="18"/>
          <w:lang w:val="pt-BR"/>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w:t>
      </w:r>
      <w:r w:rsidR="0020462C" w:rsidRPr="002E114F">
        <w:rPr>
          <w:rFonts w:ascii="Tahoma" w:hAnsi="Tahoma" w:cs="Tahoma"/>
          <w:sz w:val="18"/>
          <w:szCs w:val="18"/>
          <w:lang w:val="pt-BR"/>
        </w:rPr>
        <w:t> </w:t>
      </w:r>
      <w:r w:rsidRPr="002E114F">
        <w:rPr>
          <w:rFonts w:ascii="Tahoma" w:hAnsi="Tahoma" w:cs="Tahoma"/>
          <w:sz w:val="18"/>
          <w:szCs w:val="18"/>
          <w:lang w:val="pt-BR"/>
        </w:rPr>
        <w:t>Microsoft. A disponibilidade dos itens de software pode variar de acordo com a região. Os</w:t>
      </w:r>
      <w:r w:rsidR="0020462C" w:rsidRPr="002E114F">
        <w:rPr>
          <w:rFonts w:ascii="Tahoma" w:hAnsi="Tahoma" w:cs="Tahoma"/>
          <w:sz w:val="18"/>
          <w:szCs w:val="18"/>
          <w:lang w:val="pt-BR"/>
        </w:rPr>
        <w:t> </w:t>
      </w:r>
      <w:r w:rsidR="00BA0591" w:rsidRPr="002E114F">
        <w:rPr>
          <w:rFonts w:ascii="Tahoma" w:hAnsi="Tahoma" w:cs="Tahoma"/>
          <w:sz w:val="18"/>
          <w:szCs w:val="18"/>
          <w:lang w:val="pt-BR"/>
        </w:rPr>
        <w:t>clients </w:t>
      </w:r>
      <w:r w:rsidRPr="002E114F">
        <w:rPr>
          <w:rFonts w:ascii="Tahoma" w:hAnsi="Tahoma" w:cs="Tahoma"/>
          <w:sz w:val="18"/>
          <w:szCs w:val="18"/>
          <w:lang w:val="pt-BR"/>
        </w:rPr>
        <w:t>devem entrar em contato com o revendedor ou o Gerente de Conta Microsoft para</w:t>
      </w:r>
      <w:r w:rsidR="00B26A63" w:rsidRPr="002E114F">
        <w:rPr>
          <w:rFonts w:ascii="Tahoma" w:hAnsi="Tahoma" w:cs="Tahoma"/>
          <w:sz w:val="18"/>
          <w:szCs w:val="18"/>
          <w:lang w:val="pt-BR"/>
        </w:rPr>
        <w:t> </w:t>
      </w:r>
      <w:r w:rsidRPr="002E114F">
        <w:rPr>
          <w:rFonts w:ascii="Tahoma" w:hAnsi="Tahoma" w:cs="Tahoma"/>
          <w:sz w:val="18"/>
          <w:szCs w:val="18"/>
          <w:lang w:val="pt-BR"/>
        </w:rPr>
        <w:t>obter</w:t>
      </w:r>
      <w:r w:rsidR="00BA0591" w:rsidRPr="002E114F">
        <w:rPr>
          <w:rFonts w:ascii="Tahoma" w:hAnsi="Tahoma" w:cs="Tahoma"/>
          <w:sz w:val="18"/>
          <w:szCs w:val="18"/>
          <w:lang w:val="pt-BR"/>
        </w:rPr>
        <w:t> </w:t>
      </w:r>
      <w:r w:rsidRPr="002E114F">
        <w:rPr>
          <w:rFonts w:ascii="Tahoma" w:hAnsi="Tahoma" w:cs="Tahoma"/>
          <w:sz w:val="18"/>
          <w:szCs w:val="18"/>
          <w:lang w:val="pt-BR"/>
        </w:rPr>
        <w:t>informações sobre a disponibilidade regional de um item de software específico.</w:t>
      </w:r>
    </w:p>
    <w:p w:rsidR="00023FE7" w:rsidRPr="002E114F" w:rsidRDefault="00023FE7">
      <w:pPr>
        <w:pStyle w:val="Body"/>
        <w:ind w:right="720"/>
        <w:rPr>
          <w:rFonts w:ascii="Tahoma" w:hAnsi="Tahoma" w:cs="Tahoma"/>
          <w:sz w:val="18"/>
          <w:szCs w:val="18"/>
          <w:lang w:val="pt-BR"/>
        </w:rPr>
      </w:pPr>
    </w:p>
    <w:p w:rsidR="00023FE7" w:rsidRPr="002E114F" w:rsidRDefault="00023FE7">
      <w:pPr>
        <w:pStyle w:val="Body"/>
        <w:ind w:right="720"/>
        <w:rPr>
          <w:rFonts w:ascii="Tahoma" w:hAnsi="Tahoma" w:cs="Tahoma"/>
          <w:sz w:val="18"/>
          <w:szCs w:val="18"/>
          <w:lang w:val="pt-BR"/>
        </w:rPr>
      </w:pPr>
      <w:r w:rsidRPr="002E114F">
        <w:rPr>
          <w:rFonts w:ascii="Tahoma" w:hAnsi="Tahoma" w:cs="Tahoma"/>
          <w:sz w:val="18"/>
          <w:szCs w:val="18"/>
          <w:lang w:val="pt-BR"/>
        </w:rPr>
        <w:t>Convém também analisar o documento de Direitos de Uso de Produto (PUR). O PUR é criado trimestralmente e fornece informações sobre os direitos de uso mais recentes de software da Microsoft segundo os programas de Licenciamento por Volume da Microsoft. Este documento se</w:t>
      </w:r>
      <w:r w:rsidR="00BA0591" w:rsidRPr="002E114F">
        <w:rPr>
          <w:rFonts w:ascii="Tahoma" w:hAnsi="Tahoma" w:cs="Tahoma"/>
          <w:sz w:val="18"/>
          <w:szCs w:val="18"/>
          <w:lang w:val="pt-BR"/>
        </w:rPr>
        <w:t> </w:t>
      </w:r>
      <w:r w:rsidRPr="002E114F">
        <w:rPr>
          <w:rFonts w:ascii="Tahoma" w:hAnsi="Tahoma" w:cs="Tahoma"/>
          <w:sz w:val="18"/>
          <w:szCs w:val="18"/>
          <w:lang w:val="pt-BR"/>
        </w:rPr>
        <w:t>encontra no site:</w:t>
      </w:r>
      <w:r w:rsidR="00FB5496" w:rsidRPr="002E114F">
        <w:rPr>
          <w:rFonts w:ascii="Tahoma" w:hAnsi="Tahoma" w:cs="Tahoma"/>
          <w:sz w:val="18"/>
          <w:szCs w:val="18"/>
          <w:lang w:val="pt-BR"/>
        </w:rPr>
        <w:t xml:space="preserve"> </w:t>
      </w:r>
      <w:r w:rsidRPr="002E114F">
        <w:rPr>
          <w:rFonts w:ascii="Tahoma" w:hAnsi="Tahoma" w:cs="Tahoma"/>
          <w:sz w:val="18"/>
          <w:szCs w:val="18"/>
          <w:lang w:val="pt-BR"/>
        </w:rPr>
        <w:t>http://www.microsoftvolumelicensing.com/userights/Default.aspx</w:t>
      </w:r>
      <w:hyperlink w:history="1"/>
    </w:p>
    <w:p w:rsidR="001C4B96" w:rsidRPr="001C4B96" w:rsidRDefault="00023FE7" w:rsidP="00836D9F">
      <w:pPr>
        <w:pStyle w:val="TOC1"/>
        <w:rPr>
          <w:color w:val="auto"/>
        </w:rPr>
      </w:pPr>
      <w:r w:rsidRPr="002E114F">
        <w:rPr>
          <w:lang w:val="pt-BR"/>
        </w:rPr>
        <w:br w:type="page"/>
      </w:r>
      <w:r w:rsidR="005B0EC7" w:rsidRPr="00416070">
        <w:rPr>
          <w:color w:val="auto"/>
        </w:rPr>
        <w:fldChar w:fldCharType="begin"/>
      </w:r>
      <w:r w:rsidRPr="002E114F">
        <w:rPr>
          <w:color w:val="auto"/>
          <w:lang w:val="pt-BR"/>
        </w:rPr>
        <w:instrText xml:space="preserve"> TOC \o "1-2" \t "Heading 3,3,Heading 4,4,Product Names,2" </w:instrText>
      </w:r>
      <w:r w:rsidR="005B0EC7" w:rsidRPr="00416070">
        <w:rPr>
          <w:color w:val="auto"/>
        </w:rPr>
        <w:fldChar w:fldCharType="separate"/>
      </w:r>
    </w:p>
    <w:p w:rsidR="001C4B96" w:rsidRPr="001C4B96" w:rsidRDefault="001C4B96">
      <w:pPr>
        <w:pStyle w:val="TOC1"/>
        <w:rPr>
          <w:rFonts w:asciiTheme="minorHAnsi" w:eastAsiaTheme="minorEastAsia" w:hAnsiTheme="minorHAnsi" w:cstheme="minorBidi"/>
          <w:b w:val="0"/>
          <w:caps w:val="0"/>
          <w:color w:val="auto"/>
          <w:szCs w:val="22"/>
        </w:rPr>
      </w:pPr>
      <w:r w:rsidRPr="001C4B96">
        <w:rPr>
          <w:b w:val="0"/>
          <w:color w:val="auto"/>
        </w:rPr>
        <w:lastRenderedPageBreak/>
        <w:t>Lista de  Produtos da</w:t>
      </w:r>
      <w:r w:rsidRPr="001C4B96">
        <w:rPr>
          <w:color w:val="auto"/>
        </w:rPr>
        <w:tab/>
      </w:r>
      <w:r w:rsidRPr="001C4B96">
        <w:rPr>
          <w:color w:val="auto"/>
        </w:rPr>
        <w:fldChar w:fldCharType="begin"/>
      </w:r>
      <w:r w:rsidRPr="001C4B96">
        <w:rPr>
          <w:color w:val="auto"/>
        </w:rPr>
        <w:instrText xml:space="preserve"> PAGEREF _Toc352233913 \h </w:instrText>
      </w:r>
      <w:r w:rsidRPr="001C4B96">
        <w:rPr>
          <w:color w:val="auto"/>
        </w:rPr>
      </w:r>
      <w:r w:rsidRPr="001C4B96">
        <w:rPr>
          <w:color w:val="auto"/>
        </w:rPr>
        <w:fldChar w:fldCharType="separate"/>
      </w:r>
      <w:r w:rsidRPr="001C4B96">
        <w:rPr>
          <w:color w:val="auto"/>
        </w:rPr>
        <w:t>1</w:t>
      </w:r>
      <w:r w:rsidRPr="001C4B96">
        <w:rPr>
          <w:color w:val="auto"/>
        </w:rPr>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b w:val="0"/>
          <w:color w:val="auto"/>
        </w:rPr>
        <w:t>Microsoft</w:t>
      </w:r>
      <w:r w:rsidRPr="001C4B96">
        <w:rPr>
          <w:b w:val="0"/>
          <w:color w:val="auto"/>
          <w:vertAlign w:val="superscript"/>
        </w:rPr>
        <w:t>®</w:t>
      </w:r>
      <w:r w:rsidRPr="001C4B96">
        <w:rPr>
          <w:color w:val="auto"/>
        </w:rPr>
        <w:tab/>
      </w:r>
      <w:r w:rsidRPr="001C4B96">
        <w:rPr>
          <w:color w:val="auto"/>
        </w:rPr>
        <w:fldChar w:fldCharType="begin"/>
      </w:r>
      <w:r w:rsidRPr="001C4B96">
        <w:rPr>
          <w:color w:val="auto"/>
        </w:rPr>
        <w:instrText xml:space="preserve"> PAGEREF _Toc352233914 \h </w:instrText>
      </w:r>
      <w:r w:rsidRPr="001C4B96">
        <w:rPr>
          <w:color w:val="auto"/>
        </w:rPr>
      </w:r>
      <w:r w:rsidRPr="001C4B96">
        <w:rPr>
          <w:color w:val="auto"/>
        </w:rPr>
        <w:fldChar w:fldCharType="separate"/>
      </w:r>
      <w:r w:rsidRPr="001C4B96">
        <w:rPr>
          <w:color w:val="auto"/>
        </w:rPr>
        <w:t>1</w:t>
      </w:r>
      <w:r w:rsidRPr="001C4B96">
        <w:rPr>
          <w:color w:val="auto"/>
        </w:rPr>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SOBRE ESTE DOCUMENTO</w:t>
      </w:r>
      <w:r w:rsidRPr="001C4B96">
        <w:rPr>
          <w:color w:val="auto"/>
        </w:rPr>
        <w:tab/>
      </w:r>
      <w:r w:rsidRPr="001C4B96">
        <w:rPr>
          <w:color w:val="auto"/>
        </w:rPr>
        <w:fldChar w:fldCharType="begin"/>
      </w:r>
      <w:r w:rsidRPr="001C4B96">
        <w:rPr>
          <w:color w:val="auto"/>
        </w:rPr>
        <w:instrText xml:space="preserve"> PAGEREF _Toc352233915 \h </w:instrText>
      </w:r>
      <w:r w:rsidRPr="001C4B96">
        <w:rPr>
          <w:color w:val="auto"/>
        </w:rPr>
      </w:r>
      <w:r w:rsidRPr="001C4B96">
        <w:rPr>
          <w:color w:val="auto"/>
        </w:rPr>
        <w:fldChar w:fldCharType="separate"/>
      </w:r>
      <w:r w:rsidRPr="001C4B96">
        <w:rPr>
          <w:color w:val="auto"/>
        </w:rPr>
        <w:t>2</w:t>
      </w:r>
      <w:r w:rsidRPr="001C4B96">
        <w:rPr>
          <w:color w:val="auto"/>
        </w:rPr>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como usar a lista de Produtos da</w:t>
      </w:r>
      <w:r w:rsidRPr="001C4B96">
        <w:rPr>
          <w:color w:val="auto"/>
          <w:lang w:val="pt-BR"/>
        </w:rPr>
        <w:t> </w:t>
      </w:r>
      <w:r w:rsidRPr="001C4B96">
        <w:rPr>
          <w:color w:val="auto"/>
        </w:rPr>
        <w:t>Microsoft</w:t>
      </w:r>
      <w:r w:rsidRPr="001C4B96">
        <w:rPr>
          <w:color w:val="auto"/>
        </w:rPr>
        <w:tab/>
      </w:r>
      <w:r w:rsidRPr="001C4B96">
        <w:rPr>
          <w:color w:val="auto"/>
        </w:rPr>
        <w:fldChar w:fldCharType="begin"/>
      </w:r>
      <w:r w:rsidRPr="001C4B96">
        <w:rPr>
          <w:color w:val="auto"/>
        </w:rPr>
        <w:instrText xml:space="preserve"> PAGEREF _Toc352233916 \h </w:instrText>
      </w:r>
      <w:r w:rsidRPr="001C4B96">
        <w:rPr>
          <w:color w:val="auto"/>
        </w:rPr>
      </w:r>
      <w:r w:rsidRPr="001C4B96">
        <w:rPr>
          <w:color w:val="auto"/>
        </w:rPr>
        <w:fldChar w:fldCharType="separate"/>
      </w:r>
      <w:r w:rsidRPr="001C4B96">
        <w:rPr>
          <w:color w:val="auto"/>
        </w:rPr>
        <w:t>2</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Legenda da Tabela</w:t>
      </w:r>
      <w:r w:rsidRPr="001C4B96">
        <w:tab/>
      </w:r>
      <w:r w:rsidRPr="001C4B96">
        <w:fldChar w:fldCharType="begin"/>
      </w:r>
      <w:r w:rsidRPr="001C4B96">
        <w:instrText xml:space="preserve"> PAGEREF _Toc352233917 \h </w:instrText>
      </w:r>
      <w:r w:rsidRPr="001C4B96">
        <w:fldChar w:fldCharType="separate"/>
      </w:r>
      <w:r w:rsidRPr="001C4B96">
        <w:t>14</w:t>
      </w:r>
      <w:r w:rsidRPr="001C4B96">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LISTA de Produtos</w:t>
      </w:r>
      <w:r w:rsidRPr="001C4B96">
        <w:rPr>
          <w:color w:val="auto"/>
        </w:rPr>
        <w:tab/>
      </w:r>
      <w:r w:rsidRPr="001C4B96">
        <w:rPr>
          <w:color w:val="auto"/>
        </w:rPr>
        <w:fldChar w:fldCharType="begin"/>
      </w:r>
      <w:r w:rsidRPr="001C4B96">
        <w:rPr>
          <w:color w:val="auto"/>
        </w:rPr>
        <w:instrText xml:space="preserve"> PAGEREF _Toc352233918 \h </w:instrText>
      </w:r>
      <w:r w:rsidRPr="001C4B96">
        <w:rPr>
          <w:color w:val="auto"/>
        </w:rPr>
      </w:r>
      <w:r w:rsidRPr="001C4B96">
        <w:rPr>
          <w:color w:val="auto"/>
        </w:rPr>
        <w:fldChar w:fldCharType="separate"/>
      </w:r>
      <w:r w:rsidRPr="001C4B96">
        <w:rPr>
          <w:color w:val="auto"/>
        </w:rPr>
        <w:t>16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POOL DE APLICATIVOS</w:t>
      </w:r>
      <w:r w:rsidRPr="001C4B96">
        <w:rPr>
          <w:color w:val="auto"/>
        </w:rPr>
        <w:tab/>
      </w:r>
      <w:r w:rsidRPr="001C4B96">
        <w:rPr>
          <w:color w:val="auto"/>
        </w:rPr>
        <w:fldChar w:fldCharType="begin"/>
      </w:r>
      <w:r w:rsidRPr="001C4B96">
        <w:rPr>
          <w:color w:val="auto"/>
        </w:rPr>
        <w:instrText xml:space="preserve"> PAGEREF _Toc352233919 \h </w:instrText>
      </w:r>
      <w:r w:rsidRPr="001C4B96">
        <w:rPr>
          <w:color w:val="auto"/>
        </w:rPr>
      </w:r>
      <w:r w:rsidRPr="001C4B96">
        <w:rPr>
          <w:color w:val="auto"/>
        </w:rPr>
        <w:fldChar w:fldCharType="separate"/>
      </w:r>
      <w:r w:rsidRPr="001C4B96">
        <w:rPr>
          <w:color w:val="auto"/>
        </w:rPr>
        <w:t>16</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Access 2013</w:t>
      </w:r>
      <w:r w:rsidRPr="001C4B96">
        <w:tab/>
      </w:r>
      <w:r w:rsidRPr="001C4B96">
        <w:fldChar w:fldCharType="begin"/>
      </w:r>
      <w:r w:rsidRPr="001C4B96">
        <w:instrText xml:space="preserve"> PAGEREF _Toc352233920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AutoRoute 2013</w:t>
      </w:r>
      <w:r w:rsidRPr="001C4B96">
        <w:tab/>
      </w:r>
      <w:r w:rsidRPr="001C4B96">
        <w:fldChar w:fldCharType="begin"/>
      </w:r>
      <w:r w:rsidRPr="001C4B96">
        <w:instrText xml:space="preserve"> PAGEREF _Toc352233921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Excel 2013</w:t>
      </w:r>
      <w:r w:rsidRPr="001C4B96">
        <w:tab/>
      </w:r>
      <w:r w:rsidRPr="001C4B96">
        <w:fldChar w:fldCharType="begin"/>
      </w:r>
      <w:r w:rsidRPr="001C4B96">
        <w:instrText xml:space="preserve"> PAGEREF _Toc352233922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Excel para Mac 2011</w:t>
      </w:r>
      <w:r w:rsidRPr="001C4B96">
        <w:tab/>
      </w:r>
      <w:r w:rsidRPr="001C4B96">
        <w:fldChar w:fldCharType="begin"/>
      </w:r>
      <w:r w:rsidRPr="001C4B96">
        <w:instrText xml:space="preserve"> PAGEREF _Toc352233923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Expression Encoder Pro 4</w:t>
      </w:r>
      <w:r w:rsidRPr="001C4B96">
        <w:tab/>
      </w:r>
      <w:r w:rsidRPr="001C4B96">
        <w:fldChar w:fldCharType="begin"/>
      </w:r>
      <w:r w:rsidRPr="001C4B96">
        <w:instrText xml:space="preserve"> PAGEREF _Toc352233924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GeoSynther 3.0</w:t>
      </w:r>
      <w:r w:rsidRPr="001C4B96">
        <w:tab/>
      </w:r>
      <w:r w:rsidRPr="001C4B96">
        <w:fldChar w:fldCharType="begin"/>
      </w:r>
      <w:r w:rsidRPr="001C4B96">
        <w:instrText xml:space="preserve"> PAGEREF _Toc352233925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GeoSynth Viewer 3.0</w:t>
      </w:r>
      <w:r w:rsidRPr="001C4B96">
        <w:tab/>
      </w:r>
      <w:r w:rsidRPr="001C4B96">
        <w:fldChar w:fldCharType="begin"/>
      </w:r>
      <w:r w:rsidRPr="001C4B96">
        <w:instrText xml:space="preserve"> PAGEREF _Toc352233926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InfoPath</w:t>
      </w:r>
      <w:r w:rsidRPr="001C4B96">
        <w:rPr>
          <w:rFonts w:cs="Tahoma"/>
          <w:vertAlign w:val="superscript"/>
        </w:rPr>
        <w:t>®</w:t>
      </w:r>
      <w:r w:rsidRPr="001C4B96">
        <w:rPr>
          <w:rFonts w:cs="Tahoma"/>
        </w:rPr>
        <w:t xml:space="preserve"> 2013</w:t>
      </w:r>
      <w:r w:rsidRPr="001C4B96">
        <w:tab/>
      </w:r>
      <w:r w:rsidRPr="001C4B96">
        <w:fldChar w:fldCharType="begin"/>
      </w:r>
      <w:r w:rsidRPr="001C4B96">
        <w:instrText xml:space="preserve"> PAGEREF _Toc352233927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Lync 2013</w:t>
      </w:r>
      <w:r w:rsidRPr="001C4B96">
        <w:tab/>
      </w:r>
      <w:r w:rsidRPr="001C4B96">
        <w:fldChar w:fldCharType="begin"/>
      </w:r>
      <w:r w:rsidRPr="001C4B96">
        <w:instrText xml:space="preserve"> PAGEREF _Toc352233928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Lync para Mac 2011</w:t>
      </w:r>
      <w:r w:rsidRPr="001C4B96">
        <w:tab/>
      </w:r>
      <w:r w:rsidRPr="001C4B96">
        <w:fldChar w:fldCharType="begin"/>
      </w:r>
      <w:r w:rsidRPr="001C4B96">
        <w:instrText xml:space="preserve"> PAGEREF _Toc352233929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MapPoint</w:t>
      </w:r>
      <w:r w:rsidRPr="001C4B96">
        <w:rPr>
          <w:rFonts w:cs="Tahoma"/>
          <w:vertAlign w:val="superscript"/>
        </w:rPr>
        <w:t>®</w:t>
      </w:r>
      <w:r w:rsidRPr="001C4B96">
        <w:rPr>
          <w:rFonts w:cs="Tahoma"/>
        </w:rPr>
        <w:t xml:space="preserve"> Fleet Edition 2013</w:t>
      </w:r>
      <w:r w:rsidRPr="001C4B96">
        <w:tab/>
      </w:r>
      <w:r w:rsidRPr="001C4B96">
        <w:fldChar w:fldCharType="begin"/>
      </w:r>
      <w:r w:rsidRPr="001C4B96">
        <w:instrText xml:space="preserve"> PAGEREF _Toc352233930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MapPoint</w:t>
      </w:r>
      <w:r w:rsidRPr="001C4B96">
        <w:rPr>
          <w:rFonts w:cs="Tahoma"/>
          <w:vertAlign w:val="superscript"/>
        </w:rPr>
        <w:t>®</w:t>
      </w:r>
      <w:r w:rsidRPr="001C4B96">
        <w:rPr>
          <w:rFonts w:cs="Tahoma"/>
        </w:rPr>
        <w:t xml:space="preserve"> 2013 para Windows</w:t>
      </w:r>
      <w:r w:rsidRPr="001C4B96">
        <w:tab/>
      </w:r>
      <w:r w:rsidRPr="001C4B96">
        <w:fldChar w:fldCharType="begin"/>
      </w:r>
      <w:r w:rsidRPr="001C4B96">
        <w:instrText xml:space="preserve"> PAGEREF _Toc352233931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Sistemas Operacionais MSDN</w:t>
      </w:r>
      <w:r w:rsidRPr="001C4B96">
        <w:tab/>
      </w:r>
      <w:r w:rsidRPr="001C4B96">
        <w:fldChar w:fldCharType="begin"/>
      </w:r>
      <w:r w:rsidRPr="001C4B96">
        <w:instrText xml:space="preserve"> PAGEREF _Toc352233932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A2 (SL de Usuário)</w:t>
      </w:r>
      <w:r w:rsidRPr="001C4B96">
        <w:tab/>
      </w:r>
      <w:r w:rsidRPr="001C4B96">
        <w:fldChar w:fldCharType="begin"/>
      </w:r>
      <w:r w:rsidRPr="001C4B96">
        <w:instrText xml:space="preserve"> PAGEREF _Toc352233933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A3 (SL de Usuário)</w:t>
      </w:r>
      <w:r w:rsidRPr="001C4B96">
        <w:tab/>
      </w:r>
      <w:r w:rsidRPr="001C4B96">
        <w:fldChar w:fldCharType="begin"/>
      </w:r>
      <w:r w:rsidRPr="001C4B96">
        <w:instrText xml:space="preserve"> PAGEREF _Toc352233934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A4 (SL de Usuário)</w:t>
      </w:r>
      <w:r w:rsidRPr="001C4B96">
        <w:tab/>
      </w:r>
      <w:r w:rsidRPr="001C4B96">
        <w:fldChar w:fldCharType="begin"/>
      </w:r>
      <w:r w:rsidRPr="001C4B96">
        <w:instrText xml:space="preserve"> PAGEREF _Toc352233935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Midsize Business  (SL de Usuário)</w:t>
      </w:r>
      <w:r w:rsidRPr="001C4B96">
        <w:tab/>
      </w:r>
      <w:r w:rsidRPr="001C4B96">
        <w:fldChar w:fldCharType="begin"/>
      </w:r>
      <w:r w:rsidRPr="001C4B96">
        <w:instrText xml:space="preserve"> PAGEREF _Toc352233936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Enterprise E1 (SL de Usuário)</w:t>
      </w:r>
      <w:r w:rsidRPr="001C4B96">
        <w:tab/>
      </w:r>
      <w:r w:rsidRPr="001C4B96">
        <w:fldChar w:fldCharType="begin"/>
      </w:r>
      <w:r w:rsidRPr="001C4B96">
        <w:instrText xml:space="preserve"> PAGEREF _Toc352233937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Enterprise E2 (SL de Usuário)</w:t>
      </w:r>
      <w:r w:rsidRPr="001C4B96">
        <w:tab/>
      </w:r>
      <w:r w:rsidRPr="001C4B96">
        <w:fldChar w:fldCharType="begin"/>
      </w:r>
      <w:r w:rsidRPr="001C4B96">
        <w:instrText xml:space="preserve"> PAGEREF _Toc352233938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Enterprise E3 (SL de Usuário)</w:t>
      </w:r>
      <w:r w:rsidRPr="001C4B96">
        <w:tab/>
      </w:r>
      <w:r w:rsidRPr="001C4B96">
        <w:fldChar w:fldCharType="begin"/>
      </w:r>
      <w:r w:rsidRPr="001C4B96">
        <w:instrText xml:space="preserve"> PAGEREF _Toc352233939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Enterprise E4 (SL de Usuário)</w:t>
      </w:r>
      <w:r w:rsidRPr="001C4B96">
        <w:tab/>
      </w:r>
      <w:r w:rsidRPr="001C4B96">
        <w:fldChar w:fldCharType="begin"/>
      </w:r>
      <w:r w:rsidRPr="001C4B96">
        <w:instrText xml:space="preserve"> PAGEREF _Toc352233940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Direitos de Uso Comercial do Office Home and Student RT 2013</w:t>
      </w:r>
      <w:r w:rsidRPr="001C4B96">
        <w:tab/>
      </w:r>
      <w:r w:rsidRPr="001C4B96">
        <w:fldChar w:fldCharType="begin"/>
      </w:r>
      <w:r w:rsidRPr="001C4B96">
        <w:instrText xml:space="preserve"> PAGEREF _Toc352233941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para Mac Standard 2011</w:t>
      </w:r>
      <w:r w:rsidRPr="001C4B96">
        <w:tab/>
      </w:r>
      <w:r w:rsidRPr="001C4B96">
        <w:fldChar w:fldCharType="begin"/>
      </w:r>
      <w:r w:rsidRPr="001C4B96">
        <w:instrText xml:space="preserve"> PAGEREF _Toc352233942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Pacote Multilíngue do Office 2013</w:t>
      </w:r>
      <w:r w:rsidRPr="001C4B96">
        <w:tab/>
      </w:r>
      <w:r w:rsidRPr="001C4B96">
        <w:fldChar w:fldCharType="begin"/>
      </w:r>
      <w:r w:rsidRPr="001C4B96">
        <w:instrText xml:space="preserve"> PAGEREF _Toc352233943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Professional Plus 2013</w:t>
      </w:r>
      <w:r w:rsidRPr="001C4B96">
        <w:tab/>
      </w:r>
      <w:r w:rsidRPr="001C4B96">
        <w:fldChar w:fldCharType="begin"/>
      </w:r>
      <w:r w:rsidRPr="001C4B96">
        <w:instrText xml:space="preserve"> PAGEREF _Toc352233944 \h </w:instrText>
      </w:r>
      <w:r w:rsidRPr="001C4B96">
        <w:fldChar w:fldCharType="separate"/>
      </w:r>
      <w:r w:rsidRPr="001C4B96">
        <w:t>16</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Office Standard 2013</w:t>
      </w:r>
      <w:r w:rsidRPr="001C4B96">
        <w:rPr>
          <w:color w:val="auto"/>
        </w:rPr>
        <w:tab/>
      </w:r>
      <w:r w:rsidRPr="001C4B96">
        <w:rPr>
          <w:color w:val="auto"/>
        </w:rPr>
        <w:fldChar w:fldCharType="begin"/>
      </w:r>
      <w:r w:rsidRPr="001C4B96">
        <w:rPr>
          <w:color w:val="auto"/>
        </w:rPr>
        <w:instrText xml:space="preserve"> PAGEREF _Toc352233945 \h </w:instrText>
      </w:r>
      <w:r w:rsidRPr="001C4B96">
        <w:rPr>
          <w:color w:val="auto"/>
        </w:rPr>
      </w:r>
      <w:r w:rsidRPr="001C4B96">
        <w:rPr>
          <w:color w:val="auto"/>
        </w:rPr>
        <w:fldChar w:fldCharType="separate"/>
      </w:r>
      <w:r w:rsidRPr="001C4B96">
        <w:rPr>
          <w:color w:val="auto"/>
        </w:rPr>
        <w:t>16</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ProPlus (SL de Usuário)</w:t>
      </w:r>
      <w:r w:rsidRPr="001C4B96">
        <w:tab/>
      </w:r>
      <w:r w:rsidRPr="001C4B96">
        <w:fldChar w:fldCharType="begin"/>
      </w:r>
      <w:r w:rsidRPr="001C4B96">
        <w:instrText xml:space="preserve"> PAGEREF _Toc352233946 \h </w:instrText>
      </w:r>
      <w:r w:rsidRPr="001C4B96">
        <w:fldChar w:fldCharType="separate"/>
      </w:r>
      <w:r w:rsidRPr="001C4B96">
        <w:t>16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 xml:space="preserve">Office 365 ProPlus SA Transition </w:t>
      </w:r>
      <w:r w:rsidRPr="001C4B96">
        <w:rPr>
          <w:rFonts w:cs="Tahoma"/>
          <w:lang w:val="fr-FR"/>
        </w:rPr>
        <w:t xml:space="preserve"> </w:t>
      </w:r>
      <w:r w:rsidRPr="001C4B96">
        <w:rPr>
          <w:rFonts w:cs="Tahoma"/>
        </w:rPr>
        <w:t>(SL de Usuário)</w:t>
      </w:r>
      <w:r w:rsidRPr="001C4B96">
        <w:tab/>
      </w:r>
      <w:r w:rsidRPr="001C4B96">
        <w:fldChar w:fldCharType="begin"/>
      </w:r>
      <w:r w:rsidRPr="001C4B96">
        <w:instrText xml:space="preserve"> PAGEREF _Toc352233947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Assinatura A do Office Professional Plus (SL de Usuário)</w:t>
      </w:r>
      <w:r w:rsidRPr="001C4B96">
        <w:tab/>
      </w:r>
      <w:r w:rsidRPr="001C4B96">
        <w:fldChar w:fldCharType="begin"/>
      </w:r>
      <w:r w:rsidRPr="001C4B96">
        <w:instrText xml:space="preserve"> PAGEREF _Toc352233948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OneNote</w:t>
      </w:r>
      <w:r w:rsidRPr="001C4B96">
        <w:rPr>
          <w:rFonts w:cs="Tahoma"/>
          <w:vertAlign w:val="superscript"/>
        </w:rPr>
        <w:t>®</w:t>
      </w:r>
      <w:r w:rsidRPr="001C4B96">
        <w:rPr>
          <w:rFonts w:cs="Tahoma"/>
        </w:rPr>
        <w:t xml:space="preserve"> 2013</w:t>
      </w:r>
      <w:r w:rsidRPr="001C4B96">
        <w:tab/>
      </w:r>
      <w:r w:rsidRPr="001C4B96">
        <w:fldChar w:fldCharType="begin"/>
      </w:r>
      <w:r w:rsidRPr="001C4B96">
        <w:instrText xml:space="preserve"> PAGEREF _Toc352233949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Outlook</w:t>
      </w:r>
      <w:r w:rsidRPr="001C4B96">
        <w:rPr>
          <w:rFonts w:cs="Tahoma"/>
          <w:vertAlign w:val="superscript"/>
        </w:rPr>
        <w:t>®</w:t>
      </w:r>
      <w:r w:rsidRPr="001C4B96">
        <w:rPr>
          <w:rFonts w:cs="Tahoma"/>
        </w:rPr>
        <w:t xml:space="preserve"> 2013</w:t>
      </w:r>
      <w:r w:rsidRPr="001C4B96">
        <w:tab/>
      </w:r>
      <w:r w:rsidRPr="001C4B96">
        <w:fldChar w:fldCharType="begin"/>
      </w:r>
      <w:r w:rsidRPr="001C4B96">
        <w:instrText xml:space="preserve"> PAGEREF _Toc352233950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Outlook para Mac 2011</w:t>
      </w:r>
      <w:r w:rsidRPr="001C4B96">
        <w:tab/>
      </w:r>
      <w:r w:rsidRPr="001C4B96">
        <w:fldChar w:fldCharType="begin"/>
      </w:r>
      <w:r w:rsidRPr="001C4B96">
        <w:instrText xml:space="preserve"> PAGEREF _Toc352233951 \h </w:instrText>
      </w:r>
      <w:r w:rsidRPr="001C4B96">
        <w:fldChar w:fldCharType="separate"/>
      </w:r>
      <w:r w:rsidRPr="001C4B96">
        <w:t>17</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PowerPoint 2013</w:t>
      </w:r>
      <w:r w:rsidRPr="001C4B96">
        <w:rPr>
          <w:color w:val="auto"/>
        </w:rPr>
        <w:tab/>
      </w:r>
      <w:r w:rsidRPr="001C4B96">
        <w:rPr>
          <w:color w:val="auto"/>
        </w:rPr>
        <w:fldChar w:fldCharType="begin"/>
      </w:r>
      <w:r w:rsidRPr="001C4B96">
        <w:rPr>
          <w:color w:val="auto"/>
        </w:rPr>
        <w:instrText xml:space="preserve"> PAGEREF _Toc352233952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PowerPoint para Mac 2011</w:t>
      </w:r>
      <w:r w:rsidRPr="001C4B96">
        <w:rPr>
          <w:color w:val="auto"/>
        </w:rPr>
        <w:tab/>
      </w:r>
      <w:r w:rsidRPr="001C4B96">
        <w:rPr>
          <w:color w:val="auto"/>
        </w:rPr>
        <w:fldChar w:fldCharType="begin"/>
      </w:r>
      <w:r w:rsidRPr="001C4B96">
        <w:rPr>
          <w:color w:val="auto"/>
        </w:rPr>
        <w:instrText xml:space="preserve"> PAGEREF _Toc352233953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Project 2013 Standard</w:t>
      </w:r>
      <w:r w:rsidRPr="001C4B96">
        <w:rPr>
          <w:color w:val="auto"/>
        </w:rPr>
        <w:tab/>
      </w:r>
      <w:r w:rsidRPr="001C4B96">
        <w:rPr>
          <w:color w:val="auto"/>
        </w:rPr>
        <w:fldChar w:fldCharType="begin"/>
      </w:r>
      <w:r w:rsidRPr="001C4B96">
        <w:rPr>
          <w:color w:val="auto"/>
        </w:rPr>
        <w:instrText xml:space="preserve"> PAGEREF _Toc352233954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Project 2013 Professional</w:t>
      </w:r>
      <w:r w:rsidRPr="001C4B96">
        <w:rPr>
          <w:color w:val="auto"/>
        </w:rPr>
        <w:tab/>
      </w:r>
      <w:r w:rsidRPr="001C4B96">
        <w:rPr>
          <w:color w:val="auto"/>
        </w:rPr>
        <w:fldChar w:fldCharType="begin"/>
      </w:r>
      <w:r w:rsidRPr="001C4B96">
        <w:rPr>
          <w:color w:val="auto"/>
        </w:rPr>
        <w:instrText xml:space="preserve"> PAGEREF _Toc352233955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Project Pro para Office 365</w:t>
      </w:r>
      <w:r w:rsidRPr="001C4B96">
        <w:rPr>
          <w:color w:val="auto"/>
        </w:rPr>
        <w:tab/>
      </w:r>
      <w:r w:rsidRPr="001C4B96">
        <w:rPr>
          <w:color w:val="auto"/>
        </w:rPr>
        <w:fldChar w:fldCharType="begin"/>
      </w:r>
      <w:r w:rsidRPr="001C4B96">
        <w:rPr>
          <w:color w:val="auto"/>
        </w:rPr>
        <w:instrText xml:space="preserve"> PAGEREF _Toc352233956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Project Pro para Office 365 A</w:t>
      </w:r>
      <w:r w:rsidRPr="001C4B96">
        <w:rPr>
          <w:color w:val="auto"/>
        </w:rPr>
        <w:tab/>
      </w:r>
      <w:r w:rsidRPr="001C4B96">
        <w:rPr>
          <w:color w:val="auto"/>
        </w:rPr>
        <w:fldChar w:fldCharType="begin"/>
      </w:r>
      <w:r w:rsidRPr="001C4B96">
        <w:rPr>
          <w:color w:val="auto"/>
        </w:rPr>
        <w:instrText xml:space="preserve"> PAGEREF _Toc352233957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Publisher 2013</w:t>
      </w:r>
      <w:r w:rsidRPr="001C4B96">
        <w:rPr>
          <w:color w:val="auto"/>
        </w:rPr>
        <w:tab/>
      </w:r>
      <w:r w:rsidRPr="001C4B96">
        <w:rPr>
          <w:color w:val="auto"/>
        </w:rPr>
        <w:fldChar w:fldCharType="begin"/>
      </w:r>
      <w:r w:rsidRPr="001C4B96">
        <w:rPr>
          <w:color w:val="auto"/>
        </w:rPr>
        <w:instrText xml:space="preserve"> PAGEREF _Toc352233958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Direitos de Locação para Office Standard</w:t>
      </w:r>
      <w:r w:rsidRPr="001C4B96">
        <w:rPr>
          <w:color w:val="auto"/>
        </w:rPr>
        <w:tab/>
      </w:r>
      <w:r w:rsidRPr="001C4B96">
        <w:rPr>
          <w:color w:val="auto"/>
        </w:rPr>
        <w:fldChar w:fldCharType="begin"/>
      </w:r>
      <w:r w:rsidRPr="001C4B96">
        <w:rPr>
          <w:color w:val="auto"/>
        </w:rPr>
        <w:instrText xml:space="preserve"> PAGEREF _Toc352233959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Direitos de Locação para Office Professional Plus</w:t>
      </w:r>
      <w:r w:rsidRPr="001C4B96">
        <w:rPr>
          <w:color w:val="auto"/>
        </w:rPr>
        <w:tab/>
      </w:r>
      <w:r w:rsidRPr="001C4B96">
        <w:rPr>
          <w:color w:val="auto"/>
        </w:rPr>
        <w:fldChar w:fldCharType="begin"/>
      </w:r>
      <w:r w:rsidRPr="001C4B96">
        <w:rPr>
          <w:color w:val="auto"/>
        </w:rPr>
        <w:instrText xml:space="preserve"> PAGEREF _Toc352233960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Streets and Trips 2013</w:t>
      </w:r>
      <w:r w:rsidRPr="001C4B96">
        <w:rPr>
          <w:color w:val="auto"/>
        </w:rPr>
        <w:tab/>
      </w:r>
      <w:r w:rsidRPr="001C4B96">
        <w:rPr>
          <w:color w:val="auto"/>
        </w:rPr>
        <w:fldChar w:fldCharType="begin"/>
      </w:r>
      <w:r w:rsidRPr="001C4B96">
        <w:rPr>
          <w:color w:val="auto"/>
        </w:rPr>
        <w:instrText xml:space="preserve"> PAGEREF _Toc352233961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TechNet Plus Direct</w:t>
      </w:r>
      <w:r w:rsidRPr="001C4B96">
        <w:rPr>
          <w:color w:val="auto"/>
        </w:rPr>
        <w:tab/>
      </w:r>
      <w:r w:rsidRPr="001C4B96">
        <w:rPr>
          <w:color w:val="auto"/>
        </w:rPr>
        <w:fldChar w:fldCharType="begin"/>
      </w:r>
      <w:r w:rsidRPr="001C4B96">
        <w:rPr>
          <w:color w:val="auto"/>
        </w:rPr>
        <w:instrText xml:space="preserve"> PAGEREF _Toc352233962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Vexcel Desktop com Pacote de Conteúdo Aprimorado</w:t>
      </w:r>
      <w:r w:rsidRPr="001C4B96">
        <w:rPr>
          <w:color w:val="auto"/>
        </w:rPr>
        <w:tab/>
      </w:r>
      <w:r w:rsidRPr="001C4B96">
        <w:rPr>
          <w:color w:val="auto"/>
        </w:rPr>
        <w:fldChar w:fldCharType="begin"/>
      </w:r>
      <w:r w:rsidRPr="001C4B96">
        <w:rPr>
          <w:color w:val="auto"/>
        </w:rPr>
        <w:instrText xml:space="preserve"> PAGEREF _Toc352233963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Visio</w:t>
      </w:r>
      <w:r w:rsidRPr="001C4B96">
        <w:rPr>
          <w:color w:val="auto"/>
          <w:vertAlign w:val="superscript"/>
        </w:rPr>
        <w:t>®</w:t>
      </w:r>
      <w:r w:rsidRPr="001C4B96">
        <w:rPr>
          <w:color w:val="auto"/>
        </w:rPr>
        <w:t xml:space="preserve"> 2013 Professional</w:t>
      </w:r>
      <w:r w:rsidRPr="001C4B96">
        <w:rPr>
          <w:color w:val="auto"/>
        </w:rPr>
        <w:tab/>
      </w:r>
      <w:r w:rsidRPr="001C4B96">
        <w:rPr>
          <w:color w:val="auto"/>
        </w:rPr>
        <w:fldChar w:fldCharType="begin"/>
      </w:r>
      <w:r w:rsidRPr="001C4B96">
        <w:rPr>
          <w:color w:val="auto"/>
        </w:rPr>
        <w:instrText xml:space="preserve"> PAGEREF _Toc352233964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Visio</w:t>
      </w:r>
      <w:r w:rsidRPr="001C4B96">
        <w:rPr>
          <w:color w:val="auto"/>
          <w:vertAlign w:val="superscript"/>
        </w:rPr>
        <w:t>®</w:t>
      </w:r>
      <w:r w:rsidRPr="001C4B96">
        <w:rPr>
          <w:color w:val="auto"/>
        </w:rPr>
        <w:t xml:space="preserve"> 2013 Standard</w:t>
      </w:r>
      <w:r w:rsidRPr="001C4B96">
        <w:rPr>
          <w:color w:val="auto"/>
        </w:rPr>
        <w:tab/>
      </w:r>
      <w:r w:rsidRPr="001C4B96">
        <w:rPr>
          <w:color w:val="auto"/>
        </w:rPr>
        <w:fldChar w:fldCharType="begin"/>
      </w:r>
      <w:r w:rsidRPr="001C4B96">
        <w:rPr>
          <w:color w:val="auto"/>
        </w:rPr>
        <w:instrText xml:space="preserve"> PAGEREF _Toc352233965 \h </w:instrText>
      </w:r>
      <w:r w:rsidRPr="001C4B96">
        <w:rPr>
          <w:color w:val="auto"/>
        </w:rPr>
      </w:r>
      <w:r w:rsidRPr="001C4B96">
        <w:rPr>
          <w:color w:val="auto"/>
        </w:rPr>
        <w:fldChar w:fldCharType="separate"/>
      </w:r>
      <w:r w:rsidRPr="001C4B96">
        <w:rPr>
          <w:color w:val="auto"/>
        </w:rPr>
        <w:t>17</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Visio Pro para Office 365</w:t>
      </w:r>
      <w:r w:rsidRPr="001C4B96">
        <w:tab/>
      </w:r>
      <w:r w:rsidRPr="001C4B96">
        <w:fldChar w:fldCharType="begin"/>
      </w:r>
      <w:r w:rsidRPr="001C4B96">
        <w:instrText xml:space="preserve"> PAGEREF _Toc352233966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Visio Pro para Office 365 A</w:t>
      </w:r>
      <w:r w:rsidRPr="001C4B96">
        <w:tab/>
      </w:r>
      <w:r w:rsidRPr="001C4B96">
        <w:fldChar w:fldCharType="begin"/>
      </w:r>
      <w:r w:rsidRPr="001C4B96">
        <w:instrText xml:space="preserve"> PAGEREF _Toc352233967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Visual Studio</w:t>
      </w:r>
      <w:r w:rsidRPr="001C4B96">
        <w:rPr>
          <w:rFonts w:cs="Tahoma"/>
          <w:vertAlign w:val="superscript"/>
        </w:rPr>
        <w:t>®</w:t>
      </w:r>
      <w:r w:rsidRPr="001C4B96">
        <w:rPr>
          <w:rFonts w:cs="Tahoma"/>
        </w:rPr>
        <w:t xml:space="preserve"> Professional 2012</w:t>
      </w:r>
      <w:r w:rsidRPr="001C4B96">
        <w:tab/>
      </w:r>
      <w:r w:rsidRPr="001C4B96">
        <w:fldChar w:fldCharType="begin"/>
      </w:r>
      <w:r w:rsidRPr="001C4B96">
        <w:instrText xml:space="preserve"> PAGEREF _Toc352233968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lastRenderedPageBreak/>
        <w:t>Visual Studio</w:t>
      </w:r>
      <w:r w:rsidRPr="001C4B96">
        <w:rPr>
          <w:rFonts w:cs="Tahoma"/>
          <w:vertAlign w:val="superscript"/>
          <w:lang w:val="pt-BR"/>
        </w:rPr>
        <w:t>®</w:t>
      </w:r>
      <w:r w:rsidRPr="001C4B96">
        <w:rPr>
          <w:rFonts w:cs="Tahoma"/>
          <w:lang w:val="pt-BR"/>
        </w:rPr>
        <w:t xml:space="preserve"> Professional 2012 com MSDN</w:t>
      </w:r>
      <w:r w:rsidRPr="001C4B96">
        <w:tab/>
      </w:r>
      <w:r w:rsidRPr="001C4B96">
        <w:fldChar w:fldCharType="begin"/>
      </w:r>
      <w:r w:rsidRPr="001C4B96">
        <w:instrText xml:space="preserve"> PAGEREF _Toc352233969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Visual Studio</w:t>
      </w:r>
      <w:r w:rsidRPr="001C4B96">
        <w:rPr>
          <w:rFonts w:cs="Tahoma"/>
          <w:vertAlign w:val="superscript"/>
        </w:rPr>
        <w:t>®</w:t>
      </w:r>
      <w:r w:rsidRPr="001C4B96">
        <w:rPr>
          <w:rFonts w:cs="Tahoma"/>
        </w:rPr>
        <w:t xml:space="preserve"> Premium 2012 com MSDN</w:t>
      </w:r>
      <w:r w:rsidRPr="001C4B96">
        <w:tab/>
      </w:r>
      <w:r w:rsidRPr="001C4B96">
        <w:fldChar w:fldCharType="begin"/>
      </w:r>
      <w:r w:rsidRPr="001C4B96">
        <w:instrText xml:space="preserve"> PAGEREF _Toc352233970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Visual Studio</w:t>
      </w:r>
      <w:r w:rsidRPr="001C4B96">
        <w:rPr>
          <w:rFonts w:cs="Tahoma"/>
          <w:vertAlign w:val="superscript"/>
        </w:rPr>
        <w:t>®</w:t>
      </w:r>
      <w:r w:rsidRPr="001C4B96">
        <w:rPr>
          <w:rFonts w:cs="Tahoma"/>
        </w:rPr>
        <w:t xml:space="preserve"> Ultimate 2012 com MSDN</w:t>
      </w:r>
      <w:r w:rsidRPr="001C4B96">
        <w:tab/>
      </w:r>
      <w:r w:rsidRPr="001C4B96">
        <w:fldChar w:fldCharType="begin"/>
      </w:r>
      <w:r w:rsidRPr="001C4B96">
        <w:instrText xml:space="preserve"> PAGEREF _Toc352233971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Visual Studio</w:t>
      </w:r>
      <w:r w:rsidRPr="001C4B96">
        <w:rPr>
          <w:rFonts w:cs="Tahoma"/>
          <w:vertAlign w:val="superscript"/>
        </w:rPr>
        <w:t>®</w:t>
      </w:r>
      <w:r w:rsidRPr="001C4B96">
        <w:rPr>
          <w:rFonts w:cs="Tahoma"/>
        </w:rPr>
        <w:t xml:space="preserve"> Test Professional 2012 com MSDN</w:t>
      </w:r>
      <w:r w:rsidRPr="001C4B96">
        <w:tab/>
      </w:r>
      <w:r w:rsidRPr="001C4B96">
        <w:fldChar w:fldCharType="begin"/>
      </w:r>
      <w:r w:rsidRPr="001C4B96">
        <w:instrText xml:space="preserve"> PAGEREF _Toc352233972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Word 2013</w:t>
      </w:r>
      <w:r w:rsidRPr="001C4B96">
        <w:tab/>
      </w:r>
      <w:r w:rsidRPr="001C4B96">
        <w:fldChar w:fldCharType="begin"/>
      </w:r>
      <w:r w:rsidRPr="001C4B96">
        <w:instrText xml:space="preserve"> PAGEREF _Toc352233973 \h </w:instrText>
      </w:r>
      <w:r w:rsidRPr="001C4B96">
        <w:fldChar w:fldCharType="separate"/>
      </w:r>
      <w:r w:rsidRPr="001C4B96">
        <w:t>17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Word para Mac 2011</w:t>
      </w:r>
      <w:r w:rsidRPr="001C4B96">
        <w:tab/>
      </w:r>
      <w:r w:rsidRPr="001C4B96">
        <w:fldChar w:fldCharType="begin"/>
      </w:r>
      <w:r w:rsidRPr="001C4B96">
        <w:instrText xml:space="preserve"> PAGEREF _Toc352233974 \h </w:instrText>
      </w:r>
      <w:r w:rsidRPr="001C4B96">
        <w:fldChar w:fldCharType="separate"/>
      </w:r>
      <w:r w:rsidRPr="001C4B96">
        <w:t>17</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POOL DE SISTEMAS</w:t>
      </w:r>
      <w:r w:rsidRPr="001C4B96">
        <w:rPr>
          <w:color w:val="auto"/>
        </w:rPr>
        <w:tab/>
      </w:r>
      <w:r w:rsidRPr="001C4B96">
        <w:rPr>
          <w:color w:val="auto"/>
        </w:rPr>
        <w:fldChar w:fldCharType="begin"/>
      </w:r>
      <w:r w:rsidRPr="001C4B96">
        <w:rPr>
          <w:color w:val="auto"/>
        </w:rPr>
        <w:instrText xml:space="preserve"> PAGEREF _Toc352233975 \h </w:instrText>
      </w:r>
      <w:r w:rsidRPr="001C4B96">
        <w:rPr>
          <w:color w:val="auto"/>
        </w:rPr>
      </w:r>
      <w:r w:rsidRPr="001C4B96">
        <w:rPr>
          <w:color w:val="auto"/>
        </w:rPr>
        <w:fldChar w:fldCharType="separate"/>
      </w:r>
      <w:r w:rsidRPr="001C4B96">
        <w:rPr>
          <w:color w:val="auto"/>
        </w:rPr>
        <w:t>18</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Microsoft Desktop Optimization Pack para Software Assurance</w:t>
      </w:r>
      <w:r w:rsidRPr="001C4B96">
        <w:tab/>
      </w:r>
      <w:r w:rsidRPr="001C4B96">
        <w:fldChar w:fldCharType="begin"/>
      </w:r>
      <w:r w:rsidRPr="001C4B96">
        <w:instrText xml:space="preserve"> PAGEREF _Toc352233976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Assinatura do Windows Companion</w:t>
      </w:r>
      <w:r w:rsidRPr="001C4B96">
        <w:tab/>
      </w:r>
      <w:r w:rsidRPr="001C4B96">
        <w:fldChar w:fldCharType="begin"/>
      </w:r>
      <w:r w:rsidRPr="001C4B96">
        <w:instrText xml:space="preserve"> PAGEREF _Toc352233977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Vista DVD Playback Pack</w:t>
      </w:r>
      <w:r w:rsidRPr="001C4B96">
        <w:tab/>
      </w:r>
      <w:r w:rsidRPr="001C4B96">
        <w:fldChar w:fldCharType="begin"/>
      </w:r>
      <w:r w:rsidRPr="001C4B96">
        <w:instrText xml:space="preserve"> PAGEREF _Toc352233978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Direitos de Locação para Windows</w:t>
      </w:r>
      <w:r w:rsidRPr="001C4B96">
        <w:tab/>
      </w:r>
      <w:r w:rsidRPr="001C4B96">
        <w:fldChar w:fldCharType="begin"/>
      </w:r>
      <w:r w:rsidRPr="001C4B96">
        <w:instrText xml:space="preserve"> PAGEREF _Toc352233979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8 Enterprise Sideloading (Pacote com 100)</w:t>
      </w:r>
      <w:r w:rsidRPr="001C4B96">
        <w:tab/>
      </w:r>
      <w:r w:rsidRPr="001C4B96">
        <w:fldChar w:fldCharType="begin"/>
      </w:r>
      <w:r w:rsidRPr="001C4B96">
        <w:instrText xml:space="preserve"> PAGEREF _Toc352233980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Parceiros na Aprendizagem do Windows</w:t>
      </w:r>
      <w:r w:rsidRPr="001C4B96">
        <w:rPr>
          <w:rFonts w:cs="Tahoma"/>
          <w:vertAlign w:val="superscript"/>
          <w:lang w:val="pt-BR"/>
        </w:rPr>
        <w:t>®</w:t>
      </w:r>
      <w:r w:rsidRPr="001C4B96">
        <w:rPr>
          <w:rFonts w:cs="Tahoma"/>
          <w:lang w:val="pt-BR"/>
        </w:rPr>
        <w:t xml:space="preserve"> 7</w:t>
      </w:r>
      <w:r w:rsidRPr="001C4B96">
        <w:tab/>
      </w:r>
      <w:r w:rsidRPr="001C4B96">
        <w:fldChar w:fldCharType="begin"/>
      </w:r>
      <w:r w:rsidRPr="001C4B96">
        <w:instrText xml:space="preserve"> PAGEREF _Toc352233981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w:t>
      </w:r>
      <w:r w:rsidRPr="001C4B96">
        <w:rPr>
          <w:rFonts w:cs="Tahoma"/>
          <w:vertAlign w:val="superscript"/>
        </w:rPr>
        <w:t>®</w:t>
      </w:r>
      <w:r w:rsidRPr="001C4B96">
        <w:rPr>
          <w:rFonts w:cs="Tahoma"/>
        </w:rPr>
        <w:t xml:space="preserve"> 8 Pro</w:t>
      </w:r>
      <w:r w:rsidRPr="001C4B96">
        <w:tab/>
      </w:r>
      <w:r w:rsidRPr="001C4B96">
        <w:fldChar w:fldCharType="begin"/>
      </w:r>
      <w:r w:rsidRPr="001C4B96">
        <w:instrText xml:space="preserve"> PAGEREF _Toc352233982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w:t>
      </w:r>
      <w:r w:rsidRPr="001C4B96">
        <w:rPr>
          <w:rFonts w:cs="Tahoma"/>
          <w:vertAlign w:val="superscript"/>
        </w:rPr>
        <w:t>®</w:t>
      </w:r>
      <w:r w:rsidRPr="001C4B96">
        <w:rPr>
          <w:rFonts w:cs="Tahoma"/>
        </w:rPr>
        <w:t xml:space="preserve"> 8 Pro com MDOP</w:t>
      </w:r>
      <w:r w:rsidRPr="001C4B96">
        <w:tab/>
      </w:r>
      <w:r w:rsidRPr="001C4B96">
        <w:fldChar w:fldCharType="begin"/>
      </w:r>
      <w:r w:rsidRPr="001C4B96">
        <w:instrText xml:space="preserve"> PAGEREF _Toc352233983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Virtual Desktop Access (VDA)</w:t>
      </w:r>
      <w:r w:rsidRPr="001C4B96">
        <w:tab/>
      </w:r>
      <w:r w:rsidRPr="001C4B96">
        <w:fldChar w:fldCharType="begin"/>
      </w:r>
      <w:r w:rsidRPr="001C4B96">
        <w:instrText xml:space="preserve"> PAGEREF _Toc352233984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Intune (Por Dispositivo)</w:t>
      </w:r>
      <w:r w:rsidRPr="001C4B96">
        <w:tab/>
      </w:r>
      <w:r w:rsidRPr="001C4B96">
        <w:fldChar w:fldCharType="begin"/>
      </w:r>
      <w:r w:rsidRPr="001C4B96">
        <w:instrText xml:space="preserve"> PAGEREF _Toc352233985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Complemento do Windows Intune  (Por Dispositivo)</w:t>
      </w:r>
      <w:r w:rsidRPr="001C4B96">
        <w:tab/>
      </w:r>
      <w:r w:rsidRPr="001C4B96">
        <w:fldChar w:fldCharType="begin"/>
      </w:r>
      <w:r w:rsidRPr="001C4B96">
        <w:instrText xml:space="preserve"> PAGEREF _Toc352233986 \h </w:instrText>
      </w:r>
      <w:r w:rsidRPr="001C4B96">
        <w:fldChar w:fldCharType="separate"/>
      </w:r>
      <w:r w:rsidRPr="001C4B96">
        <w:t>18</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POOL DE SERVIDORES</w:t>
      </w:r>
      <w:r w:rsidRPr="001C4B96">
        <w:rPr>
          <w:color w:val="auto"/>
        </w:rPr>
        <w:tab/>
      </w:r>
      <w:r w:rsidRPr="001C4B96">
        <w:rPr>
          <w:color w:val="auto"/>
        </w:rPr>
        <w:fldChar w:fldCharType="begin"/>
      </w:r>
      <w:r w:rsidRPr="001C4B96">
        <w:rPr>
          <w:color w:val="auto"/>
        </w:rPr>
        <w:instrText xml:space="preserve"> PAGEREF _Toc352233987 \h </w:instrText>
      </w:r>
      <w:r w:rsidRPr="001C4B96">
        <w:rPr>
          <w:color w:val="auto"/>
        </w:rPr>
      </w:r>
      <w:r w:rsidRPr="001C4B96">
        <w:rPr>
          <w:color w:val="auto"/>
        </w:rPr>
        <w:fldChar w:fldCharType="separate"/>
      </w:r>
      <w:r w:rsidRPr="001C4B96">
        <w:rPr>
          <w:color w:val="auto"/>
        </w:rPr>
        <w:t>18</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Bing Maps Consumer Controlado por Assinatura Mensal de Ativos</w:t>
      </w:r>
      <w:r w:rsidRPr="001C4B96">
        <w:tab/>
      </w:r>
      <w:r w:rsidRPr="001C4B96">
        <w:fldChar w:fldCharType="begin"/>
      </w:r>
      <w:r w:rsidRPr="001C4B96">
        <w:instrText xml:space="preserve"> PAGEREF _Toc352233988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Bing Maps para Assinatura Mensal de Tarifa por Plataforma Enterprise</w:t>
      </w:r>
      <w:r w:rsidRPr="001C4B96">
        <w:tab/>
      </w:r>
      <w:r w:rsidRPr="001C4B96">
        <w:fldChar w:fldCharType="begin"/>
      </w:r>
      <w:r w:rsidRPr="001C4B96">
        <w:instrText xml:space="preserve"> PAGEREF _Toc352233989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100 Mil Transações de Uso de Site Público do Bing Maps</w:t>
      </w:r>
      <w:r w:rsidRPr="001C4B96">
        <w:tab/>
      </w:r>
      <w:r w:rsidRPr="001C4B96">
        <w:fldChar w:fldCharType="begin"/>
      </w:r>
      <w:r w:rsidRPr="001C4B96">
        <w:instrText xml:space="preserve"> PAGEREF _Toc352233990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250 Mil Transações de Uso de Site Público do Bing Maps</w:t>
      </w:r>
      <w:r w:rsidRPr="001C4B96">
        <w:tab/>
      </w:r>
      <w:r w:rsidRPr="001C4B96">
        <w:fldChar w:fldCharType="begin"/>
      </w:r>
      <w:r w:rsidRPr="001C4B96">
        <w:instrText xml:space="preserve"> PAGEREF _Toc352233991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420 Mil Transações de Uso de Site Público do Bing Maps</w:t>
      </w:r>
      <w:r w:rsidRPr="001C4B96">
        <w:tab/>
      </w:r>
      <w:r w:rsidRPr="001C4B96">
        <w:fldChar w:fldCharType="begin"/>
      </w:r>
      <w:r w:rsidRPr="001C4B96">
        <w:instrText xml:space="preserve"> PAGEREF _Toc352233992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420 Mil Transações de Uso de Site Público do Bing Maps</w:t>
      </w:r>
      <w:r w:rsidRPr="001C4B96">
        <w:tab/>
      </w:r>
      <w:r w:rsidRPr="001C4B96">
        <w:fldChar w:fldCharType="begin"/>
      </w:r>
      <w:r w:rsidRPr="001C4B96">
        <w:instrText xml:space="preserve"> PAGEREF _Toc352233993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840 Mil Transações de Uso de Site Público do Bing Maps</w:t>
      </w:r>
      <w:r w:rsidRPr="001C4B96">
        <w:tab/>
      </w:r>
      <w:r w:rsidRPr="001C4B96">
        <w:fldChar w:fldCharType="begin"/>
      </w:r>
      <w:r w:rsidRPr="001C4B96">
        <w:instrText xml:space="preserve"> PAGEREF _Toc352233994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2,5 Milhões de Transações de Uso de Site Público do Bing Maps</w:t>
      </w:r>
      <w:r w:rsidRPr="001C4B96">
        <w:tab/>
      </w:r>
      <w:r w:rsidRPr="001C4B96">
        <w:fldChar w:fldCharType="begin"/>
      </w:r>
      <w:r w:rsidRPr="001C4B96">
        <w:instrText xml:space="preserve"> PAGEREF _Toc352233995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4,2 Milhões Transações de Uso de Site Público do Bing Maps</w:t>
      </w:r>
      <w:r w:rsidRPr="001C4B96">
        <w:tab/>
      </w:r>
      <w:r w:rsidRPr="001C4B96">
        <w:fldChar w:fldCharType="begin"/>
      </w:r>
      <w:r w:rsidRPr="001C4B96">
        <w:instrText xml:space="preserve"> PAGEREF _Toc352233996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8,4 Milhões de Transações de Uso de Site Público do Bing Maps</w:t>
      </w:r>
      <w:r w:rsidRPr="001C4B96">
        <w:tab/>
      </w:r>
      <w:r w:rsidRPr="001C4B96">
        <w:fldChar w:fldCharType="begin"/>
      </w:r>
      <w:r w:rsidRPr="001C4B96">
        <w:instrText xml:space="preserve"> PAGEREF _Toc352233997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Transações Ilimitadas de Uso de Site Público do Bing Maps</w:t>
      </w:r>
      <w:r w:rsidRPr="001C4B96">
        <w:tab/>
      </w:r>
      <w:r w:rsidRPr="001C4B96">
        <w:fldChar w:fldCharType="begin"/>
      </w:r>
      <w:r w:rsidRPr="001C4B96">
        <w:instrText xml:space="preserve"> PAGEREF _Toc352233998 \h </w:instrText>
      </w:r>
      <w:r w:rsidRPr="001C4B96">
        <w:fldChar w:fldCharType="separate"/>
      </w:r>
      <w:r w:rsidRPr="001C4B96">
        <w:t>18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100 Mil Transações de Uso de Site Interno do Bing Maps</w:t>
      </w:r>
      <w:r w:rsidRPr="001C4B96">
        <w:tab/>
      </w:r>
      <w:r w:rsidRPr="001C4B96">
        <w:fldChar w:fldCharType="begin"/>
      </w:r>
      <w:r w:rsidRPr="001C4B96">
        <w:instrText xml:space="preserve"> PAGEREF _Toc352233999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250 Mil Transações de Uso de Site Interno do Bing Maps</w:t>
      </w:r>
      <w:r w:rsidRPr="001C4B96">
        <w:tab/>
      </w:r>
      <w:r w:rsidRPr="001C4B96">
        <w:fldChar w:fldCharType="begin"/>
      </w:r>
      <w:r w:rsidRPr="001C4B96">
        <w:instrText xml:space="preserve"> PAGEREF _Toc352234000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420 Mil Transações de Uso de Site Interno do Bing Maps</w:t>
      </w:r>
      <w:r w:rsidRPr="001C4B96">
        <w:tab/>
      </w:r>
      <w:r w:rsidRPr="001C4B96">
        <w:fldChar w:fldCharType="begin"/>
      </w:r>
      <w:r w:rsidRPr="001C4B96">
        <w:instrText xml:space="preserve"> PAGEREF _Toc352234001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1,25 Milhões de Transações de Uso de Site Interno do Bing Maps</w:t>
      </w:r>
      <w:r w:rsidRPr="001C4B96">
        <w:tab/>
      </w:r>
      <w:r w:rsidRPr="001C4B96">
        <w:fldChar w:fldCharType="begin"/>
      </w:r>
      <w:r w:rsidRPr="001C4B96">
        <w:instrText xml:space="preserve"> PAGEREF _Toc352234002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2,1 Milhões de Transações de Uso de Site Interno do Bing Maps</w:t>
      </w:r>
      <w:r w:rsidRPr="001C4B96">
        <w:tab/>
      </w:r>
      <w:r w:rsidRPr="001C4B96">
        <w:fldChar w:fldCharType="begin"/>
      </w:r>
      <w:r w:rsidRPr="001C4B96">
        <w:instrText xml:space="preserve"> PAGEREF _Toc352234003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Transações Ilimitadas de Uso de Site Interno do Bing Maps</w:t>
      </w:r>
      <w:r w:rsidRPr="001C4B96">
        <w:tab/>
      </w:r>
      <w:r w:rsidRPr="001C4B96">
        <w:fldChar w:fldCharType="begin"/>
      </w:r>
      <w:r w:rsidRPr="001C4B96">
        <w:instrText xml:space="preserve"> PAGEREF _Toc352234004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Bing Maps por Assinatura Mensal de Usuários Conhecidos</w:t>
      </w:r>
      <w:r w:rsidRPr="001C4B96">
        <w:tab/>
      </w:r>
      <w:r w:rsidRPr="001C4B96">
        <w:fldChar w:fldCharType="begin"/>
      </w:r>
      <w:r w:rsidRPr="001C4B96">
        <w:instrText xml:space="preserve"> PAGEREF _Toc352234005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Bing Maps por Assinatura Mensal de Pacote de 5 Mil Usuários Conhecidos</w:t>
      </w:r>
      <w:r w:rsidRPr="001C4B96">
        <w:tab/>
      </w:r>
      <w:r w:rsidRPr="001C4B96">
        <w:fldChar w:fldCharType="begin"/>
      </w:r>
      <w:r w:rsidRPr="001C4B96">
        <w:instrText xml:space="preserve"> PAGEREF _Toc352234006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Bing Maps Light Conhecido por Assinatura Mensal de Usuários</w:t>
      </w:r>
      <w:r w:rsidRPr="001C4B96">
        <w:tab/>
      </w:r>
      <w:r w:rsidRPr="001C4B96">
        <w:fldChar w:fldCharType="begin"/>
      </w:r>
      <w:r w:rsidRPr="001C4B96">
        <w:instrText xml:space="preserve"> PAGEREF _Toc352234007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Bing Maps Light Conhecido por Assinatura Mensal de Pacote de 5 Mil Usuários</w:t>
      </w:r>
      <w:r w:rsidRPr="001C4B96">
        <w:tab/>
      </w:r>
      <w:r w:rsidRPr="001C4B96">
        <w:fldChar w:fldCharType="begin"/>
      </w:r>
      <w:r w:rsidRPr="001C4B96">
        <w:instrText xml:space="preserve"> PAGEREF _Toc352234008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Assinatura Mensal de Tarifa por Plataforma de Gerenciamento de Ativos Móveis do Bing Maps</w:t>
      </w:r>
      <w:r w:rsidRPr="001C4B96">
        <w:tab/>
      </w:r>
      <w:r w:rsidRPr="001C4B96">
        <w:fldChar w:fldCharType="begin"/>
      </w:r>
      <w:r w:rsidRPr="001C4B96">
        <w:instrText xml:space="preserve"> PAGEREF _Toc352234009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Gerenciamento de Ativos Móveis do Bing Maps (América do Norte) com roteamento por Assinatura Mensal de Ativos</w:t>
      </w:r>
      <w:r w:rsidRPr="001C4B96">
        <w:tab/>
      </w:r>
      <w:r w:rsidRPr="001C4B96">
        <w:fldChar w:fldCharType="begin"/>
      </w:r>
      <w:r w:rsidRPr="001C4B96">
        <w:instrText xml:space="preserve"> PAGEREF _Toc352234010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Gerenciamento de Ativos Móveis do Bing Maps (América do Norte) sem roteamento por Assinatura Mensal de Ativos</w:t>
      </w:r>
      <w:r w:rsidRPr="001C4B96">
        <w:tab/>
      </w:r>
      <w:r w:rsidRPr="001C4B96">
        <w:fldChar w:fldCharType="begin"/>
      </w:r>
      <w:r w:rsidRPr="001C4B96">
        <w:instrText xml:space="preserve"> PAGEREF _Toc352234011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Gerenciamento de Ativos Móveis do Bing Maps (Europa) com roteamento por Assinatura Mensal de Ativos</w:t>
      </w:r>
      <w:r w:rsidRPr="001C4B96">
        <w:tab/>
      </w:r>
      <w:r w:rsidRPr="001C4B96">
        <w:fldChar w:fldCharType="begin"/>
      </w:r>
      <w:r w:rsidRPr="001C4B96">
        <w:instrText xml:space="preserve"> PAGEREF _Toc352234012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Gerenciamento de Ativos Móveis do Bing Maps (Europa) sem roteamento por Assinatura Mensal de Ativos</w:t>
      </w:r>
      <w:r w:rsidRPr="001C4B96">
        <w:tab/>
      </w:r>
      <w:r w:rsidRPr="001C4B96">
        <w:fldChar w:fldCharType="begin"/>
      </w:r>
      <w:r w:rsidRPr="001C4B96">
        <w:instrText xml:space="preserve"> PAGEREF _Toc352234013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Bing Maps Server</w:t>
      </w:r>
      <w:r w:rsidRPr="001C4B96">
        <w:tab/>
      </w:r>
      <w:r w:rsidRPr="001C4B96">
        <w:fldChar w:fldCharType="begin"/>
      </w:r>
      <w:r w:rsidRPr="001C4B96">
        <w:instrText xml:space="preserve"> PAGEREF _Toc352234014 \h </w:instrText>
      </w:r>
      <w:r w:rsidRPr="001C4B96">
        <w:fldChar w:fldCharType="separate"/>
      </w:r>
      <w:r w:rsidRPr="001C4B96">
        <w:t>19</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CAL do Bing Maps Server com Pacote de Conteúdo Aprimorado</w:t>
      </w:r>
      <w:r w:rsidRPr="001C4B96">
        <w:rPr>
          <w:color w:val="auto"/>
        </w:rPr>
        <w:tab/>
      </w:r>
      <w:r w:rsidRPr="001C4B96">
        <w:rPr>
          <w:color w:val="auto"/>
        </w:rPr>
        <w:fldChar w:fldCharType="begin"/>
      </w:r>
      <w:r w:rsidRPr="001C4B96">
        <w:rPr>
          <w:color w:val="auto"/>
        </w:rPr>
        <w:instrText xml:space="preserve"> PAGEREF _Toc352234015 \h </w:instrText>
      </w:r>
      <w:r w:rsidRPr="001C4B96">
        <w:rPr>
          <w:color w:val="auto"/>
        </w:rPr>
      </w:r>
      <w:r w:rsidRPr="001C4B96">
        <w:rPr>
          <w:color w:val="auto"/>
        </w:rPr>
        <w:fldChar w:fldCharType="separate"/>
      </w:r>
      <w:r w:rsidRPr="001C4B96">
        <w:rPr>
          <w:color w:val="auto"/>
        </w:rPr>
        <w:t>19</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t>Bing Maps Standard ou Professional  (SL de Usuário)</w:t>
      </w:r>
      <w:r w:rsidRPr="001C4B96">
        <w:tab/>
      </w:r>
      <w:r w:rsidRPr="001C4B96">
        <w:fldChar w:fldCharType="begin"/>
      </w:r>
      <w:r w:rsidRPr="001C4B96">
        <w:instrText xml:space="preserve"> PAGEREF _Toc352234016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t>Bing Maps Standard (SL de Serviços)</w:t>
      </w:r>
      <w:r w:rsidRPr="001C4B96">
        <w:tab/>
      </w:r>
      <w:r w:rsidRPr="001C4B96">
        <w:fldChar w:fldCharType="begin"/>
      </w:r>
      <w:r w:rsidRPr="001C4B96">
        <w:instrText xml:space="preserve"> PAGEREF _Toc352234017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BizTalk</w:t>
      </w:r>
      <w:r w:rsidRPr="001C4B96">
        <w:rPr>
          <w:rFonts w:cs="Tahoma"/>
          <w:vertAlign w:val="superscript"/>
        </w:rPr>
        <w:t>®</w:t>
      </w:r>
      <w:r w:rsidRPr="001C4B96">
        <w:rPr>
          <w:rFonts w:cs="Tahoma"/>
        </w:rPr>
        <w:t xml:space="preserve"> Server 2013 Branch Edition</w:t>
      </w:r>
      <w:r w:rsidRPr="001C4B96">
        <w:tab/>
      </w:r>
      <w:r w:rsidRPr="001C4B96">
        <w:fldChar w:fldCharType="begin"/>
      </w:r>
      <w:r w:rsidRPr="001C4B96">
        <w:instrText xml:space="preserve"> PAGEREF _Toc352234018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BizTalk</w:t>
      </w:r>
      <w:r w:rsidRPr="001C4B96">
        <w:rPr>
          <w:rFonts w:cs="Tahoma"/>
          <w:vertAlign w:val="superscript"/>
        </w:rPr>
        <w:t>®</w:t>
      </w:r>
      <w:r w:rsidRPr="001C4B96">
        <w:rPr>
          <w:rFonts w:cs="Tahoma"/>
        </w:rPr>
        <w:t xml:space="preserve"> Server 2013 Enterprise Edition</w:t>
      </w:r>
      <w:r w:rsidRPr="001C4B96">
        <w:tab/>
      </w:r>
      <w:r w:rsidRPr="001C4B96">
        <w:fldChar w:fldCharType="begin"/>
      </w:r>
      <w:r w:rsidRPr="001C4B96">
        <w:instrText xml:space="preserve"> PAGEREF _Toc352234019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BizTalk</w:t>
      </w:r>
      <w:r w:rsidRPr="001C4B96">
        <w:rPr>
          <w:rFonts w:cs="Tahoma"/>
          <w:vertAlign w:val="superscript"/>
        </w:rPr>
        <w:t>®</w:t>
      </w:r>
      <w:r w:rsidRPr="001C4B96">
        <w:rPr>
          <w:rFonts w:cs="Tahoma"/>
        </w:rPr>
        <w:t xml:space="preserve"> Server 2013 Branch IDC</w:t>
      </w:r>
      <w:r w:rsidRPr="001C4B96">
        <w:tab/>
      </w:r>
      <w:r w:rsidRPr="001C4B96">
        <w:fldChar w:fldCharType="begin"/>
      </w:r>
      <w:r w:rsidRPr="001C4B96">
        <w:instrText xml:space="preserve"> PAGEREF _Toc352234020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BizTalk</w:t>
      </w:r>
      <w:r w:rsidRPr="001C4B96">
        <w:rPr>
          <w:rFonts w:cs="Tahoma"/>
          <w:vertAlign w:val="superscript"/>
        </w:rPr>
        <w:t>®</w:t>
      </w:r>
      <w:r w:rsidRPr="001C4B96">
        <w:rPr>
          <w:rFonts w:cs="Tahoma"/>
        </w:rPr>
        <w:t xml:space="preserve"> Server 2013 Standard Edition</w:t>
      </w:r>
      <w:r w:rsidRPr="001C4B96">
        <w:tab/>
      </w:r>
      <w:r w:rsidRPr="001C4B96">
        <w:fldChar w:fldCharType="begin"/>
      </w:r>
      <w:r w:rsidRPr="001C4B96">
        <w:instrText xml:space="preserve"> PAGEREF _Toc352234021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BizTalk</w:t>
      </w:r>
      <w:r w:rsidRPr="001C4B96">
        <w:rPr>
          <w:rFonts w:cs="Tahoma"/>
          <w:vertAlign w:val="superscript"/>
        </w:rPr>
        <w:t>®</w:t>
      </w:r>
      <w:r w:rsidRPr="001C4B96">
        <w:rPr>
          <w:rFonts w:cs="Tahoma"/>
        </w:rPr>
        <w:t xml:space="preserve"> Server 2013 Standard Edition IDC</w:t>
      </w:r>
      <w:r w:rsidRPr="001C4B96">
        <w:tab/>
      </w:r>
      <w:r w:rsidRPr="001C4B96">
        <w:fldChar w:fldCharType="begin"/>
      </w:r>
      <w:r w:rsidRPr="001C4B96">
        <w:instrText xml:space="preserve"> PAGEREF _Toc352234022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Business Intelligence Appliance 2012</w:t>
      </w:r>
      <w:r w:rsidRPr="001C4B96">
        <w:tab/>
      </w:r>
      <w:r w:rsidRPr="001C4B96">
        <w:fldChar w:fldCharType="begin"/>
      </w:r>
      <w:r w:rsidRPr="001C4B96">
        <w:instrText xml:space="preserve"> PAGEREF _Toc352234023 \h </w:instrText>
      </w:r>
      <w:r w:rsidRPr="001C4B96">
        <w:fldChar w:fldCharType="separate"/>
      </w:r>
      <w:r w:rsidRPr="001C4B96">
        <w:t>19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Bridge do Pacote de CALs Principais para Office 365 (Usuário e Dispositivo)</w:t>
      </w:r>
      <w:r w:rsidRPr="001C4B96">
        <w:tab/>
      </w:r>
      <w:r w:rsidRPr="001C4B96">
        <w:fldChar w:fldCharType="begin"/>
      </w:r>
      <w:r w:rsidRPr="001C4B96">
        <w:instrText xml:space="preserve"> PAGEREF _Toc352234024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Bridge do Pacote de CALs Principais para Office 365 e Windows</w:t>
      </w:r>
      <w:r w:rsidRPr="001C4B96">
        <w:rPr>
          <w:rFonts w:cs="Tahoma"/>
          <w:vertAlign w:val="superscript"/>
          <w:lang w:val="pt-BR"/>
        </w:rPr>
        <w:t>®</w:t>
      </w:r>
      <w:r w:rsidRPr="001C4B96">
        <w:rPr>
          <w:rFonts w:cs="Tahoma"/>
          <w:lang w:val="pt-BR"/>
        </w:rPr>
        <w:t xml:space="preserve"> Intune (Usuário e Dispositivo)</w:t>
      </w:r>
      <w:r w:rsidRPr="001C4B96">
        <w:tab/>
      </w:r>
      <w:r w:rsidRPr="001C4B96">
        <w:fldChar w:fldCharType="begin"/>
      </w:r>
      <w:r w:rsidRPr="001C4B96">
        <w:instrText xml:space="preserve"> PAGEREF _Toc352234025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Bridge do Pacote de CALs Principais para Windows</w:t>
      </w:r>
      <w:r w:rsidRPr="001C4B96">
        <w:rPr>
          <w:rFonts w:cs="Tahoma"/>
          <w:vertAlign w:val="superscript"/>
          <w:lang w:val="pt-BR"/>
        </w:rPr>
        <w:t>®</w:t>
      </w:r>
      <w:r w:rsidRPr="001C4B96">
        <w:rPr>
          <w:rFonts w:cs="Tahoma"/>
          <w:lang w:val="pt-BR"/>
        </w:rPr>
        <w:t xml:space="preserve"> Intune (Usuário e Dispositivo)</w:t>
      </w:r>
      <w:r w:rsidRPr="001C4B96">
        <w:tab/>
      </w:r>
      <w:r w:rsidRPr="001C4B96">
        <w:fldChar w:fldCharType="begin"/>
      </w:r>
      <w:r w:rsidRPr="001C4B96">
        <w:instrText xml:space="preserve"> PAGEREF _Toc352234026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Core CAL Suite (Usuário e Dispositivo)</w:t>
      </w:r>
      <w:r w:rsidRPr="001C4B96">
        <w:tab/>
      </w:r>
      <w:r w:rsidRPr="001C4B96">
        <w:fldChar w:fldCharType="begin"/>
      </w:r>
      <w:r w:rsidRPr="001C4B96">
        <w:instrText xml:space="preserve"> PAGEREF _Toc352234027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fr-FR"/>
        </w:rPr>
        <w:lastRenderedPageBreak/>
        <w:t>Core Infrastructure Server Suite Standard</w:t>
      </w:r>
      <w:r w:rsidRPr="001C4B96">
        <w:tab/>
      </w:r>
      <w:r w:rsidRPr="001C4B96">
        <w:fldChar w:fldCharType="begin"/>
      </w:r>
      <w:r w:rsidRPr="001C4B96">
        <w:instrText xml:space="preserve"> PAGEREF _Toc352234028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fr-FR"/>
        </w:rPr>
        <w:t>Core Infrastructure Server Suite Enterprise</w:t>
      </w:r>
      <w:r w:rsidRPr="001C4B96">
        <w:tab/>
      </w:r>
      <w:r w:rsidRPr="001C4B96">
        <w:fldChar w:fldCharType="begin"/>
      </w:r>
      <w:r w:rsidRPr="001C4B96">
        <w:instrText xml:space="preserve"> PAGEREF _Toc352234029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fr-FR"/>
        </w:rPr>
        <w:t>Core Infrastructure Server Suite Datacenter</w:t>
      </w:r>
      <w:r w:rsidRPr="001C4B96">
        <w:tab/>
      </w:r>
      <w:r w:rsidRPr="001C4B96">
        <w:fldChar w:fldCharType="begin"/>
      </w:r>
      <w:r w:rsidRPr="001C4B96">
        <w:instrText xml:space="preserve"> PAGEREF _Toc352234030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Dynamics CRM Online Extra Storage</w:t>
      </w:r>
      <w:r w:rsidRPr="001C4B96">
        <w:tab/>
      </w:r>
      <w:r w:rsidRPr="001C4B96">
        <w:fldChar w:fldCharType="begin"/>
      </w:r>
      <w:r w:rsidRPr="001C4B96">
        <w:instrText xml:space="preserve"> PAGEREF _Toc352234031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Dynamics CRM Online por Usuário</w:t>
      </w:r>
      <w:r w:rsidRPr="001C4B96">
        <w:tab/>
      </w:r>
      <w:r w:rsidRPr="001C4B96">
        <w:fldChar w:fldCharType="begin"/>
      </w:r>
      <w:r w:rsidRPr="001C4B96">
        <w:instrText xml:space="preserve"> PAGEREF _Toc352234032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Dynamics CRM Online para SA</w:t>
      </w:r>
      <w:r w:rsidRPr="001C4B96">
        <w:tab/>
      </w:r>
      <w:r w:rsidRPr="001C4B96">
        <w:fldChar w:fldCharType="begin"/>
      </w:r>
      <w:r w:rsidRPr="001C4B96">
        <w:instrText xml:space="preserve"> PAGEREF _Toc352234033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Bridge do Pacote de CALs Empresariais para Office 365 (Usuário e Dispositivo)</w:t>
      </w:r>
      <w:r w:rsidRPr="001C4B96">
        <w:tab/>
      </w:r>
      <w:r w:rsidRPr="001C4B96">
        <w:fldChar w:fldCharType="begin"/>
      </w:r>
      <w:r w:rsidRPr="001C4B96">
        <w:instrText xml:space="preserve"> PAGEREF _Toc352234034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Bridge do Pacote de CALs Empresariais para Office 365 e Windows</w:t>
      </w:r>
      <w:r w:rsidRPr="001C4B96">
        <w:rPr>
          <w:rFonts w:cs="Tahoma"/>
          <w:vertAlign w:val="superscript"/>
          <w:lang w:val="pt-BR"/>
        </w:rPr>
        <w:t>®</w:t>
      </w:r>
      <w:r w:rsidRPr="001C4B96">
        <w:rPr>
          <w:rFonts w:cs="Tahoma"/>
          <w:lang w:val="pt-BR"/>
        </w:rPr>
        <w:t xml:space="preserve"> Intune (Usuário e Dispositivo)</w:t>
      </w:r>
      <w:r w:rsidRPr="001C4B96">
        <w:tab/>
      </w:r>
      <w:r w:rsidRPr="001C4B96">
        <w:fldChar w:fldCharType="begin"/>
      </w:r>
      <w:r w:rsidRPr="001C4B96">
        <w:instrText xml:space="preserve"> PAGEREF _Toc352234035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Bridge do Pacote de CALs Empresariais para Windows</w:t>
      </w:r>
      <w:r w:rsidRPr="001C4B96">
        <w:rPr>
          <w:rFonts w:cs="Tahoma"/>
          <w:vertAlign w:val="superscript"/>
          <w:lang w:val="pt-BR"/>
        </w:rPr>
        <w:t>®</w:t>
      </w:r>
      <w:r w:rsidRPr="001C4B96">
        <w:rPr>
          <w:rFonts w:cs="Tahoma"/>
          <w:lang w:val="pt-BR"/>
        </w:rPr>
        <w:t xml:space="preserve"> Intune (Usuário e Dispositivo)</w:t>
      </w:r>
      <w:r w:rsidRPr="001C4B96">
        <w:tab/>
      </w:r>
      <w:r w:rsidRPr="001C4B96">
        <w:fldChar w:fldCharType="begin"/>
      </w:r>
      <w:r w:rsidRPr="001C4B96">
        <w:instrText xml:space="preserve"> PAGEREF _Toc352234036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Pacote de CALs Empresariais (Usuário e Dispositivo)</w:t>
      </w:r>
      <w:r w:rsidRPr="001C4B96">
        <w:tab/>
      </w:r>
      <w:r w:rsidRPr="001C4B96">
        <w:fldChar w:fldCharType="begin"/>
      </w:r>
      <w:r w:rsidRPr="001C4B96">
        <w:instrText xml:space="preserve"> PAGEREF _Toc352234037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CAL Empresarial do Exchange com Serviços 2013</w:t>
      </w:r>
      <w:r w:rsidRPr="001C4B96">
        <w:tab/>
      </w:r>
      <w:r w:rsidRPr="001C4B96">
        <w:fldChar w:fldCharType="begin"/>
      </w:r>
      <w:r w:rsidRPr="001C4B96">
        <w:instrText xml:space="preserve"> PAGEREF _Toc352234038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Empresarial do Exchange sem Serviços 2013</w:t>
      </w:r>
      <w:r w:rsidRPr="001C4B96">
        <w:tab/>
      </w:r>
      <w:r w:rsidRPr="001C4B96">
        <w:fldChar w:fldCharType="begin"/>
      </w:r>
      <w:r w:rsidRPr="001C4B96">
        <w:instrText xml:space="preserve"> PAGEREF _Toc352234039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Arquivamento do Exchange Online para Exchange Server (SL de Usuário)</w:t>
      </w:r>
      <w:r w:rsidRPr="001C4B96">
        <w:tab/>
      </w:r>
      <w:r w:rsidRPr="001C4B96">
        <w:fldChar w:fldCharType="begin"/>
      </w:r>
      <w:r w:rsidRPr="001C4B96">
        <w:instrText xml:space="preserve"> PAGEREF _Toc352234040 \h </w:instrText>
      </w:r>
      <w:r w:rsidRPr="001C4B96">
        <w:fldChar w:fldCharType="separate"/>
      </w:r>
      <w:r w:rsidRPr="001C4B96">
        <w:t>20</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Servidor A (SL de Usuário)</w:t>
      </w:r>
      <w:r w:rsidRPr="001C4B96">
        <w:rPr>
          <w:color w:val="auto"/>
        </w:rPr>
        <w:tab/>
      </w:r>
      <w:r w:rsidRPr="001C4B96">
        <w:rPr>
          <w:color w:val="auto"/>
        </w:rPr>
        <w:fldChar w:fldCharType="begin"/>
      </w:r>
      <w:r w:rsidRPr="001C4B96">
        <w:rPr>
          <w:color w:val="auto"/>
        </w:rPr>
        <w:instrText xml:space="preserve"> PAGEREF _Toc352234041 \h </w:instrText>
      </w:r>
      <w:r w:rsidRPr="001C4B96">
        <w:rPr>
          <w:color w:val="auto"/>
        </w:rPr>
      </w:r>
      <w:r w:rsidRPr="001C4B96">
        <w:rPr>
          <w:color w:val="auto"/>
        </w:rPr>
        <w:fldChar w:fldCharType="separate"/>
      </w:r>
      <w:r w:rsidRPr="001C4B96">
        <w:rPr>
          <w:color w:val="auto"/>
        </w:rPr>
        <w:t>20</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Exchange Hosted Archive (SL de Usuário)</w:t>
      </w:r>
      <w:r w:rsidRPr="001C4B96">
        <w:tab/>
      </w:r>
      <w:r w:rsidRPr="001C4B96">
        <w:fldChar w:fldCharType="begin"/>
      </w:r>
      <w:r w:rsidRPr="001C4B96">
        <w:instrText xml:space="preserve"> PAGEREF _Toc352234042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Exchange Hosted Archive Extra Storage (SL de Usuário)</w:t>
      </w:r>
      <w:r w:rsidRPr="001C4B96">
        <w:tab/>
      </w:r>
      <w:r w:rsidRPr="001C4B96">
        <w:fldChar w:fldCharType="begin"/>
      </w:r>
      <w:r w:rsidRPr="001C4B96">
        <w:instrText xml:space="preserve"> PAGEREF _Toc352234043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da-DK"/>
        </w:rPr>
        <w:t>Exchange Hosted Encryption  (SL de Usuário)</w:t>
      </w:r>
      <w:r w:rsidRPr="001C4B96">
        <w:tab/>
      </w:r>
      <w:r w:rsidRPr="001C4B96">
        <w:fldChar w:fldCharType="begin"/>
      </w:r>
      <w:r w:rsidRPr="001C4B96">
        <w:instrText xml:space="preserve"> PAGEREF _Toc352234044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Arquivamento do Exchange Online para Exchange Online A</w:t>
      </w:r>
      <w:r w:rsidRPr="001C4B96">
        <w:tab/>
      </w:r>
      <w:r w:rsidRPr="001C4B96">
        <w:fldChar w:fldCharType="begin"/>
      </w:r>
      <w:r w:rsidRPr="001C4B96">
        <w:instrText xml:space="preserve"> PAGEREF _Toc352234045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Arquivamento do Exchange Online para Exchange Online</w:t>
      </w:r>
      <w:r w:rsidRPr="001C4B96">
        <w:tab/>
      </w:r>
      <w:r w:rsidRPr="001C4B96">
        <w:fldChar w:fldCharType="begin"/>
      </w:r>
      <w:r w:rsidRPr="001C4B96">
        <w:instrText xml:space="preserve"> PAGEREF _Toc352234046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Quiosque do Exchange Online  (SL de Usuário)</w:t>
      </w:r>
      <w:r w:rsidRPr="001C4B96">
        <w:tab/>
      </w:r>
      <w:r w:rsidRPr="001C4B96">
        <w:fldChar w:fldCharType="begin"/>
      </w:r>
      <w:r w:rsidRPr="001C4B96">
        <w:instrText xml:space="preserve"> PAGEREF _Toc352234047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Exchange Online Plano 1 (SL de Usuário)</w:t>
      </w:r>
      <w:r w:rsidRPr="001C4B96">
        <w:tab/>
      </w:r>
      <w:r w:rsidRPr="001C4B96">
        <w:fldChar w:fldCharType="begin"/>
      </w:r>
      <w:r w:rsidRPr="001C4B96">
        <w:instrText xml:space="preserve"> PAGEREF _Toc352234048 \h </w:instrText>
      </w:r>
      <w:r w:rsidRPr="001C4B96">
        <w:fldChar w:fldCharType="separate"/>
      </w:r>
      <w:r w:rsidRPr="001C4B96">
        <w:t>20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Exchange Online Plano 2 (SL de Usuário)</w:t>
      </w:r>
      <w:r w:rsidRPr="001C4B96">
        <w:tab/>
      </w:r>
      <w:r w:rsidRPr="001C4B96">
        <w:fldChar w:fldCharType="begin"/>
      </w:r>
      <w:r w:rsidRPr="001C4B96">
        <w:instrText xml:space="preserve"> PAGEREF _Toc352234049 \h </w:instrText>
      </w:r>
      <w:r w:rsidRPr="001C4B96">
        <w:fldChar w:fldCharType="separate"/>
      </w:r>
      <w:r w:rsidRPr="001C4B96">
        <w:t>20</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Exchange Online Plan 1A para Alunos  (SL do Usuário)</w:t>
      </w:r>
      <w:r w:rsidRPr="001C4B96">
        <w:rPr>
          <w:color w:val="auto"/>
        </w:rPr>
        <w:tab/>
      </w:r>
      <w:r w:rsidRPr="001C4B96">
        <w:rPr>
          <w:color w:val="auto"/>
        </w:rPr>
        <w:fldChar w:fldCharType="begin"/>
      </w:r>
      <w:r w:rsidRPr="001C4B96">
        <w:rPr>
          <w:color w:val="auto"/>
        </w:rPr>
        <w:instrText xml:space="preserve"> PAGEREF _Toc352234050 \h </w:instrText>
      </w:r>
      <w:r w:rsidRPr="001C4B96">
        <w:rPr>
          <w:color w:val="auto"/>
        </w:rPr>
      </w:r>
      <w:r w:rsidRPr="001C4B96">
        <w:rPr>
          <w:color w:val="auto"/>
        </w:rPr>
        <w:fldChar w:fldCharType="separate"/>
      </w:r>
      <w:r w:rsidRPr="001C4B96">
        <w:rPr>
          <w:color w:val="auto"/>
        </w:rPr>
        <w:t>20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Exchange Online Plano 2A (SL de Usuário)</w:t>
      </w:r>
      <w:r w:rsidRPr="001C4B96">
        <w:rPr>
          <w:color w:val="auto"/>
        </w:rPr>
        <w:tab/>
      </w:r>
      <w:r w:rsidRPr="001C4B96">
        <w:rPr>
          <w:color w:val="auto"/>
        </w:rPr>
        <w:fldChar w:fldCharType="begin"/>
      </w:r>
      <w:r w:rsidRPr="001C4B96">
        <w:rPr>
          <w:color w:val="auto"/>
        </w:rPr>
        <w:instrText xml:space="preserve"> PAGEREF _Toc352234051 \h </w:instrText>
      </w:r>
      <w:r w:rsidRPr="001C4B96">
        <w:rPr>
          <w:color w:val="auto"/>
        </w:rPr>
      </w:r>
      <w:r w:rsidRPr="001C4B96">
        <w:rPr>
          <w:color w:val="auto"/>
        </w:rPr>
        <w:fldChar w:fldCharType="separate"/>
      </w:r>
      <w:r w:rsidRPr="001C4B96">
        <w:rPr>
          <w:color w:val="auto"/>
        </w:rPr>
        <w:t>20</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Exchange Online Protection  (SL de Usuário)</w:t>
      </w:r>
      <w:r w:rsidRPr="001C4B96">
        <w:tab/>
      </w:r>
      <w:r w:rsidRPr="001C4B96">
        <w:fldChar w:fldCharType="begin"/>
      </w:r>
      <w:r w:rsidRPr="001C4B96">
        <w:instrText xml:space="preserve"> PAGEREF _Toc352234052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Exchange Server Enterprise 2013</w:t>
      </w:r>
      <w:r w:rsidRPr="001C4B96">
        <w:tab/>
      </w:r>
      <w:r w:rsidRPr="001C4B96">
        <w:fldChar w:fldCharType="begin"/>
      </w:r>
      <w:r w:rsidRPr="001C4B96">
        <w:instrText xml:space="preserve"> PAGEREF _Toc352234053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Exchange Server Standard 2013</w:t>
      </w:r>
      <w:r w:rsidRPr="001C4B96">
        <w:tab/>
      </w:r>
      <w:r w:rsidRPr="001C4B96">
        <w:fldChar w:fldCharType="begin"/>
      </w:r>
      <w:r w:rsidRPr="001C4B96">
        <w:instrText xml:space="preserve"> PAGEREF _Toc352234054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Exchange Server 2007 Standard for Small Business</w:t>
      </w:r>
      <w:r w:rsidRPr="001C4B96">
        <w:tab/>
      </w:r>
      <w:r w:rsidRPr="001C4B96">
        <w:fldChar w:fldCharType="begin"/>
      </w:r>
      <w:r w:rsidRPr="001C4B96">
        <w:instrText xml:space="preserve"> PAGEREF _Toc352234055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Exchange Server 2007 Standard  for Small Business</w:t>
      </w:r>
      <w:r w:rsidRPr="001C4B96">
        <w:tab/>
      </w:r>
      <w:r w:rsidRPr="001C4B96">
        <w:fldChar w:fldCharType="begin"/>
      </w:r>
      <w:r w:rsidRPr="001C4B96">
        <w:instrText xml:space="preserve"> PAGEREF _Toc352234056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CAL do Exchange Server 2010 Standard (Dispositivo e Usuário)</w:t>
      </w:r>
      <w:r w:rsidRPr="001C4B96">
        <w:tab/>
      </w:r>
      <w:r w:rsidRPr="001C4B96">
        <w:fldChar w:fldCharType="begin"/>
      </w:r>
      <w:r w:rsidRPr="001C4B96">
        <w:instrText xml:space="preserve"> PAGEREF _Toc352234057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Endpoint Protection</w:t>
      </w:r>
      <w:r w:rsidRPr="001C4B96">
        <w:tab/>
      </w:r>
      <w:r w:rsidRPr="001C4B96">
        <w:fldChar w:fldCharType="begin"/>
      </w:r>
      <w:r w:rsidRPr="001C4B96">
        <w:instrText xml:space="preserve"> PAGEREF _Toc352234058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CAL do Forefront Identity Manager 2010 R2 (Somente usuário)</w:t>
      </w:r>
      <w:r w:rsidRPr="001C4B96">
        <w:tab/>
      </w:r>
      <w:r w:rsidRPr="001C4B96">
        <w:fldChar w:fldCharType="begin"/>
      </w:r>
      <w:r w:rsidRPr="001C4B96">
        <w:instrText xml:space="preserve"> PAGEREF _Toc352234059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Identity Manager 2010 R2 External Connector</w:t>
      </w:r>
      <w:r w:rsidRPr="001C4B96">
        <w:tab/>
      </w:r>
      <w:r w:rsidRPr="001C4B96">
        <w:fldChar w:fldCharType="begin"/>
      </w:r>
      <w:r w:rsidRPr="001C4B96">
        <w:instrText xml:space="preserve"> PAGEREF _Toc352234060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Identity Manager 2010 R2 Server</w:t>
      </w:r>
      <w:r w:rsidRPr="001C4B96">
        <w:tab/>
      </w:r>
      <w:r w:rsidRPr="001C4B96">
        <w:fldChar w:fldCharType="begin"/>
      </w:r>
      <w:r w:rsidRPr="001C4B96">
        <w:instrText xml:space="preserve"> PAGEREF _Toc352234061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Identity Manager 2010 R2 – Windows Live Edition</w:t>
      </w:r>
      <w:r w:rsidRPr="001C4B96">
        <w:tab/>
      </w:r>
      <w:r w:rsidRPr="001C4B96">
        <w:fldChar w:fldCharType="begin"/>
      </w:r>
      <w:r w:rsidRPr="001C4B96">
        <w:instrText xml:space="preserve"> PAGEREF _Toc352234062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Protection 2010 for Exchange Server (SL de Dispositivo e Usuário)</w:t>
      </w:r>
      <w:r w:rsidRPr="001C4B96">
        <w:tab/>
      </w:r>
      <w:r w:rsidRPr="001C4B96">
        <w:fldChar w:fldCharType="begin"/>
      </w:r>
      <w:r w:rsidRPr="001C4B96">
        <w:instrText xml:space="preserve"> PAGEREF _Toc352234063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Protection Suite  (SL de Dispositivo e Usuário)</w:t>
      </w:r>
      <w:r w:rsidRPr="001C4B96">
        <w:tab/>
      </w:r>
      <w:r w:rsidRPr="001C4B96">
        <w:fldChar w:fldCharType="begin"/>
      </w:r>
      <w:r w:rsidRPr="001C4B96">
        <w:instrText xml:space="preserve"> PAGEREF _Toc352234064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Security for Office Communications Server  (SL de Dispositivo e Usuário)</w:t>
      </w:r>
      <w:r w:rsidRPr="001C4B96">
        <w:tab/>
      </w:r>
      <w:r w:rsidRPr="001C4B96">
        <w:fldChar w:fldCharType="begin"/>
      </w:r>
      <w:r w:rsidRPr="001C4B96">
        <w:instrText xml:space="preserve"> PAGEREF _Toc352234065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Protection 2010 for SharePoint (SL de Dispositivo e Usuário)</w:t>
      </w:r>
      <w:r w:rsidRPr="001C4B96">
        <w:tab/>
      </w:r>
      <w:r w:rsidRPr="001C4B96">
        <w:fldChar w:fldCharType="begin"/>
      </w:r>
      <w:r w:rsidRPr="001C4B96">
        <w:instrText xml:space="preserve"> PAGEREF _Toc352234066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Protection 2010 for SharePoint for Internet Sites (SL Complementar)</w:t>
      </w:r>
      <w:r w:rsidRPr="001C4B96">
        <w:tab/>
      </w:r>
      <w:r w:rsidRPr="001C4B96">
        <w:fldChar w:fldCharType="begin"/>
      </w:r>
      <w:r w:rsidRPr="001C4B96">
        <w:instrText xml:space="preserve"> PAGEREF _Toc352234067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Threat Management Gateway Web Protection Services</w:t>
      </w:r>
      <w:r w:rsidRPr="001C4B96">
        <w:tab/>
      </w:r>
      <w:r w:rsidRPr="001C4B96">
        <w:fldChar w:fldCharType="begin"/>
      </w:r>
      <w:r w:rsidRPr="001C4B96">
        <w:instrText xml:space="preserve"> PAGEREF _Toc352234068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Forefront Unified Access Gateway Server 2010</w:t>
      </w:r>
      <w:r w:rsidRPr="001C4B96">
        <w:tab/>
      </w:r>
      <w:r w:rsidRPr="001C4B96">
        <w:fldChar w:fldCharType="begin"/>
      </w:r>
      <w:r w:rsidRPr="001C4B96">
        <w:instrText xml:space="preserve"> PAGEREF _Toc352234069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External Connector do Forefront Unified Access Gateway 2010</w:t>
      </w:r>
      <w:r w:rsidRPr="001C4B96">
        <w:tab/>
      </w:r>
      <w:r w:rsidRPr="001C4B96">
        <w:fldChar w:fldCharType="begin"/>
      </w:r>
      <w:r w:rsidRPr="001C4B96">
        <w:instrText xml:space="preserve"> PAGEREF _Toc352234070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Forefront Unified Access Gateway 2010</w:t>
      </w:r>
      <w:r w:rsidRPr="001C4B96">
        <w:tab/>
      </w:r>
      <w:r w:rsidRPr="001C4B96">
        <w:fldChar w:fldCharType="begin"/>
      </w:r>
      <w:r w:rsidRPr="001C4B96">
        <w:instrText xml:space="preserve"> PAGEREF _Toc352234071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Pacote CAL do Forefront Unified Access Gateway 2010 10K</w:t>
      </w:r>
      <w:r w:rsidRPr="001C4B96">
        <w:tab/>
      </w:r>
      <w:r w:rsidRPr="001C4B96">
        <w:fldChar w:fldCharType="begin"/>
      </w:r>
      <w:r w:rsidRPr="001C4B96">
        <w:instrText xml:space="preserve"> PAGEREF _Toc352234072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GeoSynth Server</w:t>
      </w:r>
      <w:r w:rsidRPr="001C4B96">
        <w:tab/>
      </w:r>
      <w:r w:rsidRPr="001C4B96">
        <w:fldChar w:fldCharType="begin"/>
      </w:r>
      <w:r w:rsidRPr="001C4B96">
        <w:instrText xml:space="preserve"> PAGEREF _Toc352234073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HPC Pack 2008 R2 Enterprise</w:t>
      </w:r>
      <w:r w:rsidRPr="001C4B96">
        <w:tab/>
      </w:r>
      <w:r w:rsidRPr="001C4B96">
        <w:fldChar w:fldCharType="begin"/>
      </w:r>
      <w:r w:rsidRPr="001C4B96">
        <w:instrText xml:space="preserve"> PAGEREF _Toc352234074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HPC Pack 2008 R2 para Workstation</w:t>
      </w:r>
      <w:r w:rsidRPr="001C4B96">
        <w:tab/>
      </w:r>
      <w:r w:rsidRPr="001C4B96">
        <w:fldChar w:fldCharType="begin"/>
      </w:r>
      <w:r w:rsidRPr="001C4B96">
        <w:instrText xml:space="preserve"> PAGEREF _Toc352234075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Learning Solutions Combination  E-Reference Library (SL de Usuário)</w:t>
      </w:r>
      <w:r w:rsidRPr="001C4B96">
        <w:tab/>
      </w:r>
      <w:r w:rsidRPr="001C4B96">
        <w:fldChar w:fldCharType="begin"/>
      </w:r>
      <w:r w:rsidRPr="001C4B96">
        <w:instrText xml:space="preserve"> PAGEREF _Toc352234076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Learning Solutions IT Academy  (SL de Serviços)</w:t>
      </w:r>
      <w:r w:rsidRPr="001C4B96">
        <w:tab/>
      </w:r>
      <w:r w:rsidRPr="001C4B96">
        <w:fldChar w:fldCharType="begin"/>
      </w:r>
      <w:r w:rsidRPr="001C4B96">
        <w:instrText xml:space="preserve"> PAGEREF _Toc352234077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Cupons do Learning Solutions MCP 1 Exam/Mês (SL de Serviços)</w:t>
      </w:r>
      <w:r w:rsidRPr="001C4B96">
        <w:tab/>
      </w:r>
      <w:r w:rsidRPr="001C4B96">
        <w:fldChar w:fldCharType="begin"/>
      </w:r>
      <w:r w:rsidRPr="001C4B96">
        <w:instrText xml:space="preserve"> PAGEREF _Toc352234078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Lync Online Plano 1 (SL de Usuário)</w:t>
      </w:r>
      <w:r w:rsidRPr="001C4B96">
        <w:tab/>
      </w:r>
      <w:r w:rsidRPr="001C4B96">
        <w:fldChar w:fldCharType="begin"/>
      </w:r>
      <w:r w:rsidRPr="001C4B96">
        <w:instrText xml:space="preserve"> PAGEREF _Toc352234079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Lync Online Plano 2 (SL de Usuário)</w:t>
      </w:r>
      <w:r w:rsidRPr="001C4B96">
        <w:tab/>
      </w:r>
      <w:r w:rsidRPr="001C4B96">
        <w:fldChar w:fldCharType="begin"/>
      </w:r>
      <w:r w:rsidRPr="001C4B96">
        <w:instrText xml:space="preserve"> PAGEREF _Toc352234080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Lync Online Plano 3 (SL de Usuário)</w:t>
      </w:r>
      <w:r w:rsidRPr="001C4B96">
        <w:tab/>
      </w:r>
      <w:r w:rsidRPr="001C4B96">
        <w:fldChar w:fldCharType="begin"/>
      </w:r>
      <w:r w:rsidRPr="001C4B96">
        <w:instrText xml:space="preserve"> PAGEREF _Toc352234081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Lync Online Plano 3A (SL de Usuário)</w:t>
      </w:r>
      <w:r w:rsidRPr="001C4B96">
        <w:tab/>
      </w:r>
      <w:r w:rsidRPr="001C4B96">
        <w:fldChar w:fldCharType="begin"/>
      </w:r>
      <w:r w:rsidRPr="001C4B96">
        <w:instrText xml:space="preserve"> PAGEREF _Toc352234082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Lync Server 2013</w:t>
      </w:r>
      <w:r w:rsidRPr="001C4B96">
        <w:tab/>
      </w:r>
      <w:r w:rsidRPr="001C4B96">
        <w:fldChar w:fldCharType="begin"/>
      </w:r>
      <w:r w:rsidRPr="001C4B96">
        <w:instrText xml:space="preserve"> PAGEREF _Toc352234083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Empresarial do Lync Server 2013</w:t>
      </w:r>
      <w:r w:rsidRPr="001C4B96">
        <w:tab/>
      </w:r>
      <w:r w:rsidRPr="001C4B96">
        <w:fldChar w:fldCharType="begin"/>
      </w:r>
      <w:r w:rsidRPr="001C4B96">
        <w:instrText xml:space="preserve"> PAGEREF _Toc352234084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Lync Server Plus 2013</w:t>
      </w:r>
      <w:r w:rsidRPr="001C4B96">
        <w:tab/>
      </w:r>
      <w:r w:rsidRPr="001C4B96">
        <w:fldChar w:fldCharType="begin"/>
      </w:r>
      <w:r w:rsidRPr="001C4B96">
        <w:instrText xml:space="preserve"> PAGEREF _Toc352234085 \h </w:instrText>
      </w:r>
      <w:r w:rsidRPr="001C4B96">
        <w:fldChar w:fldCharType="separate"/>
      </w:r>
      <w:r w:rsidRPr="001C4B96">
        <w:t>21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Padrão do Lync Server 2013</w:t>
      </w:r>
      <w:r w:rsidRPr="001C4B96">
        <w:tab/>
      </w:r>
      <w:r w:rsidRPr="001C4B96">
        <w:fldChar w:fldCharType="begin"/>
      </w:r>
      <w:r w:rsidRPr="001C4B96">
        <w:instrText xml:space="preserve"> PAGEREF _Toc352234086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lastRenderedPageBreak/>
        <w:t>CAL Empresarial Aditiva do Microsoft Dynamics AX 2012 R2 (Usuário e Dispositivo)</w:t>
      </w:r>
      <w:r w:rsidRPr="001C4B96">
        <w:tab/>
      </w:r>
      <w:r w:rsidRPr="001C4B96">
        <w:fldChar w:fldCharType="begin"/>
      </w:r>
      <w:r w:rsidRPr="001C4B96">
        <w:instrText xml:space="preserve"> PAGEREF _Toc352234087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Empresarial do Microsoft Dynamics AX 2012 R2 (Usuário e Dispositivo)</w:t>
      </w:r>
      <w:r w:rsidRPr="001C4B96">
        <w:tab/>
      </w:r>
      <w:r w:rsidRPr="001C4B96">
        <w:fldChar w:fldCharType="begin"/>
      </w:r>
      <w:r w:rsidRPr="001C4B96">
        <w:instrText xml:space="preserve"> PAGEREF _Toc352234088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Aditiva do Microsoft Dynamics AX 2012 R2 Funcional (Usuário e Dispositivo)</w:t>
      </w:r>
      <w:r w:rsidRPr="001C4B96">
        <w:tab/>
      </w:r>
      <w:r w:rsidRPr="001C4B96">
        <w:fldChar w:fldCharType="begin"/>
      </w:r>
      <w:r w:rsidRPr="001C4B96">
        <w:instrText xml:space="preserve"> PAGEREF _Toc352234089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Funcional do Microsoft Dynamics AX 2012 R2 (Usuário e Dispositivo)</w:t>
      </w:r>
      <w:r w:rsidRPr="001C4B96">
        <w:tab/>
      </w:r>
      <w:r w:rsidRPr="001C4B96">
        <w:fldChar w:fldCharType="begin"/>
      </w:r>
      <w:r w:rsidRPr="001C4B96">
        <w:instrText xml:space="preserve"> PAGEREF _Toc352234090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de Autoatendimento do Microsoft Dynamics AX 2012 R2 (Usuário e Dispositivo)</w:t>
      </w:r>
      <w:r w:rsidRPr="001C4B96">
        <w:tab/>
      </w:r>
      <w:r w:rsidRPr="001C4B96">
        <w:fldChar w:fldCharType="begin"/>
      </w:r>
      <w:r w:rsidRPr="001C4B96">
        <w:instrText xml:space="preserve"> PAGEREF _Toc352234091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Microsoft Dynamics AX 2012 R2 Server</w:t>
      </w:r>
      <w:r w:rsidRPr="001C4B96">
        <w:tab/>
      </w:r>
      <w:r w:rsidRPr="001C4B96">
        <w:fldChar w:fldCharType="begin"/>
      </w:r>
      <w:r w:rsidRPr="001C4B96">
        <w:instrText xml:space="preserve"> PAGEREF _Toc352234092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Aditiva de Tarefa do Microsoft Dynamics AX 2012 R2 (Usuário e Dispositivo)</w:t>
      </w:r>
      <w:r w:rsidRPr="001C4B96">
        <w:tab/>
      </w:r>
      <w:r w:rsidRPr="001C4B96">
        <w:fldChar w:fldCharType="begin"/>
      </w:r>
      <w:r w:rsidRPr="001C4B96">
        <w:instrText xml:space="preserve"> PAGEREF _Toc352234093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de Tarefa do Microsoft Dynamics AX 2012 R2 (Usuário e Dispositivo)</w:t>
      </w:r>
      <w:r w:rsidRPr="001C4B96">
        <w:tab/>
      </w:r>
      <w:r w:rsidRPr="001C4B96">
        <w:fldChar w:fldCharType="begin"/>
      </w:r>
      <w:r w:rsidRPr="001C4B96">
        <w:instrText xml:space="preserve"> PAGEREF _Toc352234094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Microsoft Dynamics CRM 2011 (Usuário e Dispositivo)</w:t>
      </w:r>
      <w:r w:rsidRPr="001C4B96">
        <w:tab/>
      </w:r>
      <w:r w:rsidRPr="001C4B96">
        <w:fldChar w:fldCharType="begin"/>
      </w:r>
      <w:r w:rsidRPr="001C4B96">
        <w:instrText xml:space="preserve"> PAGEREF _Toc352234095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Microsoft Dynamics CRM 2011 Employee Self Service (Usuário e Dispositivo)</w:t>
      </w:r>
      <w:r w:rsidRPr="001C4B96">
        <w:tab/>
      </w:r>
      <w:r w:rsidRPr="001C4B96">
        <w:fldChar w:fldCharType="begin"/>
      </w:r>
      <w:r w:rsidRPr="001C4B96">
        <w:instrText xml:space="preserve"> PAGEREF _Toc352234096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Conector Externo para Microsoft Dynamics CRM 2011</w:t>
      </w:r>
      <w:r w:rsidRPr="001C4B96">
        <w:tab/>
      </w:r>
      <w:r w:rsidRPr="001C4B96">
        <w:fldChar w:fldCharType="begin"/>
      </w:r>
      <w:r w:rsidRPr="001C4B96">
        <w:instrText xml:space="preserve"> PAGEREF _Toc352234097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 xml:space="preserve">CAL Adicional de Uso Completo do Microsoft Dynamics CRM 2011 </w:t>
      </w:r>
      <w:r w:rsidRPr="001C4B96">
        <w:rPr>
          <w:rFonts w:cs="Tahoma"/>
          <w:lang w:val="pt-BR"/>
        </w:rPr>
        <w:t xml:space="preserve"> </w:t>
      </w:r>
      <w:r w:rsidRPr="001C4B96">
        <w:rPr>
          <w:rFonts w:cs="Tahoma"/>
        </w:rPr>
        <w:t>(Usuário e Dispositivo)</w:t>
      </w:r>
      <w:r w:rsidRPr="001C4B96">
        <w:tab/>
      </w:r>
      <w:r w:rsidRPr="001C4B96">
        <w:fldChar w:fldCharType="begin"/>
      </w:r>
      <w:r w:rsidRPr="001C4B96">
        <w:instrText xml:space="preserve"> PAGEREF _Toc352234098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Limitada para Microsoft Dynamics CRM 2011 (Usuários e Dispositivo)</w:t>
      </w:r>
      <w:r w:rsidRPr="001C4B96">
        <w:tab/>
      </w:r>
      <w:r w:rsidRPr="001C4B96">
        <w:fldChar w:fldCharType="begin"/>
      </w:r>
      <w:r w:rsidRPr="001C4B96">
        <w:instrText xml:space="preserve"> PAGEREF _Toc352234099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 xml:space="preserve">CAL Adicional de Uso Limitado do </w:t>
      </w:r>
      <w:r w:rsidRPr="001C4B96">
        <w:rPr>
          <w:rFonts w:cs="Tahoma"/>
          <w:lang w:val="pt-BR"/>
        </w:rPr>
        <w:t xml:space="preserve"> </w:t>
      </w:r>
      <w:r w:rsidRPr="001C4B96">
        <w:rPr>
          <w:rFonts w:cs="Tahoma"/>
        </w:rPr>
        <w:t xml:space="preserve">Microsoft Dynamics CRM 2011 </w:t>
      </w:r>
      <w:r w:rsidRPr="001C4B96">
        <w:rPr>
          <w:rFonts w:cs="Tahoma"/>
          <w:lang w:val="pt-BR"/>
        </w:rPr>
        <w:t xml:space="preserve"> </w:t>
      </w:r>
      <w:r w:rsidRPr="001C4B96">
        <w:rPr>
          <w:rFonts w:cs="Tahoma"/>
        </w:rPr>
        <w:t>(Usuário e Dispositivo)</w:t>
      </w:r>
      <w:r w:rsidRPr="001C4B96">
        <w:tab/>
      </w:r>
      <w:r w:rsidRPr="001C4B96">
        <w:fldChar w:fldCharType="begin"/>
      </w:r>
      <w:r w:rsidRPr="001C4B96">
        <w:instrText xml:space="preserve"> PAGEREF _Toc352234100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Microsoft Dynamics CRM Server 2011</w:t>
      </w:r>
      <w:r w:rsidRPr="001C4B96">
        <w:tab/>
      </w:r>
      <w:r w:rsidRPr="001C4B96">
        <w:fldChar w:fldCharType="begin"/>
      </w:r>
      <w:r w:rsidRPr="001C4B96">
        <w:instrText xml:space="preserve"> PAGEREF _Toc352234101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Microsoft Dynamics CRM Workgroup Server 2011</w:t>
      </w:r>
      <w:r w:rsidRPr="001C4B96">
        <w:tab/>
      </w:r>
      <w:r w:rsidRPr="001C4B96">
        <w:fldChar w:fldCharType="begin"/>
      </w:r>
      <w:r w:rsidRPr="001C4B96">
        <w:instrText xml:space="preserve"> PAGEREF _Toc352234102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API do Tradutor da Microsoft</w:t>
      </w:r>
      <w:r w:rsidRPr="001C4B96">
        <w:tab/>
      </w:r>
      <w:r w:rsidRPr="001C4B96">
        <w:fldChar w:fldCharType="begin"/>
      </w:r>
      <w:r w:rsidRPr="001C4B96">
        <w:instrText xml:space="preserve"> PAGEREF _Toc352234103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Midsize Business  (SL de Usuário)</w:t>
      </w:r>
      <w:r w:rsidRPr="001C4B96">
        <w:tab/>
      </w:r>
      <w:r w:rsidRPr="001C4B96">
        <w:fldChar w:fldCharType="begin"/>
      </w:r>
      <w:r w:rsidRPr="001C4B96">
        <w:instrText xml:space="preserve"> PAGEREF _Toc352234104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Education A2 (SL de Usuário)</w:t>
      </w:r>
      <w:r w:rsidRPr="001C4B96">
        <w:tab/>
      </w:r>
      <w:r w:rsidRPr="001C4B96">
        <w:fldChar w:fldCharType="begin"/>
      </w:r>
      <w:r w:rsidRPr="001C4B96">
        <w:instrText xml:space="preserve"> PAGEREF _Toc352234105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Education A3 (SL de Usuário)</w:t>
      </w:r>
      <w:r w:rsidRPr="001C4B96">
        <w:tab/>
      </w:r>
      <w:r w:rsidRPr="001C4B96">
        <w:fldChar w:fldCharType="begin"/>
      </w:r>
      <w:r w:rsidRPr="001C4B96">
        <w:instrText xml:space="preserve"> PAGEREF _Toc352234106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Education A4 (SL de Usuário)</w:t>
      </w:r>
      <w:r w:rsidRPr="001C4B96">
        <w:tab/>
      </w:r>
      <w:r w:rsidRPr="001C4B96">
        <w:fldChar w:fldCharType="begin"/>
      </w:r>
      <w:r w:rsidRPr="001C4B96">
        <w:instrText xml:space="preserve"> PAGEREF _Toc352234107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Enterprise E1 (SL de Usuário)</w:t>
      </w:r>
      <w:r w:rsidRPr="001C4B96">
        <w:tab/>
      </w:r>
      <w:r w:rsidRPr="001C4B96">
        <w:fldChar w:fldCharType="begin"/>
      </w:r>
      <w:r w:rsidRPr="001C4B96">
        <w:instrText xml:space="preserve"> PAGEREF _Toc352234108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 xml:space="preserve">Office 365 Enterprise E2 - E4 </w:t>
      </w:r>
      <w:r w:rsidRPr="001C4B96">
        <w:rPr>
          <w:rFonts w:cs="Tahoma"/>
          <w:lang w:val="pt-BR"/>
        </w:rPr>
        <w:t xml:space="preserve"> </w:t>
      </w:r>
      <w:r w:rsidRPr="001C4B96">
        <w:rPr>
          <w:rFonts w:cs="Tahoma"/>
        </w:rPr>
        <w:t>(SL de Usuário)</w:t>
      </w:r>
      <w:r w:rsidRPr="001C4B96">
        <w:tab/>
      </w:r>
      <w:r w:rsidRPr="001C4B96">
        <w:fldChar w:fldCharType="begin"/>
      </w:r>
      <w:r w:rsidRPr="001C4B96">
        <w:instrText xml:space="preserve"> PAGEREF _Toc352234109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Enterprise K1 (SL de Usuário)</w:t>
      </w:r>
      <w:r w:rsidRPr="001C4B96">
        <w:tab/>
      </w:r>
      <w:r w:rsidRPr="001C4B96">
        <w:fldChar w:fldCharType="begin"/>
      </w:r>
      <w:r w:rsidRPr="001C4B96">
        <w:instrText xml:space="preserve"> PAGEREF _Toc352234110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Enterprise K2 (SL de Usuário)</w:t>
      </w:r>
      <w:r w:rsidRPr="001C4B96">
        <w:tab/>
      </w:r>
      <w:r w:rsidRPr="001C4B96">
        <w:fldChar w:fldCharType="begin"/>
      </w:r>
      <w:r w:rsidRPr="001C4B96">
        <w:instrText xml:space="preserve"> PAGEREF _Toc352234111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Office 365 Government G1 - G4  (SL de Usuário)</w:t>
      </w:r>
      <w:r w:rsidRPr="001C4B96">
        <w:tab/>
      </w:r>
      <w:r w:rsidRPr="001C4B96">
        <w:fldChar w:fldCharType="begin"/>
      </w:r>
      <w:r w:rsidRPr="001C4B96">
        <w:instrText xml:space="preserve"> PAGEREF _Toc352234112 \h </w:instrText>
      </w:r>
      <w:r w:rsidRPr="001C4B96">
        <w:fldChar w:fldCharType="separate"/>
      </w:r>
      <w:r w:rsidRPr="001C4B96">
        <w:t>22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Aplicativos da Web do Office com SharePoint Plano 2A (SL do Usuário)</w:t>
      </w:r>
      <w:r w:rsidRPr="001C4B96">
        <w:tab/>
      </w:r>
      <w:r w:rsidRPr="001C4B96">
        <w:fldChar w:fldCharType="begin"/>
      </w:r>
      <w:r w:rsidRPr="001C4B96">
        <w:instrText xml:space="preserve"> PAGEREF _Toc352234113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Project Online</w:t>
      </w:r>
      <w:r w:rsidRPr="001C4B96">
        <w:tab/>
      </w:r>
      <w:r w:rsidRPr="001C4B96">
        <w:fldChar w:fldCharType="begin"/>
      </w:r>
      <w:r w:rsidRPr="001C4B96">
        <w:instrText xml:space="preserve"> PAGEREF _Toc352234114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Project Online A</w:t>
      </w:r>
      <w:r w:rsidRPr="001C4B96">
        <w:tab/>
      </w:r>
      <w:r w:rsidRPr="001C4B96">
        <w:fldChar w:fldCharType="begin"/>
      </w:r>
      <w:r w:rsidRPr="001C4B96">
        <w:instrText xml:space="preserve"> PAGEREF _Toc352234115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Project Server 2013</w:t>
      </w:r>
      <w:r w:rsidRPr="001C4B96">
        <w:tab/>
      </w:r>
      <w:r w:rsidRPr="001C4B96">
        <w:fldChar w:fldCharType="begin"/>
      </w:r>
      <w:r w:rsidRPr="001C4B96">
        <w:instrText xml:space="preserve"> PAGEREF _Toc352234116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Project Server 2013</w:t>
      </w:r>
      <w:r w:rsidRPr="001C4B96">
        <w:tab/>
      </w:r>
      <w:r w:rsidRPr="001C4B96">
        <w:fldChar w:fldCharType="begin"/>
      </w:r>
      <w:r w:rsidRPr="001C4B96">
        <w:instrText xml:space="preserve"> PAGEREF _Toc352234117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Armazenamento Extra do SharePoint™ Online de 1 GB (SL Complementar)</w:t>
      </w:r>
      <w:r w:rsidRPr="001C4B96">
        <w:tab/>
      </w:r>
      <w:r w:rsidRPr="001C4B96">
        <w:fldChar w:fldCharType="begin"/>
      </w:r>
      <w:r w:rsidRPr="001C4B96">
        <w:instrText xml:space="preserve"> PAGEREF _Toc352234118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Armazenamento Extra do SharePoint™ Online de A 1 GB (SL Complementar)</w:t>
      </w:r>
      <w:r w:rsidRPr="001C4B96">
        <w:tab/>
      </w:r>
      <w:r w:rsidRPr="001C4B96">
        <w:fldChar w:fldCharType="begin"/>
      </w:r>
      <w:r w:rsidRPr="001C4B96">
        <w:instrText xml:space="preserve"> PAGEREF _Toc352234119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 xml:space="preserve">SharePoint™ Online Plano 1 </w:t>
      </w:r>
      <w:r w:rsidRPr="001C4B96">
        <w:rPr>
          <w:rFonts w:cs="Tahoma"/>
          <w:lang w:val="pt-BR"/>
        </w:rPr>
        <w:t xml:space="preserve"> </w:t>
      </w:r>
      <w:r w:rsidRPr="001C4B96">
        <w:rPr>
          <w:rFonts w:cs="Tahoma"/>
        </w:rPr>
        <w:t>(SL de Usuário)</w:t>
      </w:r>
      <w:r w:rsidRPr="001C4B96">
        <w:tab/>
      </w:r>
      <w:r w:rsidRPr="001C4B96">
        <w:fldChar w:fldCharType="begin"/>
      </w:r>
      <w:r w:rsidRPr="001C4B96">
        <w:instrText xml:space="preserve"> PAGEREF _Toc352234120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SharePoint™ Online Plano 2  (SL de Usuário)</w:t>
      </w:r>
      <w:r w:rsidRPr="001C4B96">
        <w:tab/>
      </w:r>
      <w:r w:rsidRPr="001C4B96">
        <w:fldChar w:fldCharType="begin"/>
      </w:r>
      <w:r w:rsidRPr="001C4B96">
        <w:instrText xml:space="preserve"> PAGEREF _Toc352234121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SharePoint™ Server 2013</w:t>
      </w:r>
      <w:r w:rsidRPr="001C4B96">
        <w:tab/>
      </w:r>
      <w:r w:rsidRPr="001C4B96">
        <w:fldChar w:fldCharType="begin"/>
      </w:r>
      <w:r w:rsidRPr="001C4B96">
        <w:instrText xml:space="preserve"> PAGEREF _Toc352234122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CAL Empresarial do SharePoint™ Server 2013</w:t>
      </w:r>
      <w:r w:rsidRPr="001C4B96">
        <w:tab/>
      </w:r>
      <w:r w:rsidRPr="001C4B96">
        <w:fldChar w:fldCharType="begin"/>
      </w:r>
      <w:r w:rsidRPr="001C4B96">
        <w:instrText xml:space="preserve"> PAGEREF _Toc352234123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CAL Padrão do SharePoint™ Server 2013</w:t>
      </w:r>
      <w:r w:rsidRPr="001C4B96">
        <w:tab/>
      </w:r>
      <w:r w:rsidRPr="001C4B96">
        <w:fldChar w:fldCharType="begin"/>
      </w:r>
      <w:r w:rsidRPr="001C4B96">
        <w:instrText xml:space="preserve"> PAGEREF _Toc352234124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para um processador do SQL Server</w:t>
      </w:r>
      <w:r w:rsidRPr="001C4B96">
        <w:rPr>
          <w:rFonts w:eastAsia="Times New Roman" w:cs="Tahoma"/>
          <w:vertAlign w:val="superscript"/>
          <w:lang w:val="pt-BR"/>
        </w:rPr>
        <w:t>®</w:t>
      </w:r>
      <w:r w:rsidRPr="001C4B96">
        <w:rPr>
          <w:rFonts w:cs="Tahoma"/>
          <w:lang w:val="pt-BR"/>
        </w:rPr>
        <w:t xml:space="preserve"> 2008 R2 Datacenter</w:t>
      </w:r>
      <w:r w:rsidRPr="001C4B96">
        <w:tab/>
      </w:r>
      <w:r w:rsidRPr="001C4B96">
        <w:fldChar w:fldCharType="begin"/>
      </w:r>
      <w:r w:rsidRPr="001C4B96">
        <w:instrText xml:space="preserve"> PAGEREF _Toc352234125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SQL Server</w:t>
      </w:r>
      <w:r w:rsidRPr="001C4B96">
        <w:rPr>
          <w:rFonts w:eastAsia="Times New Roman" w:cs="Tahoma"/>
          <w:vertAlign w:val="superscript"/>
        </w:rPr>
        <w:t>®</w:t>
      </w:r>
      <w:r w:rsidRPr="001C4B96">
        <w:rPr>
          <w:rFonts w:cs="Tahoma"/>
        </w:rPr>
        <w:t xml:space="preserve"> 2008 R2 Small Business</w:t>
      </w:r>
      <w:r w:rsidRPr="001C4B96">
        <w:tab/>
      </w:r>
      <w:r w:rsidRPr="001C4B96">
        <w:fldChar w:fldCharType="begin"/>
      </w:r>
      <w:r w:rsidRPr="001C4B96">
        <w:instrText xml:space="preserve"> PAGEREF _Toc352234126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SQL Server</w:t>
      </w:r>
      <w:r w:rsidRPr="001C4B96">
        <w:rPr>
          <w:rFonts w:eastAsia="Times New Roman" w:cs="Tahoma"/>
          <w:vertAlign w:val="superscript"/>
        </w:rPr>
        <w:t>®</w:t>
      </w:r>
      <w:r w:rsidRPr="001C4B96">
        <w:rPr>
          <w:rFonts w:cs="Tahoma"/>
        </w:rPr>
        <w:t xml:space="preserve"> 2008 R2 Small Business</w:t>
      </w:r>
      <w:r w:rsidRPr="001C4B96">
        <w:tab/>
      </w:r>
      <w:r w:rsidRPr="001C4B96">
        <w:fldChar w:fldCharType="begin"/>
      </w:r>
      <w:r w:rsidRPr="001C4B96">
        <w:instrText xml:space="preserve"> PAGEREF _Toc352234127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SQL Server</w:t>
      </w:r>
      <w:r w:rsidRPr="001C4B96">
        <w:rPr>
          <w:rFonts w:eastAsia="Times New Roman" w:cs="Tahoma"/>
          <w:vertAlign w:val="superscript"/>
          <w:lang w:val="pt-BR"/>
        </w:rPr>
        <w:t>®</w:t>
      </w:r>
      <w:r w:rsidRPr="001C4B96">
        <w:rPr>
          <w:rFonts w:cs="Tahoma"/>
          <w:lang w:val="pt-BR"/>
        </w:rPr>
        <w:t xml:space="preserve"> 2008 R2 Web por Processador</w:t>
      </w:r>
      <w:r w:rsidRPr="001C4B96">
        <w:tab/>
      </w:r>
      <w:r w:rsidRPr="001C4B96">
        <w:fldChar w:fldCharType="begin"/>
      </w:r>
      <w:r w:rsidRPr="001C4B96">
        <w:instrText xml:space="preserve"> PAGEREF _Toc352234128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SQL Server</w:t>
      </w:r>
      <w:r w:rsidRPr="001C4B96">
        <w:rPr>
          <w:rFonts w:eastAsia="Times New Roman" w:cs="Tahoma"/>
          <w:vertAlign w:val="superscript"/>
        </w:rPr>
        <w:t>®</w:t>
      </w:r>
      <w:r w:rsidRPr="001C4B96">
        <w:rPr>
          <w:rFonts w:cs="Tahoma"/>
        </w:rPr>
        <w:t xml:space="preserve"> 2008 R2 Workgroup</w:t>
      </w:r>
      <w:r w:rsidRPr="001C4B96">
        <w:tab/>
      </w:r>
      <w:r w:rsidRPr="001C4B96">
        <w:fldChar w:fldCharType="begin"/>
      </w:r>
      <w:r w:rsidRPr="001C4B96">
        <w:instrText xml:space="preserve"> PAGEREF _Toc352234129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SQL Server</w:t>
      </w:r>
      <w:r w:rsidRPr="001C4B96">
        <w:rPr>
          <w:rFonts w:eastAsia="Times New Roman" w:cs="Tahoma"/>
          <w:vertAlign w:val="superscript"/>
          <w:lang w:val="pt-BR"/>
        </w:rPr>
        <w:t>®</w:t>
      </w:r>
      <w:r w:rsidRPr="001C4B96">
        <w:rPr>
          <w:rFonts w:cs="Tahoma"/>
          <w:lang w:val="pt-BR"/>
        </w:rPr>
        <w:t xml:space="preserve"> 2008 R2 Workgroup (Complementar para 5 Clientes)</w:t>
      </w:r>
      <w:r w:rsidRPr="001C4B96">
        <w:tab/>
      </w:r>
      <w:r w:rsidRPr="001C4B96">
        <w:fldChar w:fldCharType="begin"/>
      </w:r>
      <w:r w:rsidRPr="001C4B96">
        <w:instrText xml:space="preserve"> PAGEREF _Toc352234130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para um Processador do SQL Server</w:t>
      </w:r>
      <w:r w:rsidRPr="001C4B96">
        <w:rPr>
          <w:rFonts w:eastAsia="Times New Roman" w:cs="Tahoma"/>
          <w:vertAlign w:val="superscript"/>
          <w:lang w:val="pt-BR"/>
        </w:rPr>
        <w:t>®</w:t>
      </w:r>
      <w:r w:rsidRPr="001C4B96">
        <w:rPr>
          <w:rFonts w:cs="Tahoma"/>
          <w:lang w:val="pt-BR"/>
        </w:rPr>
        <w:t xml:space="preserve"> 2008 R2 Workgroup</w:t>
      </w:r>
      <w:r w:rsidRPr="001C4B96">
        <w:tab/>
      </w:r>
      <w:r w:rsidRPr="001C4B96">
        <w:fldChar w:fldCharType="begin"/>
      </w:r>
      <w:r w:rsidRPr="001C4B96">
        <w:instrText xml:space="preserve"> PAGEREF _Toc352234131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SQL Server</w:t>
      </w:r>
      <w:r w:rsidRPr="001C4B96">
        <w:rPr>
          <w:rFonts w:eastAsia="Times New Roman" w:cs="Tahoma"/>
          <w:vertAlign w:val="superscript"/>
        </w:rPr>
        <w:t>®</w:t>
      </w:r>
      <w:r w:rsidRPr="001C4B96">
        <w:rPr>
          <w:rFonts w:cs="Tahoma"/>
        </w:rPr>
        <w:t xml:space="preserve"> 2012 Business Intelligence</w:t>
      </w:r>
      <w:r w:rsidRPr="001C4B96">
        <w:tab/>
      </w:r>
      <w:r w:rsidRPr="001C4B96">
        <w:fldChar w:fldCharType="begin"/>
      </w:r>
      <w:r w:rsidRPr="001C4B96">
        <w:instrText xml:space="preserve"> PAGEREF _Toc352234132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CAL do SQL Server</w:t>
      </w:r>
      <w:r w:rsidRPr="001C4B96">
        <w:rPr>
          <w:rFonts w:eastAsia="Times New Roman" w:cs="Tahoma"/>
          <w:vertAlign w:val="superscript"/>
          <w:lang w:val="pt-BR"/>
        </w:rPr>
        <w:t>®</w:t>
      </w:r>
      <w:r w:rsidRPr="001C4B96">
        <w:rPr>
          <w:rFonts w:cs="Tahoma"/>
          <w:lang w:val="pt-BR"/>
        </w:rPr>
        <w:t xml:space="preserve"> 2012  (SL de Usuário e Dispositivo)</w:t>
      </w:r>
      <w:r w:rsidRPr="001C4B96">
        <w:tab/>
      </w:r>
      <w:r w:rsidRPr="001C4B96">
        <w:fldChar w:fldCharType="begin"/>
      </w:r>
      <w:r w:rsidRPr="001C4B96">
        <w:instrText xml:space="preserve"> PAGEREF _Toc352234133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SQL Server</w:t>
      </w:r>
      <w:r w:rsidRPr="001C4B96">
        <w:rPr>
          <w:rFonts w:eastAsia="Times New Roman" w:cs="Tahoma"/>
          <w:vertAlign w:val="superscript"/>
        </w:rPr>
        <w:t>®</w:t>
      </w:r>
      <w:r w:rsidRPr="001C4B96">
        <w:rPr>
          <w:rFonts w:cs="Tahoma"/>
        </w:rPr>
        <w:t xml:space="preserve"> 2012 Developer</w:t>
      </w:r>
      <w:r w:rsidRPr="001C4B96">
        <w:tab/>
      </w:r>
      <w:r w:rsidRPr="001C4B96">
        <w:fldChar w:fldCharType="begin"/>
      </w:r>
      <w:r w:rsidRPr="001C4B96">
        <w:instrText xml:space="preserve"> PAGEREF _Toc352234134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SQL Server</w:t>
      </w:r>
      <w:r w:rsidRPr="001C4B96">
        <w:rPr>
          <w:rFonts w:eastAsia="Times New Roman" w:cs="Tahoma"/>
          <w:vertAlign w:val="superscript"/>
        </w:rPr>
        <w:t>®</w:t>
      </w:r>
      <w:r w:rsidRPr="001C4B96">
        <w:rPr>
          <w:rFonts w:cs="Tahoma"/>
        </w:rPr>
        <w:t xml:space="preserve"> 2012 Enterprise</w:t>
      </w:r>
      <w:r w:rsidRPr="001C4B96">
        <w:tab/>
      </w:r>
      <w:r w:rsidRPr="001C4B96">
        <w:fldChar w:fldCharType="begin"/>
      </w:r>
      <w:r w:rsidRPr="001C4B96">
        <w:instrText xml:space="preserve"> PAGEREF _Toc352234135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SQL Server</w:t>
      </w:r>
      <w:r w:rsidRPr="001C4B96">
        <w:rPr>
          <w:rFonts w:eastAsia="Times New Roman" w:cs="Tahoma"/>
          <w:vertAlign w:val="superscript"/>
          <w:lang w:val="pt-BR"/>
        </w:rPr>
        <w:t>®</w:t>
      </w:r>
      <w:r w:rsidRPr="001C4B96">
        <w:rPr>
          <w:rFonts w:cs="Tahoma"/>
          <w:lang w:val="pt-BR"/>
        </w:rPr>
        <w:t xml:space="preserve"> 2012 Enterprise Core  (duas Licenças Principais de pacote)</w:t>
      </w:r>
      <w:r w:rsidRPr="001C4B96">
        <w:tab/>
      </w:r>
      <w:r w:rsidRPr="001C4B96">
        <w:fldChar w:fldCharType="begin"/>
      </w:r>
      <w:r w:rsidRPr="001C4B96">
        <w:instrText xml:space="preserve"> PAGEREF _Toc352234136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SQL Server</w:t>
      </w:r>
      <w:r w:rsidRPr="001C4B96">
        <w:rPr>
          <w:rFonts w:eastAsia="Times New Roman" w:cs="Tahoma"/>
          <w:vertAlign w:val="superscript"/>
        </w:rPr>
        <w:t>®</w:t>
      </w:r>
      <w:r w:rsidRPr="001C4B96">
        <w:rPr>
          <w:rFonts w:cs="Tahoma"/>
        </w:rPr>
        <w:t xml:space="preserve"> 2012 Parallel Data Warehouse</w:t>
      </w:r>
      <w:r w:rsidRPr="001C4B96">
        <w:tab/>
      </w:r>
      <w:r w:rsidRPr="001C4B96">
        <w:fldChar w:fldCharType="begin"/>
      </w:r>
      <w:r w:rsidRPr="001C4B96">
        <w:instrText xml:space="preserve"> PAGEREF _Toc352234137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SQL Server</w:t>
      </w:r>
      <w:r w:rsidRPr="001C4B96">
        <w:rPr>
          <w:rFonts w:eastAsia="Times New Roman" w:cs="Tahoma"/>
          <w:vertAlign w:val="superscript"/>
        </w:rPr>
        <w:t>®</w:t>
      </w:r>
      <w:r w:rsidRPr="001C4B96">
        <w:rPr>
          <w:rFonts w:cs="Tahoma"/>
        </w:rPr>
        <w:t xml:space="preserve"> 2012 Parallel Data  Warehouse Developer</w:t>
      </w:r>
      <w:r w:rsidRPr="001C4B96">
        <w:tab/>
      </w:r>
      <w:r w:rsidRPr="001C4B96">
        <w:fldChar w:fldCharType="begin"/>
      </w:r>
      <w:r w:rsidRPr="001C4B96">
        <w:instrText xml:space="preserve"> PAGEREF _Toc352234138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SQL Server</w:t>
      </w:r>
      <w:r w:rsidRPr="001C4B96">
        <w:rPr>
          <w:rFonts w:eastAsia="Times New Roman" w:cs="Tahoma"/>
          <w:vertAlign w:val="superscript"/>
        </w:rPr>
        <w:t>®</w:t>
      </w:r>
      <w:r w:rsidRPr="001C4B96">
        <w:rPr>
          <w:rFonts w:cs="Tahoma"/>
        </w:rPr>
        <w:t xml:space="preserve"> 2012 Standard</w:t>
      </w:r>
      <w:r w:rsidRPr="001C4B96">
        <w:tab/>
      </w:r>
      <w:r w:rsidRPr="001C4B96">
        <w:fldChar w:fldCharType="begin"/>
      </w:r>
      <w:r w:rsidRPr="001C4B96">
        <w:instrText xml:space="preserve"> PAGEREF _Toc352234139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SQL Server</w:t>
      </w:r>
      <w:r w:rsidRPr="001C4B96">
        <w:rPr>
          <w:rFonts w:eastAsia="Times New Roman" w:cs="Tahoma"/>
          <w:vertAlign w:val="superscript"/>
          <w:lang w:val="pt-BR"/>
        </w:rPr>
        <w:t>®</w:t>
      </w:r>
      <w:r w:rsidRPr="001C4B96">
        <w:rPr>
          <w:rFonts w:cs="Tahoma"/>
          <w:lang w:val="pt-BR"/>
        </w:rPr>
        <w:t xml:space="preserve"> 2012 Standard Core  (duas Licenças Principais de pacote)</w:t>
      </w:r>
      <w:r w:rsidRPr="001C4B96">
        <w:tab/>
      </w:r>
      <w:r w:rsidRPr="001C4B96">
        <w:fldChar w:fldCharType="begin"/>
      </w:r>
      <w:r w:rsidRPr="001C4B96">
        <w:instrText xml:space="preserve"> PAGEREF _Toc352234140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Servidor do System Center Configuration Manager 2007 R3 Enterprise</w:t>
      </w:r>
      <w:r w:rsidRPr="001C4B96">
        <w:tab/>
      </w:r>
      <w:r w:rsidRPr="001C4B96">
        <w:fldChar w:fldCharType="begin"/>
      </w:r>
      <w:r w:rsidRPr="001C4B96">
        <w:instrText xml:space="preserve"> PAGEREF _Toc352234141 \h </w:instrText>
      </w:r>
      <w:r w:rsidRPr="001C4B96">
        <w:fldChar w:fldCharType="separate"/>
      </w:r>
      <w:r w:rsidRPr="001C4B96">
        <w:t>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Servidor Standard (ML de Servidor Standard) do System Center Configuration Manager 2007 R3)</w:t>
      </w:r>
      <w:r w:rsidRPr="001C4B96">
        <w:tab/>
      </w:r>
      <w:r w:rsidRPr="001C4B96">
        <w:fldChar w:fldCharType="begin"/>
      </w:r>
      <w:r w:rsidRPr="001C4B96">
        <w:instrText xml:space="preserve"> PAGEREF _Toc352234142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Servidor Enterprise do System Center Data Protection Manager 2010</w:t>
      </w:r>
      <w:r w:rsidRPr="001C4B96">
        <w:tab/>
      </w:r>
      <w:r w:rsidRPr="001C4B96">
        <w:fldChar w:fldCharType="begin"/>
      </w:r>
      <w:r w:rsidRPr="001C4B96">
        <w:instrText xml:space="preserve"> PAGEREF _Toc352234143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Servidor Standard do System Center Data Protection Manager 2010</w:t>
      </w:r>
      <w:r w:rsidRPr="001C4B96">
        <w:tab/>
      </w:r>
      <w:r w:rsidRPr="001C4B96">
        <w:fldChar w:fldCharType="begin"/>
      </w:r>
      <w:r w:rsidRPr="001C4B96">
        <w:instrText xml:space="preserve"> PAGEREF _Toc352234144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lastRenderedPageBreak/>
        <w:t>System Center Essentials 2010</w:t>
      </w:r>
      <w:r w:rsidRPr="001C4B96">
        <w:tab/>
      </w:r>
      <w:r w:rsidRPr="001C4B96">
        <w:fldChar w:fldCharType="begin"/>
      </w:r>
      <w:r w:rsidRPr="001C4B96">
        <w:instrText xml:space="preserve"> PAGEREF _Toc352234145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ML de Cliente do System Center Essentials 2010</w:t>
      </w:r>
      <w:r w:rsidRPr="001C4B96">
        <w:tab/>
      </w:r>
      <w:r w:rsidRPr="001C4B96">
        <w:fldChar w:fldCharType="begin"/>
      </w:r>
      <w:r w:rsidRPr="001C4B96">
        <w:instrText xml:space="preserve"> PAGEREF _Toc352234146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ML de Servidor do System Center Essentials 2010</w:t>
      </w:r>
      <w:r w:rsidRPr="001C4B96">
        <w:tab/>
      </w:r>
      <w:r w:rsidRPr="001C4B96">
        <w:fldChar w:fldCharType="begin"/>
      </w:r>
      <w:r w:rsidRPr="001C4B96">
        <w:instrText xml:space="preserve"> PAGEREF _Toc352234147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System Center Essentials 2010 com Tecnologia SQL Server 2008</w:t>
      </w:r>
      <w:r w:rsidRPr="001C4B96">
        <w:tab/>
      </w:r>
      <w:r w:rsidRPr="001C4B96">
        <w:fldChar w:fldCharType="begin"/>
      </w:r>
      <w:r w:rsidRPr="001C4B96">
        <w:instrText xml:space="preserve"> PAGEREF _Toc352234148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fr-FR"/>
        </w:rPr>
        <w:t>Management License Suite do System Center Essentials Plus 2010 Client</w:t>
      </w:r>
      <w:r w:rsidRPr="001C4B96">
        <w:tab/>
      </w:r>
      <w:r w:rsidRPr="001C4B96">
        <w:fldChar w:fldCharType="begin"/>
      </w:r>
      <w:r w:rsidRPr="001C4B96">
        <w:instrText xml:space="preserve"> PAGEREF _Toc352234149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Servidor Standard do System Center Operations Manager 2007 R2</w:t>
      </w:r>
      <w:r w:rsidRPr="001C4B96">
        <w:tab/>
      </w:r>
      <w:r w:rsidRPr="001C4B96">
        <w:fldChar w:fldCharType="begin"/>
      </w:r>
      <w:r w:rsidRPr="001C4B96">
        <w:instrText xml:space="preserve"> PAGEREF _Toc352234150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Servidor Enterprise do System Center Operations Manager 2007 R2</w:t>
      </w:r>
      <w:r w:rsidRPr="001C4B96">
        <w:tab/>
      </w:r>
      <w:r w:rsidRPr="001C4B96">
        <w:fldChar w:fldCharType="begin"/>
      </w:r>
      <w:r w:rsidRPr="001C4B96">
        <w:instrText xml:space="preserve"> PAGEREF _Toc352234151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Cliente do System Center Operations Manager 2007 R2 por OSE</w:t>
      </w:r>
      <w:r w:rsidRPr="001C4B96">
        <w:tab/>
      </w:r>
      <w:r w:rsidRPr="001C4B96">
        <w:fldChar w:fldCharType="begin"/>
      </w:r>
      <w:r w:rsidRPr="001C4B96">
        <w:instrText xml:space="preserve"> PAGEREF _Toc352234152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Cliente do System Center Operations Manager 2007 R2 por Usuário</w:t>
      </w:r>
      <w:r w:rsidRPr="001C4B96">
        <w:tab/>
      </w:r>
      <w:r w:rsidRPr="001C4B96">
        <w:fldChar w:fldCharType="begin"/>
      </w:r>
      <w:r w:rsidRPr="001C4B96">
        <w:instrText xml:space="preserve"> PAGEREF _Toc352234153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System Center Reporting Manager 2006</w:t>
      </w:r>
      <w:r w:rsidRPr="001C4B96">
        <w:tab/>
      </w:r>
      <w:r w:rsidRPr="001C4B96">
        <w:fldChar w:fldCharType="begin"/>
      </w:r>
      <w:r w:rsidRPr="001C4B96">
        <w:instrText xml:space="preserve"> PAGEREF _Toc352234154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System Center Server Management Suite Enterprise</w:t>
      </w:r>
      <w:r w:rsidRPr="001C4B96">
        <w:tab/>
      </w:r>
      <w:r w:rsidRPr="001C4B96">
        <w:fldChar w:fldCharType="begin"/>
      </w:r>
      <w:r w:rsidRPr="001C4B96">
        <w:instrText xml:space="preserve"> PAGEREF _Toc352234155 \h </w:instrText>
      </w:r>
      <w:r w:rsidRPr="001C4B96">
        <w:fldChar w:fldCharType="separate"/>
      </w:r>
      <w:r w:rsidRPr="001C4B96">
        <w:t>24</w:t>
      </w:r>
      <w:r w:rsidRPr="001C4B96">
        <w:fldChar w:fldCharType="end"/>
      </w:r>
    </w:p>
    <w:p w:rsidR="001C4B96" w:rsidRPr="001C4B96" w:rsidRDefault="001C4B96">
      <w:pPr>
        <w:pStyle w:val="TOC4"/>
        <w:rPr>
          <w:rFonts w:asciiTheme="minorHAnsi" w:eastAsiaTheme="minorEastAsia" w:hAnsiTheme="minorHAnsi" w:cstheme="minorBidi"/>
          <w:noProof/>
          <w:sz w:val="22"/>
          <w:szCs w:val="22"/>
        </w:rPr>
      </w:pPr>
      <w:r w:rsidRPr="001C4B96">
        <w:rPr>
          <w:rFonts w:cs="Tahoma"/>
          <w:noProof/>
        </w:rPr>
        <w:t>System Center Server Management Suite Datacenter</w:t>
      </w:r>
      <w:r w:rsidRPr="001C4B96">
        <w:rPr>
          <w:noProof/>
        </w:rPr>
        <w:tab/>
      </w:r>
      <w:r w:rsidRPr="001C4B96">
        <w:rPr>
          <w:noProof/>
        </w:rPr>
        <w:fldChar w:fldCharType="begin"/>
      </w:r>
      <w:r w:rsidRPr="001C4B96">
        <w:rPr>
          <w:noProof/>
        </w:rPr>
        <w:instrText xml:space="preserve"> PAGEREF _Toc352234156 \h </w:instrText>
      </w:r>
      <w:r w:rsidRPr="001C4B96">
        <w:rPr>
          <w:noProof/>
        </w:rPr>
      </w:r>
      <w:r w:rsidRPr="001C4B96">
        <w:rPr>
          <w:noProof/>
        </w:rPr>
        <w:fldChar w:fldCharType="separate"/>
      </w:r>
      <w:r w:rsidRPr="001C4B96">
        <w:rPr>
          <w:noProof/>
        </w:rPr>
        <w:t>24</w:t>
      </w:r>
      <w:r w:rsidRPr="001C4B96">
        <w:rPr>
          <w:noProof/>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Cliente (ML de Cliente) do System Center Service Manager 2010 por OSE</w:t>
      </w:r>
      <w:r w:rsidRPr="001C4B96">
        <w:tab/>
      </w:r>
      <w:r w:rsidRPr="001C4B96">
        <w:fldChar w:fldCharType="begin"/>
      </w:r>
      <w:r w:rsidRPr="001C4B96">
        <w:instrText xml:space="preserve"> PAGEREF _Toc352234157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Cliente (ML de Cliente) do System Center Service Manager 2010 por Usuário</w:t>
      </w:r>
      <w:r w:rsidRPr="001C4B96">
        <w:tab/>
      </w:r>
      <w:r w:rsidRPr="001C4B96">
        <w:fldChar w:fldCharType="begin"/>
      </w:r>
      <w:r w:rsidRPr="001C4B96">
        <w:instrText xml:space="preserve"> PAGEREF _Toc352234158 \h </w:instrText>
      </w:r>
      <w:r w:rsidRPr="001C4B96">
        <w:fldChar w:fldCharType="separate"/>
      </w:r>
      <w:r w:rsidRPr="001C4B96">
        <w:t>24</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Licença de Gerenciamento de Servidor (ML de Servidor) do System Center Service Manager 2010 por OSE</w:t>
      </w:r>
      <w:r w:rsidRPr="001C4B96">
        <w:rPr>
          <w:color w:val="auto"/>
        </w:rPr>
        <w:tab/>
      </w:r>
      <w:r w:rsidRPr="001C4B96">
        <w:rPr>
          <w:color w:val="auto"/>
        </w:rPr>
        <w:fldChar w:fldCharType="begin"/>
      </w:r>
      <w:r w:rsidRPr="001C4B96">
        <w:rPr>
          <w:color w:val="auto"/>
        </w:rPr>
        <w:instrText xml:space="preserve"> PAGEREF _Toc352234159 \h </w:instrText>
      </w:r>
      <w:r w:rsidRPr="001C4B96">
        <w:rPr>
          <w:color w:val="auto"/>
        </w:rPr>
      </w:r>
      <w:r w:rsidRPr="001C4B96">
        <w:rPr>
          <w:color w:val="auto"/>
        </w:rPr>
        <w:fldChar w:fldCharType="separate"/>
      </w:r>
      <w:r w:rsidRPr="001C4B96">
        <w:rPr>
          <w:color w:val="auto"/>
        </w:rPr>
        <w:t>24</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Licença de Gerenciamento de Cliente do System Center Virtual Machine Manager 2008 R2 por OSE</w:t>
      </w:r>
      <w:r w:rsidRPr="001C4B96">
        <w:tab/>
      </w:r>
      <w:r w:rsidRPr="001C4B96">
        <w:fldChar w:fldCharType="begin"/>
      </w:r>
      <w:r w:rsidRPr="001C4B96">
        <w:instrText xml:space="preserve"> PAGEREF _Toc352234160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Licença de Gerenciamento de Cliente do System Center Virtual Machine Manager 2008 R2 por Usuário</w:t>
      </w:r>
      <w:r w:rsidRPr="001C4B96">
        <w:tab/>
      </w:r>
      <w:r w:rsidRPr="001C4B96">
        <w:fldChar w:fldCharType="begin"/>
      </w:r>
      <w:r w:rsidRPr="001C4B96">
        <w:instrText xml:space="preserve"> PAGEREF _Toc352234161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Servidor Enterprise do System Center Virtual Machine Manager 2008 R2</w:t>
      </w:r>
      <w:r w:rsidRPr="001C4B96">
        <w:tab/>
      </w:r>
      <w:r w:rsidRPr="001C4B96">
        <w:fldChar w:fldCharType="begin"/>
      </w:r>
      <w:r w:rsidRPr="001C4B96">
        <w:instrText xml:space="preserve"> PAGEREF _Toc352234162 \h </w:instrText>
      </w:r>
      <w:r w:rsidRPr="001C4B96">
        <w:fldChar w:fldCharType="separate"/>
      </w:r>
      <w:r w:rsidRPr="001C4B96">
        <w:t>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fr-FR"/>
        </w:rPr>
        <w:t>System Center 2012 Client Management Suite (ML de Cliente) por OSE</w:t>
      </w:r>
      <w:r w:rsidRPr="001C4B96">
        <w:tab/>
      </w:r>
      <w:r w:rsidRPr="001C4B96">
        <w:fldChar w:fldCharType="begin"/>
      </w:r>
      <w:r w:rsidRPr="001C4B96">
        <w:instrText xml:space="preserve"> PAGEREF _Toc352234163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System Center 2012 Client Management Suite (ML de Cliente) por Usuário</w:t>
      </w:r>
      <w:r w:rsidRPr="001C4B96">
        <w:tab/>
      </w:r>
      <w:r w:rsidRPr="001C4B96">
        <w:fldChar w:fldCharType="begin"/>
      </w:r>
      <w:r w:rsidRPr="001C4B96">
        <w:instrText xml:space="preserve"> PAGEREF _Toc352234164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Cliente (ML de Cliente) do System Center 2012 Configuration Manager (Somente para Aluno)</w:t>
      </w:r>
      <w:r w:rsidRPr="001C4B96">
        <w:tab/>
      </w:r>
      <w:r w:rsidRPr="001C4B96">
        <w:fldChar w:fldCharType="begin"/>
      </w:r>
      <w:r w:rsidRPr="001C4B96">
        <w:instrText xml:space="preserve"> PAGEREF _Toc352234165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Cliente do System Center 2012 Configuration Manager por OSE</w:t>
      </w:r>
      <w:r w:rsidRPr="001C4B96">
        <w:tab/>
      </w:r>
      <w:r w:rsidRPr="001C4B96">
        <w:fldChar w:fldCharType="begin"/>
      </w:r>
      <w:r w:rsidRPr="001C4B96">
        <w:instrText xml:space="preserve"> PAGEREF _Toc352234166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de Cliente do System Center 2012 Configuration Manager por Usuário</w:t>
      </w:r>
      <w:r w:rsidRPr="001C4B96">
        <w:tab/>
      </w:r>
      <w:r w:rsidRPr="001C4B96">
        <w:fldChar w:fldCharType="begin"/>
      </w:r>
      <w:r w:rsidRPr="001C4B96">
        <w:instrText xml:space="preserve"> PAGEREF _Toc352234167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do System Center 2012 Datacenter Server (2 processadores)</w:t>
      </w:r>
      <w:r w:rsidRPr="001C4B96">
        <w:tab/>
      </w:r>
      <w:r w:rsidRPr="001C4B96">
        <w:fldChar w:fldCharType="begin"/>
      </w:r>
      <w:r w:rsidRPr="001C4B96">
        <w:instrText xml:space="preserve"> PAGEREF _Toc352234168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System Center 2012 Endpoint Protection</w:t>
      </w:r>
      <w:r w:rsidRPr="001C4B96">
        <w:tab/>
      </w:r>
      <w:r w:rsidRPr="001C4B96">
        <w:fldChar w:fldCharType="begin"/>
      </w:r>
      <w:r w:rsidRPr="001C4B96">
        <w:instrText xml:space="preserve"> PAGEREF _Toc352234169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Licença de Gerenciamento do System Center 2012 Standard Server (2 processadores)</w:t>
      </w:r>
      <w:r w:rsidRPr="001C4B96">
        <w:tab/>
      </w:r>
      <w:r w:rsidRPr="001C4B96">
        <w:fldChar w:fldCharType="begin"/>
      </w:r>
      <w:r w:rsidRPr="001C4B96">
        <w:instrText xml:space="preserve"> PAGEREF _Toc352234170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TechNet Plus Single User</w:t>
      </w:r>
      <w:r w:rsidRPr="001C4B96">
        <w:tab/>
      </w:r>
      <w:r w:rsidRPr="001C4B96">
        <w:fldChar w:fldCharType="begin"/>
      </w:r>
      <w:r w:rsidRPr="001C4B96">
        <w:instrText xml:space="preserve"> PAGEREF _Toc352234171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VDI Suite</w:t>
      </w:r>
      <w:r w:rsidRPr="001C4B96">
        <w:tab/>
      </w:r>
      <w:r w:rsidRPr="001C4B96">
        <w:fldChar w:fldCharType="begin"/>
      </w:r>
      <w:r w:rsidRPr="001C4B96">
        <w:instrText xml:space="preserve"> PAGEREF _Toc352234172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VDI Suite com MDOP</w:t>
      </w:r>
      <w:r w:rsidRPr="001C4B96">
        <w:tab/>
      </w:r>
      <w:r w:rsidRPr="001C4B96">
        <w:fldChar w:fldCharType="begin"/>
      </w:r>
      <w:r w:rsidRPr="001C4B96">
        <w:instrText xml:space="preserve"> PAGEREF _Toc352234173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VDI Standard Suite</w:t>
      </w:r>
      <w:r w:rsidRPr="001C4B96">
        <w:tab/>
      </w:r>
      <w:r w:rsidRPr="001C4B96">
        <w:fldChar w:fldCharType="begin"/>
      </w:r>
      <w:r w:rsidRPr="001C4B96">
        <w:instrText xml:space="preserve"> PAGEREF _Toc352234174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VDI Standard Suite com MDOP</w:t>
      </w:r>
      <w:r w:rsidRPr="001C4B96">
        <w:tab/>
      </w:r>
      <w:r w:rsidRPr="001C4B96">
        <w:fldChar w:fldCharType="begin"/>
      </w:r>
      <w:r w:rsidRPr="001C4B96">
        <w:instrText xml:space="preserve"> PAGEREF _Toc352234175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VDI Premium Suite</w:t>
      </w:r>
      <w:r w:rsidRPr="001C4B96">
        <w:tab/>
      </w:r>
      <w:r w:rsidRPr="001C4B96">
        <w:fldChar w:fldCharType="begin"/>
      </w:r>
      <w:r w:rsidRPr="001C4B96">
        <w:instrText xml:space="preserve"> PAGEREF _Toc352234176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VDI Premium Suite com MDOP</w:t>
      </w:r>
      <w:r w:rsidRPr="001C4B96">
        <w:tab/>
      </w:r>
      <w:r w:rsidRPr="001C4B96">
        <w:fldChar w:fldCharType="begin"/>
      </w:r>
      <w:r w:rsidRPr="001C4B96">
        <w:instrText xml:space="preserve"> PAGEREF _Toc352234177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Vexcel Server</w:t>
      </w:r>
      <w:r w:rsidRPr="001C4B96">
        <w:tab/>
      </w:r>
      <w:r w:rsidRPr="001C4B96">
        <w:fldChar w:fldCharType="begin"/>
      </w:r>
      <w:r w:rsidRPr="001C4B96">
        <w:instrText xml:space="preserve"> PAGEREF _Toc352234178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lang w:val="pt-BR"/>
        </w:rPr>
        <w:t>Vexcel Server com Pacote de Conteúdo Aprimorado</w:t>
      </w:r>
      <w:r w:rsidRPr="001C4B96">
        <w:tab/>
      </w:r>
      <w:r w:rsidRPr="001C4B96">
        <w:fldChar w:fldCharType="begin"/>
      </w:r>
      <w:r w:rsidRPr="001C4B96">
        <w:instrText xml:space="preserve"> PAGEREF _Toc352234179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Virtual Server 2005 R2 Enterprise Edition</w:t>
      </w:r>
      <w:r w:rsidRPr="001C4B96">
        <w:tab/>
      </w:r>
      <w:r w:rsidRPr="001C4B96">
        <w:fldChar w:fldCharType="begin"/>
      </w:r>
      <w:r w:rsidRPr="001C4B96">
        <w:instrText xml:space="preserve"> PAGEREF _Toc352234180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Visual Studio</w:t>
      </w:r>
      <w:r w:rsidRPr="001C4B96">
        <w:rPr>
          <w:rFonts w:eastAsia="Times New Roman" w:cs="Tahoma"/>
          <w:vertAlign w:val="superscript"/>
        </w:rPr>
        <w:t>®</w:t>
      </w:r>
      <w:r w:rsidRPr="001C4B96">
        <w:rPr>
          <w:rFonts w:cs="Tahoma"/>
        </w:rPr>
        <w:t xml:space="preserve"> Team Foundation Server 2012 com Tecnologia SQL Server 2012</w:t>
      </w:r>
      <w:r w:rsidRPr="001C4B96">
        <w:tab/>
      </w:r>
      <w:r w:rsidRPr="001C4B96">
        <w:fldChar w:fldCharType="begin"/>
      </w:r>
      <w:r w:rsidRPr="001C4B96">
        <w:instrText xml:space="preserve"> PAGEREF _Toc352234181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Dispositivo do Visual Studio</w:t>
      </w:r>
      <w:r w:rsidRPr="001C4B96">
        <w:rPr>
          <w:rFonts w:cs="Tahoma"/>
          <w:vertAlign w:val="superscript"/>
        </w:rPr>
        <w:t>®</w:t>
      </w:r>
      <w:r w:rsidRPr="001C4B96">
        <w:rPr>
          <w:rFonts w:cs="Tahoma"/>
        </w:rPr>
        <w:t xml:space="preserve"> Team Foundation Server 2012</w:t>
      </w:r>
      <w:r w:rsidRPr="001C4B96">
        <w:tab/>
      </w:r>
      <w:r w:rsidRPr="001C4B96">
        <w:fldChar w:fldCharType="begin"/>
      </w:r>
      <w:r w:rsidRPr="001C4B96">
        <w:instrText xml:space="preserve"> PAGEREF _Toc352234182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Usuário do Visual Studio</w:t>
      </w:r>
      <w:r w:rsidRPr="001C4B96">
        <w:rPr>
          <w:rFonts w:cs="Tahoma"/>
          <w:vertAlign w:val="superscript"/>
        </w:rPr>
        <w:t>®</w:t>
      </w:r>
      <w:r w:rsidRPr="001C4B96">
        <w:rPr>
          <w:rFonts w:cs="Tahoma"/>
        </w:rPr>
        <w:t xml:space="preserve"> Team Foundation Server 2012</w:t>
      </w:r>
      <w:r w:rsidRPr="001C4B96">
        <w:tab/>
      </w:r>
      <w:r w:rsidRPr="001C4B96">
        <w:fldChar w:fldCharType="begin"/>
      </w:r>
      <w:r w:rsidRPr="001C4B96">
        <w:instrText xml:space="preserve"> PAGEREF _Toc352234183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Assinatura do Web Antimalware para Forefront Threat Management Gateway Medium Business Edition (Dispositivo e Usuário)</w:t>
      </w:r>
      <w:r w:rsidRPr="001C4B96">
        <w:tab/>
      </w:r>
      <w:r w:rsidRPr="001C4B96">
        <w:fldChar w:fldCharType="begin"/>
      </w:r>
      <w:r w:rsidRPr="001C4B96">
        <w:instrText xml:space="preserve"> PAGEREF _Toc352234184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Serviços do Windows Azure</w:t>
      </w:r>
      <w:r w:rsidRPr="001C4B96">
        <w:tab/>
      </w:r>
      <w:r w:rsidRPr="001C4B96">
        <w:fldChar w:fldCharType="begin"/>
      </w:r>
      <w:r w:rsidRPr="001C4B96">
        <w:instrText xml:space="preserve"> PAGEREF _Toc352234185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w:t>
      </w:r>
      <w:r w:rsidRPr="001C4B96">
        <w:rPr>
          <w:rFonts w:cs="Tahoma"/>
          <w:vertAlign w:val="superscript"/>
        </w:rPr>
        <w:t>®</w:t>
      </w:r>
      <w:r w:rsidRPr="001C4B96">
        <w:rPr>
          <w:rFonts w:cs="Tahoma"/>
        </w:rPr>
        <w:t xml:space="preserve"> Embedded Device Manager 2011</w:t>
      </w:r>
      <w:r w:rsidRPr="001C4B96">
        <w:tab/>
      </w:r>
      <w:r w:rsidRPr="001C4B96">
        <w:fldChar w:fldCharType="begin"/>
      </w:r>
      <w:r w:rsidRPr="001C4B96">
        <w:instrText xml:space="preserve"> PAGEREF _Toc352234186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Licença de Gerenciamento de Cliente do Windows</w:t>
      </w:r>
      <w:r w:rsidRPr="001C4B96">
        <w:rPr>
          <w:rFonts w:cs="Tahoma"/>
          <w:vertAlign w:val="superscript"/>
        </w:rPr>
        <w:t>®</w:t>
      </w:r>
      <w:r w:rsidRPr="001C4B96">
        <w:rPr>
          <w:rFonts w:cs="Tahoma"/>
        </w:rPr>
        <w:t xml:space="preserve"> Embedded Device Manager 2011 por OSE</w:t>
      </w:r>
      <w:r w:rsidRPr="001C4B96">
        <w:tab/>
      </w:r>
      <w:r w:rsidRPr="001C4B96">
        <w:fldChar w:fldCharType="begin"/>
      </w:r>
      <w:r w:rsidRPr="001C4B96">
        <w:instrText xml:space="preserve"> PAGEREF _Toc352234187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Licença de Gerenciamento de Cliente do Windows</w:t>
      </w:r>
      <w:r w:rsidRPr="001C4B96">
        <w:rPr>
          <w:rFonts w:cs="Tahoma"/>
          <w:vertAlign w:val="superscript"/>
        </w:rPr>
        <w:t>®</w:t>
      </w:r>
      <w:r w:rsidRPr="001C4B96">
        <w:rPr>
          <w:rFonts w:cs="Tahoma"/>
        </w:rPr>
        <w:t xml:space="preserve"> Embedded Device Manager 2011 por Usuário</w:t>
      </w:r>
      <w:r w:rsidRPr="001C4B96">
        <w:tab/>
      </w:r>
      <w:r w:rsidRPr="001C4B96">
        <w:fldChar w:fldCharType="begin"/>
      </w:r>
      <w:r w:rsidRPr="001C4B96">
        <w:instrText xml:space="preserve"> PAGEREF _Toc352234188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w:t>
      </w:r>
      <w:r w:rsidRPr="001C4B96">
        <w:rPr>
          <w:rFonts w:cs="Tahoma"/>
          <w:vertAlign w:val="superscript"/>
        </w:rPr>
        <w:t>®</w:t>
      </w:r>
      <w:r w:rsidRPr="001C4B96">
        <w:rPr>
          <w:rFonts w:cs="Tahoma"/>
        </w:rPr>
        <w:t xml:space="preserve"> Embedded Device Manager 2011 com Tecnologia SQL Server</w:t>
      </w:r>
      <w:r w:rsidRPr="001C4B96">
        <w:rPr>
          <w:rFonts w:cs="Tahoma"/>
          <w:vertAlign w:val="superscript"/>
        </w:rPr>
        <w:t>®</w:t>
      </w:r>
      <w:r w:rsidRPr="001C4B96">
        <w:rPr>
          <w:rFonts w:cs="Tahoma"/>
        </w:rPr>
        <w:t xml:space="preserve"> 2008</w:t>
      </w:r>
      <w:r w:rsidRPr="001C4B96">
        <w:tab/>
      </w:r>
      <w:r w:rsidRPr="001C4B96">
        <w:fldChar w:fldCharType="begin"/>
      </w:r>
      <w:r w:rsidRPr="001C4B96">
        <w:instrText xml:space="preserve"> PAGEREF _Toc352234189 \h </w:instrText>
      </w:r>
      <w:r w:rsidRPr="001C4B96">
        <w:fldChar w:fldCharType="separate"/>
      </w:r>
      <w:r w:rsidRPr="001C4B96">
        <w:t>25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Essential Business Server 2008 Standard</w:t>
      </w:r>
      <w:r w:rsidRPr="001C4B96">
        <w:tab/>
      </w:r>
      <w:r w:rsidRPr="001C4B96">
        <w:fldChar w:fldCharType="begin"/>
      </w:r>
      <w:r w:rsidRPr="001C4B96">
        <w:instrText xml:space="preserve"> PAGEREF _Toc352234190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Essential Business Server 2008 CAL Suite</w:t>
      </w:r>
      <w:r w:rsidRPr="001C4B96">
        <w:tab/>
      </w:r>
      <w:r w:rsidRPr="001C4B96">
        <w:fldChar w:fldCharType="begin"/>
      </w:r>
      <w:r w:rsidRPr="001C4B96">
        <w:instrText xml:space="preserve"> PAGEREF _Toc352234191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Essential Business Server 2008 CAL Suite (5 clientes)</w:t>
      </w:r>
      <w:r w:rsidRPr="001C4B96">
        <w:tab/>
      </w:r>
      <w:r w:rsidRPr="001C4B96">
        <w:fldChar w:fldCharType="begin"/>
      </w:r>
      <w:r w:rsidRPr="001C4B96">
        <w:instrText xml:space="preserve"> PAGEREF _Toc352234192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Essential Business Server 2008 CAL Suite (20 clientes)</w:t>
      </w:r>
      <w:r w:rsidRPr="001C4B96">
        <w:tab/>
      </w:r>
      <w:r w:rsidRPr="001C4B96">
        <w:fldChar w:fldCharType="begin"/>
      </w:r>
      <w:r w:rsidRPr="001C4B96">
        <w:instrText xml:space="preserve"> PAGEREF _Toc352234193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Essential Business Server 2008 CAL Suite (50 clientes)</w:t>
      </w:r>
      <w:r w:rsidRPr="001C4B96">
        <w:tab/>
      </w:r>
      <w:r w:rsidRPr="001C4B96">
        <w:fldChar w:fldCharType="begin"/>
      </w:r>
      <w:r w:rsidRPr="001C4B96">
        <w:instrText xml:space="preserve"> PAGEREF _Toc352234194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Essential Business Server 2008 Premium</w:t>
      </w:r>
      <w:r w:rsidRPr="001C4B96">
        <w:tab/>
      </w:r>
      <w:r w:rsidRPr="001C4B96">
        <w:fldChar w:fldCharType="begin"/>
      </w:r>
      <w:r w:rsidRPr="001C4B96">
        <w:instrText xml:space="preserve"> PAGEREF _Toc352234195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Pacote de CALs do Windows Essential Business Server 2008 para Dispositivos ou Usuários Premium</w:t>
      </w:r>
      <w:r w:rsidRPr="001C4B96">
        <w:tab/>
      </w:r>
      <w:r w:rsidRPr="001C4B96">
        <w:fldChar w:fldCharType="begin"/>
      </w:r>
      <w:r w:rsidRPr="001C4B96">
        <w:instrText xml:space="preserve"> PAGEREF _Toc352234196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Essential Business Server 2008 CAL Suite para Usuários ou Dispositivos Premium (5 clientes)</w:t>
      </w:r>
      <w:r w:rsidRPr="001C4B96">
        <w:tab/>
      </w:r>
      <w:r w:rsidRPr="001C4B96">
        <w:fldChar w:fldCharType="begin"/>
      </w:r>
      <w:r w:rsidRPr="001C4B96">
        <w:instrText xml:space="preserve"> PAGEREF _Toc352234197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Essential Business Server 2008 CAL Suite para Usuários ou Dispositivos Premium (20 clientes)</w:t>
      </w:r>
      <w:r w:rsidRPr="001C4B96">
        <w:tab/>
      </w:r>
      <w:r w:rsidRPr="001C4B96">
        <w:fldChar w:fldCharType="begin"/>
      </w:r>
      <w:r w:rsidRPr="001C4B96">
        <w:instrText xml:space="preserve"> PAGEREF _Toc352234198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Essential Business Server 2008 CAL Suite para Usuários ou Dispositivos Premium (50 clientes)</w:t>
      </w:r>
      <w:r w:rsidRPr="001C4B96">
        <w:tab/>
      </w:r>
      <w:r w:rsidRPr="001C4B96">
        <w:fldChar w:fldCharType="begin"/>
      </w:r>
      <w:r w:rsidRPr="001C4B96">
        <w:instrText xml:space="preserve"> PAGEREF _Toc352234199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HPC Server 2008 R2 Suite</w:t>
      </w:r>
      <w:r w:rsidRPr="001C4B96">
        <w:tab/>
      </w:r>
      <w:r w:rsidRPr="001C4B96">
        <w:fldChar w:fldCharType="begin"/>
      </w:r>
      <w:r w:rsidRPr="001C4B96">
        <w:instrText xml:space="preserve"> PAGEREF _Toc352234200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lastRenderedPageBreak/>
        <w:t>Complemento do Windows Intune para System Center Configuration Manager e System Center Endppoint Protection (por usuário)</w:t>
      </w:r>
      <w:r w:rsidRPr="001C4B96">
        <w:tab/>
      </w:r>
      <w:r w:rsidRPr="001C4B96">
        <w:fldChar w:fldCharType="begin"/>
      </w:r>
      <w:r w:rsidRPr="001C4B96">
        <w:instrText xml:space="preserve"> PAGEREF _Toc352234201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Intune (por usuário)</w:t>
      </w:r>
      <w:r w:rsidRPr="001C4B96">
        <w:tab/>
      </w:r>
      <w:r w:rsidRPr="001C4B96">
        <w:fldChar w:fldCharType="begin"/>
      </w:r>
      <w:r w:rsidRPr="001C4B96">
        <w:instrText xml:space="preserve"> PAGEREF _Toc352234202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Armazenamento Extra de 1 GB de SL Complementar do Usuário do Windows Intune</w:t>
      </w:r>
      <w:r w:rsidRPr="001C4B96">
        <w:tab/>
      </w:r>
      <w:r w:rsidRPr="001C4B96">
        <w:fldChar w:fldCharType="begin"/>
      </w:r>
      <w:r w:rsidRPr="001C4B96">
        <w:instrText xml:space="preserve"> PAGEREF _Toc352234203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MultiPoint Server 2012 Standard</w:t>
      </w:r>
      <w:r w:rsidRPr="001C4B96">
        <w:tab/>
      </w:r>
      <w:r w:rsidRPr="001C4B96">
        <w:fldChar w:fldCharType="begin"/>
      </w:r>
      <w:r w:rsidRPr="001C4B96">
        <w:instrText xml:space="preserve"> PAGEREF _Toc352234204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MultiPoint Server 2012 Premium</w:t>
      </w:r>
      <w:r w:rsidRPr="001C4B96">
        <w:tab/>
      </w:r>
      <w:r w:rsidRPr="001C4B96">
        <w:fldChar w:fldCharType="begin"/>
      </w:r>
      <w:r w:rsidRPr="001C4B96">
        <w:instrText xml:space="preserve"> PAGEREF _Toc352234205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Windows MultiPoint Server 2012</w:t>
      </w:r>
      <w:r w:rsidRPr="001C4B96">
        <w:tab/>
      </w:r>
      <w:r w:rsidRPr="001C4B96">
        <w:fldChar w:fldCharType="begin"/>
      </w:r>
      <w:r w:rsidRPr="001C4B96">
        <w:instrText xml:space="preserve"> PAGEREF _Toc352234206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Windows MultiPoint Server 2012 com CAL do Windows Server 2012</w:t>
      </w:r>
      <w:r w:rsidRPr="001C4B96">
        <w:tab/>
      </w:r>
      <w:r w:rsidRPr="001C4B96">
        <w:fldChar w:fldCharType="begin"/>
      </w:r>
      <w:r w:rsidRPr="001C4B96">
        <w:instrText xml:space="preserve"> PAGEREF _Toc352234207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MultiPoint Server 2012 Premium com Windows MultiPoint Server 2012 (CAL) (5 Clientes)</w:t>
      </w:r>
      <w:r w:rsidRPr="001C4B96">
        <w:tab/>
      </w:r>
      <w:r w:rsidRPr="001C4B96">
        <w:fldChar w:fldCharType="begin"/>
      </w:r>
      <w:r w:rsidRPr="001C4B96">
        <w:instrText xml:space="preserve"> PAGEREF _Toc352234208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MultiPoint Server 2012 Premium com Windows MultiPoint Server 2012 (CAL) (5 Clientes) com CAL do Windows Server 2012 (5 Clientes)</w:t>
      </w:r>
      <w:r w:rsidRPr="001C4B96">
        <w:tab/>
      </w:r>
      <w:r w:rsidRPr="001C4B96">
        <w:fldChar w:fldCharType="begin"/>
      </w:r>
      <w:r w:rsidRPr="001C4B96">
        <w:instrText xml:space="preserve"> PAGEREF _Toc352234209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Server™ 2008 R2 HPC Edition</w:t>
      </w:r>
      <w:r w:rsidRPr="001C4B96">
        <w:tab/>
      </w:r>
      <w:r w:rsidRPr="001C4B96">
        <w:fldChar w:fldCharType="begin"/>
      </w:r>
      <w:r w:rsidRPr="001C4B96">
        <w:instrText xml:space="preserve"> PAGEREF _Toc352234210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Server™ 2008 R2 Enterprise</w:t>
      </w:r>
      <w:r w:rsidRPr="001C4B96">
        <w:tab/>
      </w:r>
      <w:r w:rsidRPr="001C4B96">
        <w:fldChar w:fldCharType="begin"/>
      </w:r>
      <w:r w:rsidRPr="001C4B96">
        <w:instrText xml:space="preserve"> PAGEREF _Toc352234211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Server™ 2008 R2 Itanium Based Systems</w:t>
      </w:r>
      <w:r w:rsidRPr="001C4B96">
        <w:tab/>
      </w:r>
      <w:r w:rsidRPr="001C4B96">
        <w:fldChar w:fldCharType="begin"/>
      </w:r>
      <w:r w:rsidRPr="001C4B96">
        <w:instrText xml:space="preserve"> PAGEREF _Toc352234212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 Windows Server™ 2012 (Dispositivo e Usuário)</w:t>
      </w:r>
      <w:r w:rsidRPr="001C4B96">
        <w:tab/>
      </w:r>
      <w:r w:rsidRPr="001C4B96">
        <w:fldChar w:fldCharType="begin"/>
      </w:r>
      <w:r w:rsidRPr="001C4B96">
        <w:instrText xml:space="preserve"> PAGEREF _Toc352234213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Server™ 2012 Datacenter</w:t>
      </w:r>
      <w:r w:rsidRPr="001C4B96">
        <w:tab/>
      </w:r>
      <w:r w:rsidRPr="001C4B96">
        <w:fldChar w:fldCharType="begin"/>
      </w:r>
      <w:r w:rsidRPr="001C4B96">
        <w:instrText xml:space="preserve"> PAGEREF _Toc352234214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Server™ 2012 Standard</w:t>
      </w:r>
      <w:r w:rsidRPr="001C4B96">
        <w:tab/>
      </w:r>
      <w:r w:rsidRPr="001C4B96">
        <w:fldChar w:fldCharType="begin"/>
      </w:r>
      <w:r w:rsidRPr="001C4B96">
        <w:instrText xml:space="preserve"> PAGEREF _Toc352234215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External Connector do Windows Server™</w:t>
      </w:r>
      <w:r w:rsidRPr="001C4B96">
        <w:tab/>
      </w:r>
      <w:r w:rsidRPr="001C4B96">
        <w:fldChar w:fldCharType="begin"/>
      </w:r>
      <w:r w:rsidRPr="001C4B96">
        <w:instrText xml:space="preserve"> PAGEREF _Toc352234216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de Serviços de Área de Trabalho Remota do Windows Server™ 2012</w:t>
      </w:r>
      <w:r w:rsidRPr="001C4B96">
        <w:tab/>
      </w:r>
      <w:r w:rsidRPr="001C4B96">
        <w:fldChar w:fldCharType="begin"/>
      </w:r>
      <w:r w:rsidRPr="001C4B96">
        <w:instrText xml:space="preserve"> PAGEREF _Toc352234217 \h </w:instrText>
      </w:r>
      <w:r w:rsidRPr="001C4B96">
        <w:fldChar w:fldCharType="separate"/>
      </w:r>
      <w:r w:rsidRPr="001C4B96">
        <w:t>26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External Connector dos Serviços de Área de Trabalho Remota do Windows Server™ 2012</w:t>
      </w:r>
      <w:r w:rsidRPr="001C4B96">
        <w:tab/>
      </w:r>
      <w:r w:rsidRPr="001C4B96">
        <w:fldChar w:fldCharType="begin"/>
      </w:r>
      <w:r w:rsidRPr="001C4B96">
        <w:instrText xml:space="preserve"> PAGEREF _Toc352234218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CAL dos Serviços de Gerenciamento de Direitos do Active Directory do Windows Server™ 2012</w:t>
      </w:r>
      <w:r w:rsidRPr="001C4B96">
        <w:tab/>
      </w:r>
      <w:r w:rsidRPr="001C4B96">
        <w:fldChar w:fldCharType="begin"/>
      </w:r>
      <w:r w:rsidRPr="001C4B96">
        <w:instrText xml:space="preserve"> PAGEREF _Toc352234219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External Connector dos Serviços de Gerenciamento de Direitos do Active Directory do Windows Server™</w:t>
      </w:r>
      <w:r w:rsidRPr="001C4B96">
        <w:tab/>
      </w:r>
      <w:r w:rsidRPr="001C4B96">
        <w:fldChar w:fldCharType="begin"/>
      </w:r>
      <w:r w:rsidRPr="001C4B96">
        <w:instrText xml:space="preserve"> PAGEREF _Toc352234220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Small Business Server 2008 Premium</w:t>
      </w:r>
      <w:r w:rsidRPr="001C4B96">
        <w:tab/>
      </w:r>
      <w:r w:rsidRPr="001C4B96">
        <w:fldChar w:fldCharType="begin"/>
      </w:r>
      <w:r w:rsidRPr="001C4B96">
        <w:instrText xml:space="preserve"> PAGEREF _Toc352234221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Small Business Server 2008 CAL Suite para Usuários ou Dispositivos Premium</w:t>
      </w:r>
      <w:r w:rsidRPr="001C4B96">
        <w:tab/>
      </w:r>
      <w:r w:rsidRPr="001C4B96">
        <w:fldChar w:fldCharType="begin"/>
      </w:r>
      <w:r w:rsidRPr="001C4B96">
        <w:instrText xml:space="preserve"> PAGEREF _Toc352234222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Small Business Server 2008 CAL Suite para Usuários ou Dispositivos Premium (5 Clientes)</w:t>
      </w:r>
      <w:r w:rsidRPr="001C4B96">
        <w:tab/>
      </w:r>
      <w:r w:rsidRPr="001C4B96">
        <w:fldChar w:fldCharType="begin"/>
      </w:r>
      <w:r w:rsidRPr="001C4B96">
        <w:instrText xml:space="preserve"> PAGEREF _Toc352234223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Small Business Server 2008 CAL Suite para Usuários ou Dispositivos Premium (20 Clientes)</w:t>
      </w:r>
      <w:r w:rsidRPr="001C4B96">
        <w:tab/>
      </w:r>
      <w:r w:rsidRPr="001C4B96">
        <w:fldChar w:fldCharType="begin"/>
      </w:r>
      <w:r w:rsidRPr="001C4B96">
        <w:instrText xml:space="preserve"> PAGEREF _Toc352234224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Small Business Server 2011 Standard (5 clientes)</w:t>
      </w:r>
      <w:r w:rsidRPr="001C4B96">
        <w:tab/>
      </w:r>
      <w:r w:rsidRPr="001C4B96">
        <w:fldChar w:fldCharType="begin"/>
      </w:r>
      <w:r w:rsidRPr="001C4B96">
        <w:instrText xml:space="preserve"> PAGEREF _Toc352234225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Small Business Server 2011 CAL Suite (1 cliente)</w:t>
      </w:r>
      <w:r w:rsidRPr="001C4B96">
        <w:tab/>
      </w:r>
      <w:r w:rsidRPr="001C4B96">
        <w:fldChar w:fldCharType="begin"/>
      </w:r>
      <w:r w:rsidRPr="001C4B96">
        <w:instrText xml:space="preserve"> PAGEREF _Toc352234226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Small Business Server 2011 CAL Suite (5 clientes)</w:t>
      </w:r>
      <w:r w:rsidRPr="001C4B96">
        <w:tab/>
      </w:r>
      <w:r w:rsidRPr="001C4B96">
        <w:fldChar w:fldCharType="begin"/>
      </w:r>
      <w:r w:rsidRPr="001C4B96">
        <w:instrText xml:space="preserve"> PAGEREF _Toc352234227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Small Business Server 2011 CAL Suite (20 clientes)</w:t>
      </w:r>
      <w:r w:rsidRPr="001C4B96">
        <w:tab/>
      </w:r>
      <w:r w:rsidRPr="001C4B96">
        <w:fldChar w:fldCharType="begin"/>
      </w:r>
      <w:r w:rsidRPr="001C4B96">
        <w:instrText xml:space="preserve"> PAGEREF _Toc352234228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Complemento do Windows Small Business Server 2011 Premium (5 clientes)</w:t>
      </w:r>
      <w:r w:rsidRPr="001C4B96">
        <w:tab/>
      </w:r>
      <w:r w:rsidRPr="001C4B96">
        <w:fldChar w:fldCharType="begin"/>
      </w:r>
      <w:r w:rsidRPr="001C4B96">
        <w:instrText xml:space="preserve"> PAGEREF _Toc352234229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Pacote de CALs do Complemento do Windows Small Business Server (SBS) 2011 Premium</w:t>
      </w:r>
      <w:r w:rsidRPr="001C4B96">
        <w:tab/>
      </w:r>
      <w:r w:rsidRPr="001C4B96">
        <w:fldChar w:fldCharType="begin"/>
      </w:r>
      <w:r w:rsidRPr="001C4B96">
        <w:instrText xml:space="preserve"> PAGEREF _Toc352234230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Pacote de CALs do Complemento do Windows Small Business Server 2011 (5 clientes)</w:t>
      </w:r>
      <w:r w:rsidRPr="001C4B96">
        <w:tab/>
      </w:r>
      <w:r w:rsidRPr="001C4B96">
        <w:fldChar w:fldCharType="begin"/>
      </w:r>
      <w:r w:rsidRPr="001C4B96">
        <w:instrText xml:space="preserve"> PAGEREF _Toc352234231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Pacote de CALs do Complemento do Windows Small Business Server 2011 (20 clientes)</w:t>
      </w:r>
      <w:r w:rsidRPr="001C4B96">
        <w:tab/>
      </w:r>
      <w:r w:rsidRPr="001C4B96">
        <w:fldChar w:fldCharType="begin"/>
      </w:r>
      <w:r w:rsidRPr="001C4B96">
        <w:instrText xml:space="preserve"> PAGEREF _Toc352234232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Server Essentials 2012</w:t>
      </w:r>
      <w:r w:rsidRPr="001C4B96">
        <w:tab/>
      </w:r>
      <w:r w:rsidRPr="001C4B96">
        <w:fldChar w:fldCharType="begin"/>
      </w:r>
      <w:r w:rsidRPr="001C4B96">
        <w:instrText xml:space="preserve"> PAGEREF _Toc352234233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Small Business Server 2011 Essentials</w:t>
      </w:r>
      <w:r w:rsidRPr="001C4B96">
        <w:tab/>
      </w:r>
      <w:r w:rsidRPr="001C4B96">
        <w:fldChar w:fldCharType="begin"/>
      </w:r>
      <w:r w:rsidRPr="001C4B96">
        <w:instrText xml:space="preserve"> PAGEREF _Toc352234234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Windows Web Server 2008 R2</w:t>
      </w:r>
      <w:r w:rsidRPr="001C4B96">
        <w:tab/>
      </w:r>
      <w:r w:rsidRPr="001C4B96">
        <w:fldChar w:fldCharType="begin"/>
      </w:r>
      <w:r w:rsidRPr="001C4B96">
        <w:instrText xml:space="preserve"> PAGEREF _Toc352234235 \h </w:instrText>
      </w:r>
      <w:r w:rsidRPr="001C4B96">
        <w:fldChar w:fldCharType="separate"/>
      </w:r>
      <w:r w:rsidRPr="001C4B96">
        <w:t>27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Yammer Enterprise</w:t>
      </w:r>
      <w:r w:rsidRPr="001C4B96">
        <w:tab/>
      </w:r>
      <w:r w:rsidRPr="001C4B96">
        <w:fldChar w:fldCharType="begin"/>
      </w:r>
      <w:r w:rsidRPr="001C4B96">
        <w:instrText xml:space="preserve"> PAGEREF _Toc352234236 \h </w:instrText>
      </w:r>
      <w:r w:rsidRPr="001C4B96">
        <w:fldChar w:fldCharType="separate"/>
      </w:r>
      <w:r w:rsidRPr="001C4B96">
        <w:t>27</w:t>
      </w:r>
      <w:r w:rsidRPr="001C4B96">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ab/>
      </w:r>
      <w:r w:rsidRPr="001C4B96">
        <w:rPr>
          <w:color w:val="auto"/>
        </w:rPr>
        <w:fldChar w:fldCharType="begin"/>
      </w:r>
      <w:r w:rsidRPr="001C4B96">
        <w:rPr>
          <w:color w:val="auto"/>
        </w:rPr>
        <w:instrText xml:space="preserve"> PAGEREF _Toc352234237 \h </w:instrText>
      </w:r>
      <w:r w:rsidRPr="001C4B96">
        <w:rPr>
          <w:color w:val="auto"/>
        </w:rPr>
      </w:r>
      <w:r w:rsidRPr="001C4B96">
        <w:rPr>
          <w:color w:val="auto"/>
        </w:rPr>
        <w:fldChar w:fldCharType="separate"/>
      </w:r>
      <w:r w:rsidRPr="001C4B96">
        <w:rPr>
          <w:color w:val="auto"/>
        </w:rPr>
        <w:t>27</w:t>
      </w:r>
      <w:r w:rsidRPr="001C4B96">
        <w:rPr>
          <w:color w:val="auto"/>
        </w:rPr>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SEÇÃO 1 – Alterações na LISTA DE PRODUTOS nos últimos 12 meses</w:t>
      </w:r>
      <w:r w:rsidRPr="001C4B96">
        <w:rPr>
          <w:color w:val="auto"/>
        </w:rPr>
        <w:tab/>
      </w:r>
      <w:r w:rsidRPr="001C4B96">
        <w:rPr>
          <w:color w:val="auto"/>
        </w:rPr>
        <w:fldChar w:fldCharType="begin"/>
      </w:r>
      <w:r w:rsidRPr="001C4B96">
        <w:rPr>
          <w:color w:val="auto"/>
        </w:rPr>
        <w:instrText xml:space="preserve"> PAGEREF _Toc352234238 \h </w:instrText>
      </w:r>
      <w:r w:rsidRPr="001C4B96">
        <w:rPr>
          <w:color w:val="auto"/>
        </w:rPr>
      </w:r>
      <w:r w:rsidRPr="001C4B96">
        <w:rPr>
          <w:color w:val="auto"/>
        </w:rPr>
        <w:fldChar w:fldCharType="separate"/>
      </w:r>
      <w:r w:rsidRPr="001C4B96">
        <w:rPr>
          <w:color w:val="auto"/>
        </w:rPr>
        <w:t>28</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ABRIL DE 2013</w:t>
      </w:r>
      <w:r w:rsidRPr="001C4B96">
        <w:tab/>
      </w:r>
      <w:r w:rsidRPr="001C4B96">
        <w:fldChar w:fldCharType="begin"/>
      </w:r>
      <w:r w:rsidRPr="001C4B96">
        <w:instrText xml:space="preserve"> PAGEREF _Toc352234239 \h </w:instrText>
      </w:r>
      <w:r w:rsidRPr="001C4B96">
        <w:fldChar w:fldCharType="separate"/>
      </w:r>
      <w:r w:rsidRPr="001C4B96">
        <w:t>28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MARÇO DE 2013</w:t>
      </w:r>
      <w:r w:rsidRPr="001C4B96">
        <w:tab/>
      </w:r>
      <w:r w:rsidRPr="001C4B96">
        <w:fldChar w:fldCharType="begin"/>
      </w:r>
      <w:r w:rsidRPr="001C4B96">
        <w:instrText xml:space="preserve"> PAGEREF _Toc352234240 \h </w:instrText>
      </w:r>
      <w:r w:rsidRPr="001C4B96">
        <w:fldChar w:fldCharType="separate"/>
      </w:r>
      <w:r w:rsidRPr="001C4B96">
        <w:t>30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FEVEREIRO DE 2013</w:t>
      </w:r>
      <w:r w:rsidRPr="001C4B96">
        <w:tab/>
      </w:r>
      <w:r w:rsidRPr="001C4B96">
        <w:fldChar w:fldCharType="begin"/>
      </w:r>
      <w:r w:rsidRPr="001C4B96">
        <w:instrText xml:space="preserve"> PAGEREF _Toc352234241 \h </w:instrText>
      </w:r>
      <w:r w:rsidRPr="001C4B96">
        <w:fldChar w:fldCharType="separate"/>
      </w:r>
      <w:r w:rsidRPr="001C4B96">
        <w:t>31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JANEIRO DE 2013</w:t>
      </w:r>
      <w:r w:rsidRPr="001C4B96">
        <w:tab/>
      </w:r>
      <w:r w:rsidRPr="001C4B96">
        <w:fldChar w:fldCharType="begin"/>
      </w:r>
      <w:r w:rsidRPr="001C4B96">
        <w:instrText xml:space="preserve"> PAGEREF _Toc352234242 \h </w:instrText>
      </w:r>
      <w:r w:rsidRPr="001C4B96">
        <w:fldChar w:fldCharType="separate"/>
      </w:r>
      <w:r w:rsidRPr="001C4B96">
        <w:t>32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DEZEMBRO DE 2012</w:t>
      </w:r>
      <w:r w:rsidRPr="001C4B96">
        <w:tab/>
      </w:r>
      <w:r w:rsidRPr="001C4B96">
        <w:fldChar w:fldCharType="begin"/>
      </w:r>
      <w:r w:rsidRPr="001C4B96">
        <w:instrText xml:space="preserve"> PAGEREF _Toc352234243 \h </w:instrText>
      </w:r>
      <w:r w:rsidRPr="001C4B96">
        <w:fldChar w:fldCharType="separate"/>
      </w:r>
      <w:r w:rsidRPr="001C4B96">
        <w:t>32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NOVEMBRO DE 2012</w:t>
      </w:r>
      <w:r w:rsidRPr="001C4B96">
        <w:tab/>
      </w:r>
      <w:r w:rsidRPr="001C4B96">
        <w:fldChar w:fldCharType="begin"/>
      </w:r>
      <w:r w:rsidRPr="001C4B96">
        <w:instrText xml:space="preserve"> PAGEREF _Toc352234244 \h </w:instrText>
      </w:r>
      <w:r w:rsidRPr="001C4B96">
        <w:fldChar w:fldCharType="separate"/>
      </w:r>
      <w:r w:rsidRPr="001C4B96">
        <w:t>34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OUTUBRO DE 2012</w:t>
      </w:r>
      <w:r w:rsidRPr="001C4B96">
        <w:tab/>
      </w:r>
      <w:r w:rsidRPr="001C4B96">
        <w:fldChar w:fldCharType="begin"/>
      </w:r>
      <w:r w:rsidRPr="001C4B96">
        <w:instrText xml:space="preserve"> PAGEREF _Toc352234245 \h </w:instrText>
      </w:r>
      <w:r w:rsidRPr="001C4B96">
        <w:fldChar w:fldCharType="separate"/>
      </w:r>
      <w:r w:rsidRPr="001C4B96">
        <w:t>34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SETEMBRO DE 2012</w:t>
      </w:r>
      <w:r w:rsidRPr="001C4B96">
        <w:tab/>
      </w:r>
      <w:r w:rsidRPr="001C4B96">
        <w:fldChar w:fldCharType="begin"/>
      </w:r>
      <w:r w:rsidRPr="001C4B96">
        <w:instrText xml:space="preserve"> PAGEREF _Toc352234246 \h </w:instrText>
      </w:r>
      <w:r w:rsidRPr="001C4B96">
        <w:fldChar w:fldCharType="separate"/>
      </w:r>
      <w:r w:rsidRPr="001C4B96">
        <w:t>35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AGOSTO DE 2012</w:t>
      </w:r>
      <w:r w:rsidRPr="001C4B96">
        <w:tab/>
      </w:r>
      <w:r w:rsidRPr="001C4B96">
        <w:fldChar w:fldCharType="begin"/>
      </w:r>
      <w:r w:rsidRPr="001C4B96">
        <w:instrText xml:space="preserve"> PAGEREF _Toc352234247 \h </w:instrText>
      </w:r>
      <w:r w:rsidRPr="001C4B96">
        <w:fldChar w:fldCharType="separate"/>
      </w:r>
      <w:r w:rsidRPr="001C4B96">
        <w:t>37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JULHO DE 2012 CHANGES</w:t>
      </w:r>
      <w:r w:rsidRPr="001C4B96">
        <w:tab/>
      </w:r>
      <w:r w:rsidRPr="001C4B96">
        <w:fldChar w:fldCharType="begin"/>
      </w:r>
      <w:r w:rsidRPr="001C4B96">
        <w:instrText xml:space="preserve"> PAGEREF _Toc352234248 \h </w:instrText>
      </w:r>
      <w:r w:rsidRPr="001C4B96">
        <w:fldChar w:fldCharType="separate"/>
      </w:r>
      <w:r w:rsidRPr="001C4B96">
        <w:t>37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JUNHO DE 2012</w:t>
      </w:r>
      <w:r w:rsidRPr="001C4B96">
        <w:tab/>
      </w:r>
      <w:r w:rsidRPr="001C4B96">
        <w:fldChar w:fldCharType="begin"/>
      </w:r>
      <w:r w:rsidRPr="001C4B96">
        <w:instrText xml:space="preserve"> PAGEREF _Toc352234249 \h </w:instrText>
      </w:r>
      <w:r w:rsidRPr="001C4B96">
        <w:fldChar w:fldCharType="separate"/>
      </w:r>
      <w:r w:rsidRPr="001C4B96">
        <w:t>37</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ALTERAÇÕES EM MAIO DE 2012</w:t>
      </w:r>
      <w:r w:rsidRPr="001C4B96">
        <w:tab/>
      </w:r>
      <w:r w:rsidRPr="001C4B96">
        <w:fldChar w:fldCharType="begin"/>
      </w:r>
      <w:r w:rsidRPr="001C4B96">
        <w:instrText xml:space="preserve"> PAGEREF _Toc352234250 \h </w:instrText>
      </w:r>
      <w:r w:rsidRPr="001C4B96">
        <w:fldChar w:fldCharType="separate"/>
      </w:r>
      <w:r w:rsidRPr="001C4B96">
        <w:t>38</w:t>
      </w:r>
      <w:r w:rsidRPr="001C4B96">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Seção 2 – promoções de ProdutoS</w:t>
      </w:r>
      <w:r w:rsidRPr="001C4B96">
        <w:rPr>
          <w:color w:val="auto"/>
        </w:rPr>
        <w:tab/>
      </w:r>
      <w:r w:rsidRPr="001C4B96">
        <w:rPr>
          <w:color w:val="auto"/>
        </w:rPr>
        <w:fldChar w:fldCharType="begin"/>
      </w:r>
      <w:r w:rsidRPr="001C4B96">
        <w:rPr>
          <w:color w:val="auto"/>
        </w:rPr>
        <w:instrText xml:space="preserve"> PAGEREF _Toc352234251 \h </w:instrText>
      </w:r>
      <w:r w:rsidRPr="001C4B96">
        <w:rPr>
          <w:color w:val="auto"/>
        </w:rPr>
      </w:r>
      <w:r w:rsidRPr="001C4B96">
        <w:rPr>
          <w:color w:val="auto"/>
        </w:rPr>
        <w:fldChar w:fldCharType="separate"/>
      </w:r>
      <w:r w:rsidRPr="001C4B96">
        <w:rPr>
          <w:color w:val="auto"/>
        </w:rPr>
        <w:t>39</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 xml:space="preserve">Microsoft Dynamics AX 2012 R2 - Promoção </w:t>
      </w:r>
      <w:r w:rsidRPr="001C4B96">
        <w:rPr>
          <w:rFonts w:cs="Tahoma"/>
          <w:lang w:val="pt-BR"/>
        </w:rPr>
        <w:t>“</w:t>
      </w:r>
      <w:r w:rsidRPr="001C4B96">
        <w:rPr>
          <w:rFonts w:cs="Tahoma"/>
        </w:rPr>
        <w:t>Compre Uma CAL Empresarial Ganhe outra CAL Funcional</w:t>
      </w:r>
      <w:r w:rsidRPr="001C4B96">
        <w:rPr>
          <w:rFonts w:cs="Tahoma"/>
          <w:lang w:val="pt-BR"/>
        </w:rPr>
        <w:t>”</w:t>
      </w:r>
      <w:r w:rsidRPr="001C4B96">
        <w:tab/>
      </w:r>
      <w:r w:rsidRPr="001C4B96">
        <w:fldChar w:fldCharType="begin"/>
      </w:r>
      <w:r w:rsidRPr="001C4B96">
        <w:instrText xml:space="preserve"> PAGEREF _Toc352234252 \h </w:instrText>
      </w:r>
      <w:r w:rsidRPr="001C4B96">
        <w:fldChar w:fldCharType="separate"/>
      </w:r>
      <w:r w:rsidRPr="001C4B96">
        <w:t>39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Microsoft Dynamics AX 2012 R2 - Promoção de Introdução ao EA</w:t>
      </w:r>
      <w:r w:rsidRPr="001C4B96">
        <w:tab/>
      </w:r>
      <w:r w:rsidRPr="001C4B96">
        <w:fldChar w:fldCharType="begin"/>
      </w:r>
      <w:r w:rsidRPr="001C4B96">
        <w:instrText xml:space="preserve"> PAGEREF _Toc352234253 \h </w:instrText>
      </w:r>
      <w:r w:rsidRPr="001C4B96">
        <w:fldChar w:fldCharType="separate"/>
      </w:r>
      <w:r w:rsidRPr="001C4B96">
        <w:t>39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eastAsia="Times New Roman" w:cs="Tahoma"/>
        </w:rPr>
        <w:t>15% de desconto em Step-ups do Project/Visio</w:t>
      </w:r>
      <w:r w:rsidRPr="001C4B96">
        <w:tab/>
      </w:r>
      <w:r w:rsidRPr="001C4B96">
        <w:fldChar w:fldCharType="begin"/>
      </w:r>
      <w:r w:rsidRPr="001C4B96">
        <w:instrText xml:space="preserve"> PAGEREF _Toc352234254 \h </w:instrText>
      </w:r>
      <w:r w:rsidRPr="001C4B96">
        <w:fldChar w:fldCharType="separate"/>
      </w:r>
      <w:r w:rsidRPr="001C4B96">
        <w:t>39</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eastAsia="Times New Roman" w:cs="Tahoma"/>
        </w:rPr>
        <w:t>55% de desconto na CAL do Project Server para Compras para Toda a</w:t>
      </w:r>
      <w:r w:rsidRPr="001C4B96">
        <w:rPr>
          <w:rFonts w:eastAsia="Times New Roman" w:cs="Tahoma"/>
          <w:lang w:val="pt-BR"/>
        </w:rPr>
        <w:t> </w:t>
      </w:r>
      <w:r w:rsidRPr="001C4B96">
        <w:rPr>
          <w:rFonts w:eastAsia="Times New Roman" w:cs="Tahoma"/>
        </w:rPr>
        <w:t>Empresa</w:t>
      </w:r>
      <w:r w:rsidRPr="001C4B96">
        <w:tab/>
      </w:r>
      <w:r w:rsidRPr="001C4B96">
        <w:fldChar w:fldCharType="begin"/>
      </w:r>
      <w:r w:rsidRPr="001C4B96">
        <w:instrText xml:space="preserve"> PAGEREF _Toc352234255 \h </w:instrText>
      </w:r>
      <w:r w:rsidRPr="001C4B96">
        <w:fldChar w:fldCharType="separate"/>
      </w:r>
      <w:r w:rsidRPr="001C4B96">
        <w:t>39</w:t>
      </w:r>
      <w:r w:rsidRPr="001C4B96">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lastRenderedPageBreak/>
        <w:t>SEÇÃO 3 – TERMOS do Programa de</w:t>
      </w:r>
      <w:r w:rsidRPr="001C4B96">
        <w:rPr>
          <w:color w:val="auto"/>
          <w:lang w:val="pt-BR"/>
        </w:rPr>
        <w:t> </w:t>
      </w:r>
      <w:r w:rsidRPr="001C4B96">
        <w:rPr>
          <w:color w:val="auto"/>
        </w:rPr>
        <w:t>Licenciamento por Volume</w:t>
      </w:r>
      <w:r w:rsidRPr="001C4B96">
        <w:rPr>
          <w:color w:val="auto"/>
        </w:rPr>
        <w:tab/>
      </w:r>
      <w:r w:rsidRPr="001C4B96">
        <w:rPr>
          <w:color w:val="auto"/>
        </w:rPr>
        <w:fldChar w:fldCharType="begin"/>
      </w:r>
      <w:r w:rsidRPr="001C4B96">
        <w:rPr>
          <w:color w:val="auto"/>
        </w:rPr>
        <w:instrText xml:space="preserve"> PAGEREF _Toc352234256 \h </w:instrText>
      </w:r>
      <w:r w:rsidRPr="001C4B96">
        <w:rPr>
          <w:color w:val="auto"/>
        </w:rPr>
      </w:r>
      <w:r w:rsidRPr="001C4B96">
        <w:rPr>
          <w:color w:val="auto"/>
        </w:rPr>
        <w:fldChar w:fldCharType="separate"/>
      </w:r>
      <w:r w:rsidRPr="001C4B96">
        <w:rPr>
          <w:color w:val="auto"/>
        </w:rPr>
        <w:t>40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Programas de Licenciamento por Volume Aplicáveis</w:t>
      </w:r>
      <w:r w:rsidRPr="001C4B96">
        <w:rPr>
          <w:color w:val="auto"/>
        </w:rPr>
        <w:tab/>
      </w:r>
      <w:r w:rsidRPr="001C4B96">
        <w:rPr>
          <w:color w:val="auto"/>
        </w:rPr>
        <w:fldChar w:fldCharType="begin"/>
      </w:r>
      <w:r w:rsidRPr="001C4B96">
        <w:rPr>
          <w:color w:val="auto"/>
        </w:rPr>
        <w:instrText xml:space="preserve"> PAGEREF _Toc352234257 \h </w:instrText>
      </w:r>
      <w:r w:rsidRPr="001C4B96">
        <w:rPr>
          <w:color w:val="auto"/>
        </w:rPr>
      </w:r>
      <w:r w:rsidRPr="001C4B96">
        <w:rPr>
          <w:color w:val="auto"/>
        </w:rPr>
        <w:fldChar w:fldCharType="separate"/>
      </w:r>
      <w:r w:rsidRPr="001C4B96">
        <w:rPr>
          <w:color w:val="auto"/>
        </w:rPr>
        <w:t>40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Pontos e pedidos mínimos</w:t>
      </w:r>
      <w:r w:rsidRPr="001C4B96">
        <w:rPr>
          <w:color w:val="auto"/>
        </w:rPr>
        <w:tab/>
      </w:r>
      <w:r w:rsidRPr="001C4B96">
        <w:rPr>
          <w:color w:val="auto"/>
        </w:rPr>
        <w:fldChar w:fldCharType="begin"/>
      </w:r>
      <w:r w:rsidRPr="001C4B96">
        <w:rPr>
          <w:color w:val="auto"/>
        </w:rPr>
        <w:instrText xml:space="preserve"> PAGEREF _Toc352234258 \h </w:instrText>
      </w:r>
      <w:r w:rsidRPr="001C4B96">
        <w:rPr>
          <w:color w:val="auto"/>
        </w:rPr>
      </w:r>
      <w:r w:rsidRPr="001C4B96">
        <w:rPr>
          <w:color w:val="auto"/>
        </w:rPr>
        <w:fldChar w:fldCharType="separate"/>
      </w:r>
      <w:r w:rsidRPr="001C4B96">
        <w:rPr>
          <w:color w:val="auto"/>
        </w:rPr>
        <w:t>40</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Requisitos Mínimos de Pedidos</w:t>
      </w:r>
      <w:r w:rsidRPr="001C4B96">
        <w:tab/>
      </w:r>
      <w:r w:rsidRPr="001C4B96">
        <w:fldChar w:fldCharType="begin"/>
      </w:r>
      <w:r w:rsidRPr="001C4B96">
        <w:instrText xml:space="preserve"> PAGEREF _Toc352234259 \h </w:instrText>
      </w:r>
      <w:r w:rsidRPr="001C4B96">
        <w:fldChar w:fldCharType="separate"/>
      </w:r>
      <w:r w:rsidRPr="001C4B96">
        <w:t>40</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Plataformas</w:t>
      </w:r>
      <w:r w:rsidRPr="001C4B96">
        <w:rPr>
          <w:color w:val="auto"/>
        </w:rPr>
        <w:tab/>
      </w:r>
      <w:r w:rsidRPr="001C4B96">
        <w:rPr>
          <w:color w:val="auto"/>
        </w:rPr>
        <w:fldChar w:fldCharType="begin"/>
      </w:r>
      <w:r w:rsidRPr="001C4B96">
        <w:rPr>
          <w:color w:val="auto"/>
        </w:rPr>
        <w:instrText xml:space="preserve"> PAGEREF _Toc352234260 \h </w:instrText>
      </w:r>
      <w:r w:rsidRPr="001C4B96">
        <w:rPr>
          <w:color w:val="auto"/>
        </w:rPr>
      </w:r>
      <w:r w:rsidRPr="001C4B96">
        <w:rPr>
          <w:color w:val="auto"/>
        </w:rPr>
        <w:fldChar w:fldCharType="separate"/>
      </w:r>
      <w:r w:rsidRPr="001C4B96">
        <w:rPr>
          <w:color w:val="auto"/>
        </w:rPr>
        <w:t>43</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Definição de Gerenciamento para Dispositivos Qualificados</w:t>
      </w:r>
      <w:r w:rsidRPr="001C4B96">
        <w:rPr>
          <w:color w:val="auto"/>
        </w:rPr>
        <w:tab/>
      </w:r>
      <w:r w:rsidRPr="001C4B96">
        <w:rPr>
          <w:color w:val="auto"/>
        </w:rPr>
        <w:fldChar w:fldCharType="begin"/>
      </w:r>
      <w:r w:rsidRPr="001C4B96">
        <w:rPr>
          <w:color w:val="auto"/>
        </w:rPr>
        <w:instrText xml:space="preserve"> PAGEREF _Toc352234261 \h </w:instrText>
      </w:r>
      <w:r w:rsidRPr="001C4B96">
        <w:rPr>
          <w:color w:val="auto"/>
        </w:rPr>
      </w:r>
      <w:r w:rsidRPr="001C4B96">
        <w:rPr>
          <w:color w:val="auto"/>
        </w:rPr>
        <w:fldChar w:fldCharType="separate"/>
      </w:r>
      <w:r w:rsidRPr="001C4B96">
        <w:rPr>
          <w:color w:val="auto"/>
        </w:rPr>
        <w:t>44</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Produtos qualificados para o Desconto de Atualização (UTD)</w:t>
      </w:r>
      <w:r w:rsidRPr="001C4B96">
        <w:rPr>
          <w:color w:val="auto"/>
        </w:rPr>
        <w:tab/>
      </w:r>
      <w:r w:rsidRPr="001C4B96">
        <w:rPr>
          <w:color w:val="auto"/>
        </w:rPr>
        <w:fldChar w:fldCharType="begin"/>
      </w:r>
      <w:r w:rsidRPr="001C4B96">
        <w:rPr>
          <w:color w:val="auto"/>
        </w:rPr>
        <w:instrText xml:space="preserve"> PAGEREF _Toc352234262 \h </w:instrText>
      </w:r>
      <w:r w:rsidRPr="001C4B96">
        <w:rPr>
          <w:color w:val="auto"/>
        </w:rPr>
      </w:r>
      <w:r w:rsidRPr="001C4B96">
        <w:rPr>
          <w:color w:val="auto"/>
        </w:rPr>
        <w:fldChar w:fldCharType="separate"/>
      </w:r>
      <w:r w:rsidRPr="001C4B96">
        <w:rPr>
          <w:color w:val="auto"/>
        </w:rPr>
        <w:t>45</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Termos de Programa Atualizados dos Contratos Enterprise e Subscription</w:t>
      </w:r>
      <w:r w:rsidRPr="001C4B96">
        <w:tab/>
      </w:r>
      <w:r w:rsidRPr="001C4B96">
        <w:fldChar w:fldCharType="begin"/>
      </w:r>
      <w:r w:rsidRPr="001C4B96">
        <w:instrText xml:space="preserve"> PAGEREF _Toc352234263 \h </w:instrText>
      </w:r>
      <w:r w:rsidRPr="001C4B96">
        <w:fldChar w:fldCharType="separate"/>
      </w:r>
      <w:r w:rsidRPr="001C4B96">
        <w:t>45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Continuidade do Serviço por meio de Prazo Estendido</w:t>
      </w:r>
      <w:r w:rsidRPr="001C4B96">
        <w:tab/>
      </w:r>
      <w:r w:rsidRPr="001C4B96">
        <w:fldChar w:fldCharType="begin"/>
      </w:r>
      <w:r w:rsidRPr="001C4B96">
        <w:instrText xml:space="preserve"> PAGEREF _Toc352234264 \h </w:instrText>
      </w:r>
      <w:r w:rsidRPr="001C4B96">
        <w:fldChar w:fldCharType="separate"/>
      </w:r>
      <w:r w:rsidRPr="001C4B96">
        <w:t>49</w:t>
      </w:r>
      <w:r w:rsidRPr="001C4B96">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seção 4 – tipos de licença e valores</w:t>
      </w:r>
      <w:r w:rsidRPr="001C4B96">
        <w:rPr>
          <w:color w:val="auto"/>
        </w:rPr>
        <w:tab/>
      </w:r>
      <w:r w:rsidRPr="001C4B96">
        <w:rPr>
          <w:color w:val="auto"/>
        </w:rPr>
        <w:fldChar w:fldCharType="begin"/>
      </w:r>
      <w:r w:rsidRPr="001C4B96">
        <w:rPr>
          <w:color w:val="auto"/>
        </w:rPr>
        <w:instrText xml:space="preserve"> PAGEREF _Toc352234265 \h </w:instrText>
      </w:r>
      <w:r w:rsidRPr="001C4B96">
        <w:rPr>
          <w:color w:val="auto"/>
        </w:rPr>
      </w:r>
      <w:r w:rsidRPr="001C4B96">
        <w:rPr>
          <w:color w:val="auto"/>
        </w:rPr>
        <w:fldChar w:fldCharType="separate"/>
      </w:r>
      <w:r w:rsidRPr="001C4B96">
        <w:rPr>
          <w:color w:val="auto"/>
        </w:rPr>
        <w:t>50</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Valores</w:t>
      </w:r>
      <w:r w:rsidRPr="001C4B96">
        <w:tab/>
      </w:r>
      <w:r w:rsidRPr="001C4B96">
        <w:fldChar w:fldCharType="begin"/>
      </w:r>
      <w:r w:rsidRPr="001C4B96">
        <w:instrText xml:space="preserve"> PAGEREF _Toc352234266 \h </w:instrText>
      </w:r>
      <w:r w:rsidRPr="001C4B96">
        <w:fldChar w:fldCharType="separate"/>
      </w:r>
      <w:r w:rsidRPr="001C4B96">
        <w:t>50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Licença</w:t>
      </w:r>
      <w:r w:rsidRPr="001C4B96">
        <w:tab/>
      </w:r>
      <w:r w:rsidRPr="001C4B96">
        <w:fldChar w:fldCharType="begin"/>
      </w:r>
      <w:r w:rsidRPr="001C4B96">
        <w:instrText xml:space="preserve"> PAGEREF _Toc352234267 \h </w:instrText>
      </w:r>
      <w:r w:rsidRPr="001C4B96">
        <w:fldChar w:fldCharType="separate"/>
      </w:r>
      <w:r w:rsidRPr="001C4B96">
        <w:t>50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Licença e Software Assurance</w:t>
      </w:r>
      <w:r w:rsidRPr="001C4B96">
        <w:tab/>
      </w:r>
      <w:r w:rsidRPr="001C4B96">
        <w:fldChar w:fldCharType="begin"/>
      </w:r>
      <w:r w:rsidRPr="001C4B96">
        <w:instrText xml:space="preserve"> PAGEREF _Toc352234268 \h </w:instrText>
      </w:r>
      <w:r w:rsidRPr="001C4B96">
        <w:fldChar w:fldCharType="separate"/>
      </w:r>
      <w:r w:rsidRPr="001C4B96">
        <w:t>50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Software Assurance</w:t>
      </w:r>
      <w:r w:rsidRPr="001C4B96">
        <w:tab/>
      </w:r>
      <w:r w:rsidRPr="001C4B96">
        <w:fldChar w:fldCharType="begin"/>
      </w:r>
      <w:r w:rsidRPr="001C4B96">
        <w:instrText xml:space="preserve"> PAGEREF _Toc352234269 \h </w:instrText>
      </w:r>
      <w:r w:rsidRPr="001C4B96">
        <w:fldChar w:fldCharType="separate"/>
      </w:r>
      <w:r w:rsidRPr="001C4B96">
        <w:t>51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Licenças Step-up</w:t>
      </w:r>
      <w:r w:rsidRPr="001C4B96">
        <w:tab/>
      </w:r>
      <w:r w:rsidRPr="001C4B96">
        <w:fldChar w:fldCharType="begin"/>
      </w:r>
      <w:r w:rsidRPr="001C4B96">
        <w:instrText xml:space="preserve"> PAGEREF _Toc352234270 \h </w:instrText>
      </w:r>
      <w:r w:rsidRPr="001C4B96">
        <w:fldChar w:fldCharType="separate"/>
      </w:r>
      <w:r w:rsidRPr="001C4B96">
        <w:t>52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Licenças de Assinatura</w:t>
      </w:r>
      <w:r w:rsidRPr="001C4B96">
        <w:tab/>
      </w:r>
      <w:r w:rsidRPr="001C4B96">
        <w:fldChar w:fldCharType="begin"/>
      </w:r>
      <w:r w:rsidRPr="001C4B96">
        <w:instrText xml:space="preserve"> PAGEREF _Toc352234271 \h </w:instrText>
      </w:r>
      <w:r w:rsidRPr="001C4B96">
        <w:fldChar w:fldCharType="separate"/>
      </w:r>
      <w:r w:rsidRPr="001C4B96">
        <w:t>52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Atualização</w:t>
      </w:r>
      <w:r w:rsidRPr="001C4B96">
        <w:tab/>
      </w:r>
      <w:r w:rsidRPr="001C4B96">
        <w:fldChar w:fldCharType="begin"/>
      </w:r>
      <w:r w:rsidRPr="001C4B96">
        <w:instrText xml:space="preserve"> PAGEREF _Toc352234272 \h </w:instrText>
      </w:r>
      <w:r w:rsidRPr="001C4B96">
        <w:fldChar w:fldCharType="separate"/>
      </w:r>
      <w:r w:rsidRPr="001C4B96">
        <w:t>53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Atualização e Software Assurance</w:t>
      </w:r>
      <w:r w:rsidRPr="001C4B96">
        <w:tab/>
      </w:r>
      <w:r w:rsidRPr="001C4B96">
        <w:fldChar w:fldCharType="begin"/>
      </w:r>
      <w:r w:rsidRPr="001C4B96">
        <w:instrText xml:space="preserve"> PAGEREF _Toc352234273 \h </w:instrText>
      </w:r>
      <w:r w:rsidRPr="001C4B96">
        <w:fldChar w:fldCharType="separate"/>
      </w:r>
      <w:r w:rsidRPr="001C4B96">
        <w:t>53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Licenças Work-at-Home</w:t>
      </w:r>
      <w:r w:rsidRPr="001C4B96">
        <w:tab/>
      </w:r>
      <w:r w:rsidRPr="001C4B96">
        <w:fldChar w:fldCharType="begin"/>
      </w:r>
      <w:r w:rsidRPr="001C4B96">
        <w:instrText xml:space="preserve"> PAGEREF _Toc352234274 \h </w:instrText>
      </w:r>
      <w:r w:rsidRPr="001C4B96">
        <w:fldChar w:fldCharType="separate"/>
      </w:r>
      <w:r w:rsidRPr="001C4B96">
        <w:t>53</w:t>
      </w:r>
      <w:r w:rsidRPr="001C4B96">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Seção 5 – TERMOS DE PAGAMENTO E PREÇOS DE</w:t>
      </w:r>
      <w:r w:rsidRPr="001C4B96">
        <w:rPr>
          <w:color w:val="auto"/>
          <w:lang w:val="pt-BR"/>
        </w:rPr>
        <w:t> </w:t>
      </w:r>
      <w:r w:rsidRPr="001C4B96">
        <w:rPr>
          <w:color w:val="auto"/>
        </w:rPr>
        <w:t>SERVIÇOS ONLINE</w:t>
      </w:r>
      <w:r w:rsidRPr="001C4B96">
        <w:rPr>
          <w:color w:val="auto"/>
        </w:rPr>
        <w:tab/>
      </w:r>
      <w:r w:rsidRPr="001C4B96">
        <w:rPr>
          <w:color w:val="auto"/>
        </w:rPr>
        <w:fldChar w:fldCharType="begin"/>
      </w:r>
      <w:r w:rsidRPr="001C4B96">
        <w:rPr>
          <w:color w:val="auto"/>
        </w:rPr>
        <w:instrText xml:space="preserve"> PAGEREF _Toc352234275 \h </w:instrText>
      </w:r>
      <w:r w:rsidRPr="001C4B96">
        <w:rPr>
          <w:color w:val="auto"/>
        </w:rPr>
      </w:r>
      <w:r w:rsidRPr="001C4B96">
        <w:rPr>
          <w:color w:val="auto"/>
        </w:rPr>
        <w:fldChar w:fldCharType="separate"/>
      </w:r>
      <w:r w:rsidRPr="001C4B96">
        <w:rPr>
          <w:color w:val="auto"/>
        </w:rPr>
        <w:t>54</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Prazo da assinatura de Serviços Online</w:t>
      </w:r>
      <w:r w:rsidRPr="001C4B96">
        <w:tab/>
      </w:r>
      <w:r w:rsidRPr="001C4B96">
        <w:fldChar w:fldCharType="begin"/>
      </w:r>
      <w:r w:rsidRPr="001C4B96">
        <w:instrText xml:space="preserve"> PAGEREF _Toc352234276 \h </w:instrText>
      </w:r>
      <w:r w:rsidRPr="001C4B96">
        <w:fldChar w:fldCharType="separate"/>
      </w:r>
      <w:r w:rsidRPr="001C4B96">
        <w:t>54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Compras e renovação automática em Serviços Online</w:t>
      </w:r>
      <w:r w:rsidRPr="001C4B96">
        <w:tab/>
      </w:r>
      <w:r w:rsidRPr="001C4B96">
        <w:fldChar w:fldCharType="begin"/>
      </w:r>
      <w:r w:rsidRPr="001C4B96">
        <w:instrText xml:space="preserve"> PAGEREF _Toc352234277 \h </w:instrText>
      </w:r>
      <w:r w:rsidRPr="001C4B96">
        <w:fldChar w:fldCharType="separate"/>
      </w:r>
      <w:r w:rsidRPr="001C4B96">
        <w:t>55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Gerenciamento do status da renovação e da renovação automática</w:t>
      </w:r>
      <w:r w:rsidRPr="001C4B96">
        <w:tab/>
      </w:r>
      <w:r w:rsidRPr="001C4B96">
        <w:fldChar w:fldCharType="begin"/>
      </w:r>
      <w:r w:rsidRPr="001C4B96">
        <w:instrText xml:space="preserve"> PAGEREF _Toc352234278 \h </w:instrText>
      </w:r>
      <w:r w:rsidRPr="001C4B96">
        <w:fldChar w:fldCharType="separate"/>
      </w:r>
      <w:r w:rsidRPr="001C4B96">
        <w:t>55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Cancelamento de Serviços Online</w:t>
      </w:r>
      <w:r w:rsidRPr="001C4B96">
        <w:tab/>
      </w:r>
      <w:r w:rsidRPr="001C4B96">
        <w:fldChar w:fldCharType="begin"/>
      </w:r>
      <w:r w:rsidRPr="001C4B96">
        <w:instrText xml:space="preserve"> PAGEREF _Toc352234279 \h </w:instrText>
      </w:r>
      <w:r w:rsidRPr="001C4B96">
        <w:fldChar w:fldCharType="separate"/>
      </w:r>
      <w:r w:rsidRPr="001C4B96">
        <w:t>56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Opções de termos de pagamento de Serviços Online</w:t>
      </w:r>
      <w:r w:rsidRPr="001C4B96">
        <w:tab/>
      </w:r>
      <w:r w:rsidRPr="001C4B96">
        <w:fldChar w:fldCharType="begin"/>
      </w:r>
      <w:r w:rsidRPr="001C4B96">
        <w:instrText xml:space="preserve"> PAGEREF _Toc352234280 \h </w:instrText>
      </w:r>
      <w:r w:rsidRPr="001C4B96">
        <w:fldChar w:fldCharType="separate"/>
      </w:r>
      <w:r w:rsidRPr="001C4B96">
        <w:t>56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Requisitos de compra mínima para Serviços Online no Licenciamento por</w:t>
      </w:r>
      <w:r w:rsidRPr="001C4B96">
        <w:rPr>
          <w:rFonts w:cs="Tahoma"/>
          <w:lang w:val="pt-BR"/>
        </w:rPr>
        <w:t> </w:t>
      </w:r>
      <w:r w:rsidRPr="001C4B96">
        <w:rPr>
          <w:rFonts w:cs="Tahoma"/>
        </w:rPr>
        <w:t>Volume</w:t>
      </w:r>
      <w:r w:rsidRPr="001C4B96">
        <w:tab/>
      </w:r>
      <w:r w:rsidRPr="001C4B96">
        <w:fldChar w:fldCharType="begin"/>
      </w:r>
      <w:r w:rsidRPr="001C4B96">
        <w:instrText xml:space="preserve"> PAGEREF _Toc352234281 \h </w:instrText>
      </w:r>
      <w:r w:rsidRPr="001C4B96">
        <w:fldChar w:fldCharType="separate"/>
      </w:r>
      <w:r w:rsidRPr="001C4B96">
        <w:t>56</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Serviços do Windows Azure</w:t>
      </w:r>
      <w:r w:rsidRPr="001C4B96">
        <w:rPr>
          <w:color w:val="auto"/>
        </w:rPr>
        <w:tab/>
      </w:r>
      <w:r w:rsidRPr="001C4B96">
        <w:rPr>
          <w:color w:val="auto"/>
        </w:rPr>
        <w:fldChar w:fldCharType="begin"/>
      </w:r>
      <w:r w:rsidRPr="001C4B96">
        <w:rPr>
          <w:color w:val="auto"/>
        </w:rPr>
        <w:instrText xml:space="preserve"> PAGEREF _Toc352234282 \h </w:instrText>
      </w:r>
      <w:r w:rsidRPr="001C4B96">
        <w:rPr>
          <w:color w:val="auto"/>
        </w:rPr>
      </w:r>
      <w:r w:rsidRPr="001C4B96">
        <w:rPr>
          <w:color w:val="auto"/>
        </w:rPr>
        <w:fldChar w:fldCharType="separate"/>
      </w:r>
      <w:r w:rsidRPr="001C4B96">
        <w:rPr>
          <w:color w:val="auto"/>
        </w:rPr>
        <w:t>56</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Disponibilidade Regional dos Serviços Online</w:t>
      </w:r>
      <w:r w:rsidRPr="001C4B96">
        <w:tab/>
      </w:r>
      <w:r w:rsidRPr="001C4B96">
        <w:fldChar w:fldCharType="begin"/>
      </w:r>
      <w:r w:rsidRPr="001C4B96">
        <w:instrText xml:space="preserve"> PAGEREF _Toc352234283 \h </w:instrText>
      </w:r>
      <w:r w:rsidRPr="001C4B96">
        <w:fldChar w:fldCharType="separate"/>
      </w:r>
      <w:r w:rsidRPr="001C4B96">
        <w:t>58</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Termos adicionais de Serviços Online</w:t>
      </w:r>
      <w:r w:rsidRPr="001C4B96">
        <w:tab/>
      </w:r>
      <w:r w:rsidRPr="001C4B96">
        <w:fldChar w:fldCharType="begin"/>
      </w:r>
      <w:r w:rsidRPr="001C4B96">
        <w:instrText xml:space="preserve"> PAGEREF _Toc352234284 \h </w:instrText>
      </w:r>
      <w:r w:rsidRPr="001C4B96">
        <w:fldChar w:fldCharType="separate"/>
      </w:r>
      <w:r w:rsidRPr="001C4B96">
        <w:t>58</w:t>
      </w:r>
      <w:r w:rsidRPr="001C4B96">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SEÇÃO 6 – regras de renovação DO Software</w:t>
      </w:r>
      <w:r w:rsidRPr="001C4B96">
        <w:rPr>
          <w:color w:val="auto"/>
          <w:lang w:val="pt-BR"/>
        </w:rPr>
        <w:t> </w:t>
      </w:r>
      <w:r w:rsidRPr="001C4B96">
        <w:rPr>
          <w:color w:val="auto"/>
        </w:rPr>
        <w:t>Assurance</w:t>
      </w:r>
      <w:r w:rsidRPr="001C4B96">
        <w:rPr>
          <w:color w:val="auto"/>
        </w:rPr>
        <w:tab/>
      </w:r>
      <w:r w:rsidRPr="001C4B96">
        <w:rPr>
          <w:color w:val="auto"/>
        </w:rPr>
        <w:fldChar w:fldCharType="begin"/>
      </w:r>
      <w:r w:rsidRPr="001C4B96">
        <w:rPr>
          <w:color w:val="auto"/>
        </w:rPr>
        <w:instrText xml:space="preserve"> PAGEREF _Toc352234285 \h </w:instrText>
      </w:r>
      <w:r w:rsidRPr="001C4B96">
        <w:rPr>
          <w:color w:val="auto"/>
        </w:rPr>
      </w:r>
      <w:r w:rsidRPr="001C4B96">
        <w:rPr>
          <w:color w:val="auto"/>
        </w:rPr>
        <w:fldChar w:fldCharType="separate"/>
      </w:r>
      <w:r w:rsidRPr="001C4B96">
        <w:rPr>
          <w:color w:val="auto"/>
        </w:rPr>
        <w:t>59</w:t>
      </w:r>
      <w:r w:rsidRPr="001C4B96">
        <w:rPr>
          <w:color w:val="auto"/>
        </w:rPr>
        <w:fldChar w:fldCharType="end"/>
      </w:r>
    </w:p>
    <w:p w:rsidR="001C4B96" w:rsidRPr="001C4B96" w:rsidRDefault="001C4B96">
      <w:pPr>
        <w:pStyle w:val="TOC4"/>
        <w:rPr>
          <w:rFonts w:asciiTheme="minorHAnsi" w:eastAsiaTheme="minorEastAsia" w:hAnsiTheme="minorHAnsi" w:cstheme="minorBidi"/>
          <w:noProof/>
          <w:sz w:val="22"/>
          <w:szCs w:val="22"/>
        </w:rPr>
      </w:pPr>
      <w:r w:rsidRPr="001C4B96">
        <w:rPr>
          <w:rFonts w:cs="Tahoma"/>
          <w:noProof/>
        </w:rPr>
        <w:t>Licença Open</w:t>
      </w:r>
      <w:r w:rsidRPr="001C4B96">
        <w:rPr>
          <w:noProof/>
        </w:rPr>
        <w:tab/>
      </w:r>
      <w:r w:rsidRPr="001C4B96">
        <w:rPr>
          <w:noProof/>
        </w:rPr>
        <w:fldChar w:fldCharType="begin"/>
      </w:r>
      <w:r w:rsidRPr="001C4B96">
        <w:rPr>
          <w:noProof/>
        </w:rPr>
        <w:instrText xml:space="preserve"> PAGEREF _Toc352234286 \h </w:instrText>
      </w:r>
      <w:r w:rsidRPr="001C4B96">
        <w:rPr>
          <w:noProof/>
        </w:rPr>
      </w:r>
      <w:r w:rsidRPr="001C4B96">
        <w:rPr>
          <w:noProof/>
        </w:rPr>
        <w:fldChar w:fldCharType="separate"/>
      </w:r>
      <w:r w:rsidRPr="001C4B96">
        <w:rPr>
          <w:noProof/>
        </w:rPr>
        <w:t>59</w:t>
      </w:r>
      <w:r w:rsidRPr="001C4B96">
        <w:rPr>
          <w:noProof/>
        </w:rPr>
        <w:fldChar w:fldCharType="end"/>
      </w:r>
    </w:p>
    <w:p w:rsidR="001C4B96" w:rsidRPr="001C4B96" w:rsidRDefault="001C4B96">
      <w:pPr>
        <w:pStyle w:val="TOC4"/>
        <w:rPr>
          <w:rFonts w:asciiTheme="minorHAnsi" w:eastAsiaTheme="minorEastAsia" w:hAnsiTheme="minorHAnsi" w:cstheme="minorBidi"/>
          <w:noProof/>
          <w:sz w:val="22"/>
          <w:szCs w:val="22"/>
        </w:rPr>
      </w:pPr>
      <w:r w:rsidRPr="001C4B96">
        <w:rPr>
          <w:rFonts w:cs="Tahoma"/>
          <w:noProof/>
        </w:rPr>
        <w:t>Open Value 20xx</w:t>
      </w:r>
      <w:r w:rsidRPr="001C4B96">
        <w:rPr>
          <w:noProof/>
        </w:rPr>
        <w:tab/>
      </w:r>
      <w:r w:rsidRPr="001C4B96">
        <w:rPr>
          <w:noProof/>
        </w:rPr>
        <w:fldChar w:fldCharType="begin"/>
      </w:r>
      <w:r w:rsidRPr="001C4B96">
        <w:rPr>
          <w:noProof/>
        </w:rPr>
        <w:instrText xml:space="preserve"> PAGEREF _Toc352234287 \h </w:instrText>
      </w:r>
      <w:r w:rsidRPr="001C4B96">
        <w:rPr>
          <w:noProof/>
        </w:rPr>
      </w:r>
      <w:r w:rsidRPr="001C4B96">
        <w:rPr>
          <w:noProof/>
        </w:rPr>
        <w:fldChar w:fldCharType="separate"/>
      </w:r>
      <w:r w:rsidRPr="001C4B96">
        <w:rPr>
          <w:noProof/>
        </w:rPr>
        <w:t>59</w:t>
      </w:r>
      <w:r w:rsidRPr="001C4B96">
        <w:rPr>
          <w:noProof/>
        </w:rPr>
        <w:fldChar w:fldCharType="end"/>
      </w:r>
    </w:p>
    <w:p w:rsidR="001C4B96" w:rsidRPr="001C4B96" w:rsidRDefault="001C4B96">
      <w:pPr>
        <w:pStyle w:val="TOC4"/>
        <w:rPr>
          <w:rFonts w:asciiTheme="minorHAnsi" w:eastAsiaTheme="minorEastAsia" w:hAnsiTheme="minorHAnsi" w:cstheme="minorBidi"/>
          <w:noProof/>
          <w:sz w:val="22"/>
          <w:szCs w:val="22"/>
        </w:rPr>
      </w:pPr>
      <w:r w:rsidRPr="001C4B96">
        <w:rPr>
          <w:rFonts w:cs="Tahoma"/>
          <w:noProof/>
        </w:rPr>
        <w:t>Select 20xx</w:t>
      </w:r>
      <w:r w:rsidRPr="001C4B96">
        <w:rPr>
          <w:noProof/>
        </w:rPr>
        <w:tab/>
      </w:r>
      <w:r w:rsidRPr="001C4B96">
        <w:rPr>
          <w:noProof/>
        </w:rPr>
        <w:fldChar w:fldCharType="begin"/>
      </w:r>
      <w:r w:rsidRPr="001C4B96">
        <w:rPr>
          <w:noProof/>
        </w:rPr>
        <w:instrText xml:space="preserve"> PAGEREF _Toc352234288 \h </w:instrText>
      </w:r>
      <w:r w:rsidRPr="001C4B96">
        <w:rPr>
          <w:noProof/>
        </w:rPr>
      </w:r>
      <w:r w:rsidRPr="001C4B96">
        <w:rPr>
          <w:noProof/>
        </w:rPr>
        <w:fldChar w:fldCharType="separate"/>
      </w:r>
      <w:r w:rsidRPr="001C4B96">
        <w:rPr>
          <w:noProof/>
        </w:rPr>
        <w:t>59</w:t>
      </w:r>
      <w:r w:rsidRPr="001C4B96">
        <w:rPr>
          <w:noProof/>
        </w:rPr>
        <w:fldChar w:fldCharType="end"/>
      </w:r>
    </w:p>
    <w:p w:rsidR="001C4B96" w:rsidRPr="001C4B96" w:rsidRDefault="001C4B96">
      <w:pPr>
        <w:pStyle w:val="TOC4"/>
        <w:rPr>
          <w:rFonts w:asciiTheme="minorHAnsi" w:eastAsiaTheme="minorEastAsia" w:hAnsiTheme="minorHAnsi" w:cstheme="minorBidi"/>
          <w:noProof/>
          <w:sz w:val="22"/>
          <w:szCs w:val="22"/>
        </w:rPr>
      </w:pPr>
      <w:r w:rsidRPr="001C4B96">
        <w:rPr>
          <w:noProof/>
        </w:rPr>
        <w:t>Renovação da Cobertura sob o Mesmo Contrato</w:t>
      </w:r>
      <w:r w:rsidRPr="001C4B96">
        <w:rPr>
          <w:noProof/>
        </w:rPr>
        <w:tab/>
      </w:r>
      <w:r w:rsidRPr="001C4B96">
        <w:rPr>
          <w:noProof/>
        </w:rPr>
        <w:fldChar w:fldCharType="begin"/>
      </w:r>
      <w:r w:rsidRPr="001C4B96">
        <w:rPr>
          <w:noProof/>
        </w:rPr>
        <w:instrText xml:space="preserve"> PAGEREF _Toc352234289 \h </w:instrText>
      </w:r>
      <w:r w:rsidRPr="001C4B96">
        <w:rPr>
          <w:noProof/>
        </w:rPr>
      </w:r>
      <w:r w:rsidRPr="001C4B96">
        <w:rPr>
          <w:noProof/>
        </w:rPr>
        <w:fldChar w:fldCharType="separate"/>
      </w:r>
      <w:r w:rsidRPr="001C4B96">
        <w:rPr>
          <w:noProof/>
        </w:rPr>
        <w:t>59</w:t>
      </w:r>
      <w:r w:rsidRPr="001C4B96">
        <w:rPr>
          <w:noProof/>
        </w:rPr>
        <w:fldChar w:fldCharType="end"/>
      </w:r>
    </w:p>
    <w:p w:rsidR="001C4B96" w:rsidRPr="001C4B96" w:rsidRDefault="001C4B96">
      <w:pPr>
        <w:pStyle w:val="TOC4"/>
        <w:rPr>
          <w:rFonts w:asciiTheme="minorHAnsi" w:eastAsiaTheme="minorEastAsia" w:hAnsiTheme="minorHAnsi" w:cstheme="minorBidi"/>
          <w:noProof/>
          <w:sz w:val="22"/>
          <w:szCs w:val="22"/>
        </w:rPr>
      </w:pPr>
      <w:r w:rsidRPr="001C4B96">
        <w:rPr>
          <w:noProof/>
        </w:rPr>
        <w:t>Renovação da Cobertura a partir de um Contrato Separado</w:t>
      </w:r>
      <w:r w:rsidRPr="001C4B96">
        <w:rPr>
          <w:noProof/>
        </w:rPr>
        <w:tab/>
      </w:r>
      <w:r w:rsidRPr="001C4B96">
        <w:rPr>
          <w:noProof/>
        </w:rPr>
        <w:fldChar w:fldCharType="begin"/>
      </w:r>
      <w:r w:rsidRPr="001C4B96">
        <w:rPr>
          <w:noProof/>
        </w:rPr>
        <w:instrText xml:space="preserve"> PAGEREF _Toc352234290 \h </w:instrText>
      </w:r>
      <w:r w:rsidRPr="001C4B96">
        <w:rPr>
          <w:noProof/>
        </w:rPr>
      </w:r>
      <w:r w:rsidRPr="001C4B96">
        <w:rPr>
          <w:noProof/>
        </w:rPr>
        <w:fldChar w:fldCharType="separate"/>
      </w:r>
      <w:r w:rsidRPr="001C4B96">
        <w:rPr>
          <w:noProof/>
        </w:rPr>
        <w:t>60</w:t>
      </w:r>
      <w:r w:rsidRPr="001C4B96">
        <w:rPr>
          <w:noProof/>
        </w:rPr>
        <w:fldChar w:fldCharType="end"/>
      </w:r>
    </w:p>
    <w:p w:rsidR="001C4B96" w:rsidRPr="001C4B96" w:rsidRDefault="001C4B96">
      <w:pPr>
        <w:pStyle w:val="TOC4"/>
        <w:rPr>
          <w:rFonts w:asciiTheme="minorHAnsi" w:eastAsiaTheme="minorEastAsia" w:hAnsiTheme="minorHAnsi" w:cstheme="minorBidi"/>
          <w:noProof/>
          <w:sz w:val="22"/>
          <w:szCs w:val="22"/>
        </w:rPr>
      </w:pPr>
      <w:r w:rsidRPr="001C4B96">
        <w:rPr>
          <w:rFonts w:cs="Tahoma"/>
          <w:noProof/>
        </w:rPr>
        <w:t>Select Plus 20xx</w:t>
      </w:r>
      <w:r w:rsidRPr="001C4B96">
        <w:rPr>
          <w:noProof/>
        </w:rPr>
        <w:tab/>
      </w:r>
      <w:r w:rsidRPr="001C4B96">
        <w:rPr>
          <w:noProof/>
        </w:rPr>
        <w:fldChar w:fldCharType="begin"/>
      </w:r>
      <w:r w:rsidRPr="001C4B96">
        <w:rPr>
          <w:noProof/>
        </w:rPr>
        <w:instrText xml:space="preserve"> PAGEREF _Toc352234291 \h </w:instrText>
      </w:r>
      <w:r w:rsidRPr="001C4B96">
        <w:rPr>
          <w:noProof/>
        </w:rPr>
      </w:r>
      <w:r w:rsidRPr="001C4B96">
        <w:rPr>
          <w:noProof/>
        </w:rPr>
        <w:fldChar w:fldCharType="separate"/>
      </w:r>
      <w:r w:rsidRPr="001C4B96">
        <w:rPr>
          <w:noProof/>
        </w:rPr>
        <w:t>60</w:t>
      </w:r>
      <w:r w:rsidRPr="001C4B96">
        <w:rPr>
          <w:noProof/>
        </w:rPr>
        <w:fldChar w:fldCharType="end"/>
      </w:r>
    </w:p>
    <w:p w:rsidR="001C4B96" w:rsidRPr="001C4B96" w:rsidRDefault="001C4B96">
      <w:pPr>
        <w:pStyle w:val="TOC4"/>
        <w:rPr>
          <w:rFonts w:asciiTheme="minorHAnsi" w:eastAsiaTheme="minorEastAsia" w:hAnsiTheme="minorHAnsi" w:cstheme="minorBidi"/>
          <w:noProof/>
          <w:sz w:val="22"/>
          <w:szCs w:val="22"/>
        </w:rPr>
      </w:pPr>
      <w:r w:rsidRPr="001C4B96">
        <w:rPr>
          <w:rFonts w:cs="Tahoma"/>
          <w:noProof/>
        </w:rPr>
        <w:t>Contrato Enterprise 2011 ou versões posteriores</w:t>
      </w:r>
      <w:r w:rsidRPr="001C4B96">
        <w:rPr>
          <w:noProof/>
        </w:rPr>
        <w:tab/>
      </w:r>
      <w:r w:rsidRPr="001C4B96">
        <w:rPr>
          <w:noProof/>
        </w:rPr>
        <w:fldChar w:fldCharType="begin"/>
      </w:r>
      <w:r w:rsidRPr="001C4B96">
        <w:rPr>
          <w:noProof/>
        </w:rPr>
        <w:instrText xml:space="preserve"> PAGEREF _Toc352234292 \h </w:instrText>
      </w:r>
      <w:r w:rsidRPr="001C4B96">
        <w:rPr>
          <w:noProof/>
        </w:rPr>
      </w:r>
      <w:r w:rsidRPr="001C4B96">
        <w:rPr>
          <w:noProof/>
        </w:rPr>
        <w:fldChar w:fldCharType="separate"/>
      </w:r>
      <w:r w:rsidRPr="001C4B96">
        <w:rPr>
          <w:noProof/>
        </w:rPr>
        <w:t>60</w:t>
      </w:r>
      <w:r w:rsidRPr="001C4B96">
        <w:rPr>
          <w:noProof/>
        </w:rPr>
        <w:fldChar w:fldCharType="end"/>
      </w:r>
    </w:p>
    <w:p w:rsidR="001C4B96" w:rsidRPr="001C4B96" w:rsidRDefault="001C4B96">
      <w:pPr>
        <w:pStyle w:val="TOC4"/>
        <w:rPr>
          <w:rFonts w:asciiTheme="minorHAnsi" w:eastAsiaTheme="minorEastAsia" w:hAnsiTheme="minorHAnsi" w:cstheme="minorBidi"/>
          <w:noProof/>
          <w:sz w:val="22"/>
          <w:szCs w:val="22"/>
        </w:rPr>
      </w:pPr>
      <w:r w:rsidRPr="001C4B96">
        <w:rPr>
          <w:rFonts w:cs="Tahoma"/>
          <w:noProof/>
        </w:rPr>
        <w:t>Contrato Enterprise Pré-2011</w:t>
      </w:r>
      <w:r w:rsidRPr="001C4B96">
        <w:rPr>
          <w:noProof/>
        </w:rPr>
        <w:tab/>
      </w:r>
      <w:r w:rsidRPr="001C4B96">
        <w:rPr>
          <w:noProof/>
        </w:rPr>
        <w:fldChar w:fldCharType="begin"/>
      </w:r>
      <w:r w:rsidRPr="001C4B96">
        <w:rPr>
          <w:noProof/>
        </w:rPr>
        <w:instrText xml:space="preserve"> PAGEREF _Toc352234293 \h </w:instrText>
      </w:r>
      <w:r w:rsidRPr="001C4B96">
        <w:rPr>
          <w:noProof/>
        </w:rPr>
      </w:r>
      <w:r w:rsidRPr="001C4B96">
        <w:rPr>
          <w:noProof/>
        </w:rPr>
        <w:fldChar w:fldCharType="separate"/>
      </w:r>
      <w:r w:rsidRPr="001C4B96">
        <w:rPr>
          <w:noProof/>
        </w:rPr>
        <w:t>61</w:t>
      </w:r>
      <w:r w:rsidRPr="001C4B96">
        <w:rPr>
          <w:noProof/>
        </w:rPr>
        <w:fldChar w:fldCharType="end"/>
      </w:r>
    </w:p>
    <w:p w:rsidR="001C4B96" w:rsidRPr="001C4B96" w:rsidRDefault="001C4B96">
      <w:pPr>
        <w:pStyle w:val="TOC4"/>
        <w:rPr>
          <w:rFonts w:asciiTheme="minorHAnsi" w:eastAsiaTheme="minorEastAsia" w:hAnsiTheme="minorHAnsi" w:cstheme="minorBidi"/>
          <w:noProof/>
          <w:sz w:val="22"/>
          <w:szCs w:val="22"/>
        </w:rPr>
      </w:pPr>
      <w:r w:rsidRPr="001C4B96">
        <w:rPr>
          <w:rFonts w:cs="Tahoma"/>
          <w:noProof/>
        </w:rPr>
        <w:t>Renovação entre programas</w:t>
      </w:r>
      <w:r w:rsidRPr="001C4B96">
        <w:rPr>
          <w:noProof/>
        </w:rPr>
        <w:tab/>
      </w:r>
      <w:r w:rsidRPr="001C4B96">
        <w:rPr>
          <w:noProof/>
        </w:rPr>
        <w:fldChar w:fldCharType="begin"/>
      </w:r>
      <w:r w:rsidRPr="001C4B96">
        <w:rPr>
          <w:noProof/>
        </w:rPr>
        <w:instrText xml:space="preserve"> PAGEREF _Toc352234294 \h </w:instrText>
      </w:r>
      <w:r w:rsidRPr="001C4B96">
        <w:rPr>
          <w:noProof/>
        </w:rPr>
      </w:r>
      <w:r w:rsidRPr="001C4B96">
        <w:rPr>
          <w:noProof/>
        </w:rPr>
        <w:fldChar w:fldCharType="separate"/>
      </w:r>
      <w:r w:rsidRPr="001C4B96">
        <w:rPr>
          <w:noProof/>
        </w:rPr>
        <w:t>61</w:t>
      </w:r>
      <w:r w:rsidRPr="001C4B96">
        <w:rPr>
          <w:noProof/>
        </w:rPr>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SEÇÃO 7 – BENEFÍCIOS DO software assurance (SA) e Benefícios dos Serviços</w:t>
      </w:r>
      <w:r w:rsidRPr="001C4B96">
        <w:rPr>
          <w:color w:val="auto"/>
          <w:lang w:val="pt-BR"/>
        </w:rPr>
        <w:t> </w:t>
      </w:r>
      <w:r w:rsidRPr="001C4B96">
        <w:rPr>
          <w:color w:val="auto"/>
        </w:rPr>
        <w:t>Online (OLS)</w:t>
      </w:r>
      <w:r w:rsidRPr="001C4B96">
        <w:rPr>
          <w:color w:val="auto"/>
        </w:rPr>
        <w:tab/>
      </w:r>
      <w:r w:rsidRPr="001C4B96">
        <w:rPr>
          <w:color w:val="auto"/>
        </w:rPr>
        <w:fldChar w:fldCharType="begin"/>
      </w:r>
      <w:r w:rsidRPr="001C4B96">
        <w:rPr>
          <w:color w:val="auto"/>
        </w:rPr>
        <w:instrText xml:space="preserve"> PAGEREF _Toc352234295 \h </w:instrText>
      </w:r>
      <w:r w:rsidRPr="001C4B96">
        <w:rPr>
          <w:color w:val="auto"/>
        </w:rPr>
      </w:r>
      <w:r w:rsidRPr="001C4B96">
        <w:rPr>
          <w:color w:val="auto"/>
        </w:rPr>
        <w:fldChar w:fldCharType="separate"/>
      </w:r>
      <w:r w:rsidRPr="001C4B96">
        <w:rPr>
          <w:color w:val="auto"/>
        </w:rPr>
        <w:t>62</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Direitos à Nova Versão</w:t>
      </w:r>
      <w:r w:rsidRPr="001C4B96">
        <w:tab/>
      </w:r>
      <w:r w:rsidRPr="001C4B96">
        <w:fldChar w:fldCharType="begin"/>
      </w:r>
      <w:r w:rsidRPr="001C4B96">
        <w:instrText xml:space="preserve"> PAGEREF _Toc352234296 \h </w:instrText>
      </w:r>
      <w:r w:rsidRPr="001C4B96">
        <w:fldChar w:fldCharType="separate"/>
      </w:r>
      <w:r w:rsidRPr="001C4B96">
        <w:t>64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t>Pacote Multilíngue do Office</w:t>
      </w:r>
      <w:r w:rsidRPr="001C4B96">
        <w:tab/>
      </w:r>
      <w:r w:rsidRPr="001C4B96">
        <w:fldChar w:fldCharType="begin"/>
      </w:r>
      <w:r w:rsidRPr="001C4B96">
        <w:instrText xml:space="preserve"> PAGEREF _Toc352234297 \h </w:instrText>
      </w:r>
      <w:r w:rsidRPr="001C4B96">
        <w:fldChar w:fldCharType="separate"/>
      </w:r>
      <w:r w:rsidRPr="001C4B96">
        <w:t>64</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Windows 8 Enterprise</w:t>
      </w:r>
      <w:r w:rsidRPr="001C4B96">
        <w:rPr>
          <w:color w:val="auto"/>
        </w:rPr>
        <w:tab/>
      </w:r>
      <w:r w:rsidRPr="001C4B96">
        <w:rPr>
          <w:color w:val="auto"/>
        </w:rPr>
        <w:fldChar w:fldCharType="begin"/>
      </w:r>
      <w:r w:rsidRPr="001C4B96">
        <w:rPr>
          <w:color w:val="auto"/>
        </w:rPr>
        <w:instrText xml:space="preserve"> PAGEREF _Toc352234298 \h </w:instrText>
      </w:r>
      <w:r w:rsidRPr="001C4B96">
        <w:rPr>
          <w:color w:val="auto"/>
        </w:rPr>
      </w:r>
      <w:r w:rsidRPr="001C4B96">
        <w:rPr>
          <w:color w:val="auto"/>
        </w:rPr>
        <w:fldChar w:fldCharType="separate"/>
      </w:r>
      <w:r w:rsidRPr="001C4B96">
        <w:rPr>
          <w:color w:val="auto"/>
        </w:rPr>
        <w:t>69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Windows 8 Enterprise Sideloading</w:t>
      </w:r>
      <w:r w:rsidRPr="001C4B96">
        <w:rPr>
          <w:color w:val="auto"/>
        </w:rPr>
        <w:tab/>
      </w:r>
      <w:r w:rsidRPr="001C4B96">
        <w:rPr>
          <w:color w:val="auto"/>
        </w:rPr>
        <w:fldChar w:fldCharType="begin"/>
      </w:r>
      <w:r w:rsidRPr="001C4B96">
        <w:rPr>
          <w:color w:val="auto"/>
        </w:rPr>
        <w:instrText xml:space="preserve"> PAGEREF _Toc352234299 \h </w:instrText>
      </w:r>
      <w:r w:rsidRPr="001C4B96">
        <w:rPr>
          <w:color w:val="auto"/>
        </w:rPr>
      </w:r>
      <w:r w:rsidRPr="001C4B96">
        <w:rPr>
          <w:color w:val="auto"/>
        </w:rPr>
        <w:fldChar w:fldCharType="separate"/>
      </w:r>
      <w:r w:rsidRPr="001C4B96">
        <w:rPr>
          <w:color w:val="auto"/>
        </w:rPr>
        <w:t>69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Licença de Assinatura do Windows Companion</w:t>
      </w:r>
      <w:r w:rsidRPr="001C4B96">
        <w:rPr>
          <w:color w:val="auto"/>
        </w:rPr>
        <w:tab/>
      </w:r>
      <w:r w:rsidRPr="001C4B96">
        <w:rPr>
          <w:color w:val="auto"/>
        </w:rPr>
        <w:fldChar w:fldCharType="begin"/>
      </w:r>
      <w:r w:rsidRPr="001C4B96">
        <w:rPr>
          <w:color w:val="auto"/>
        </w:rPr>
        <w:instrText xml:space="preserve"> PAGEREF _Toc352234300 \h </w:instrText>
      </w:r>
      <w:r w:rsidRPr="001C4B96">
        <w:rPr>
          <w:color w:val="auto"/>
        </w:rPr>
      </w:r>
      <w:r w:rsidRPr="001C4B96">
        <w:rPr>
          <w:color w:val="auto"/>
        </w:rPr>
        <w:fldChar w:fldCharType="separate"/>
      </w:r>
      <w:r w:rsidRPr="001C4B96">
        <w:rPr>
          <w:color w:val="auto"/>
        </w:rPr>
        <w:t>69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Cupons de Treinamento</w:t>
      </w:r>
      <w:r w:rsidRPr="001C4B96">
        <w:rPr>
          <w:color w:val="auto"/>
        </w:rPr>
        <w:tab/>
      </w:r>
      <w:r w:rsidRPr="001C4B96">
        <w:rPr>
          <w:color w:val="auto"/>
        </w:rPr>
        <w:fldChar w:fldCharType="begin"/>
      </w:r>
      <w:r w:rsidRPr="001C4B96">
        <w:rPr>
          <w:color w:val="auto"/>
        </w:rPr>
        <w:instrText xml:space="preserve"> PAGEREF _Toc352234301 \h </w:instrText>
      </w:r>
      <w:r w:rsidRPr="001C4B96">
        <w:rPr>
          <w:color w:val="auto"/>
        </w:rPr>
      </w:r>
      <w:r w:rsidRPr="001C4B96">
        <w:rPr>
          <w:color w:val="auto"/>
        </w:rPr>
        <w:fldChar w:fldCharType="separate"/>
      </w:r>
      <w:r w:rsidRPr="001C4B96">
        <w:rPr>
          <w:color w:val="auto"/>
        </w:rPr>
        <w:t>70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E-Learning</w:t>
      </w:r>
      <w:r w:rsidRPr="001C4B96">
        <w:rPr>
          <w:color w:val="auto"/>
        </w:rPr>
        <w:tab/>
      </w:r>
      <w:r w:rsidRPr="001C4B96">
        <w:rPr>
          <w:color w:val="auto"/>
        </w:rPr>
        <w:fldChar w:fldCharType="begin"/>
      </w:r>
      <w:r w:rsidRPr="001C4B96">
        <w:rPr>
          <w:color w:val="auto"/>
        </w:rPr>
        <w:instrText xml:space="preserve"> PAGEREF _Toc352234302 \h </w:instrText>
      </w:r>
      <w:r w:rsidRPr="001C4B96">
        <w:rPr>
          <w:color w:val="auto"/>
        </w:rPr>
      </w:r>
      <w:r w:rsidRPr="001C4B96">
        <w:rPr>
          <w:color w:val="auto"/>
        </w:rPr>
        <w:fldChar w:fldCharType="separate"/>
      </w:r>
      <w:r w:rsidRPr="001C4B96">
        <w:rPr>
          <w:color w:val="auto"/>
        </w:rPr>
        <w:t>72</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Home Use Program</w:t>
      </w:r>
      <w:r w:rsidRPr="001C4B96">
        <w:rPr>
          <w:color w:val="auto"/>
        </w:rPr>
        <w:tab/>
      </w:r>
      <w:r w:rsidRPr="001C4B96">
        <w:rPr>
          <w:color w:val="auto"/>
        </w:rPr>
        <w:fldChar w:fldCharType="begin"/>
      </w:r>
      <w:r w:rsidRPr="001C4B96">
        <w:rPr>
          <w:color w:val="auto"/>
        </w:rPr>
        <w:instrText xml:space="preserve"> PAGEREF _Toc352234303 \h </w:instrText>
      </w:r>
      <w:r w:rsidRPr="001C4B96">
        <w:rPr>
          <w:color w:val="auto"/>
        </w:rPr>
      </w:r>
      <w:r w:rsidRPr="001C4B96">
        <w:rPr>
          <w:color w:val="auto"/>
        </w:rPr>
        <w:fldChar w:fldCharType="separate"/>
      </w:r>
      <w:r w:rsidRPr="001C4B96">
        <w:rPr>
          <w:color w:val="auto"/>
        </w:rPr>
        <w:t>73</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Suporte para Resolução de Problemas 24x7</w:t>
      </w:r>
      <w:r w:rsidRPr="001C4B96">
        <w:rPr>
          <w:color w:val="auto"/>
        </w:rPr>
        <w:tab/>
      </w:r>
      <w:r w:rsidRPr="001C4B96">
        <w:rPr>
          <w:color w:val="auto"/>
        </w:rPr>
        <w:fldChar w:fldCharType="begin"/>
      </w:r>
      <w:r w:rsidRPr="001C4B96">
        <w:rPr>
          <w:color w:val="auto"/>
        </w:rPr>
        <w:instrText xml:space="preserve"> PAGEREF _Toc352234304 \h </w:instrText>
      </w:r>
      <w:r w:rsidRPr="001C4B96">
        <w:rPr>
          <w:color w:val="auto"/>
        </w:rPr>
      </w:r>
      <w:r w:rsidRPr="001C4B96">
        <w:rPr>
          <w:color w:val="auto"/>
        </w:rPr>
        <w:fldChar w:fldCharType="separate"/>
      </w:r>
      <w:r w:rsidRPr="001C4B96">
        <w:rPr>
          <w:color w:val="auto"/>
        </w:rPr>
        <w:t>75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Suporte para Resolução de Problemas 24x7 Ilimitado</w:t>
      </w:r>
      <w:r w:rsidRPr="001C4B96">
        <w:rPr>
          <w:color w:val="auto"/>
        </w:rPr>
        <w:tab/>
      </w:r>
      <w:r w:rsidRPr="001C4B96">
        <w:rPr>
          <w:color w:val="auto"/>
        </w:rPr>
        <w:fldChar w:fldCharType="begin"/>
      </w:r>
      <w:r w:rsidRPr="001C4B96">
        <w:rPr>
          <w:color w:val="auto"/>
        </w:rPr>
        <w:instrText xml:space="preserve"> PAGEREF _Toc352234305 \h </w:instrText>
      </w:r>
      <w:r w:rsidRPr="001C4B96">
        <w:rPr>
          <w:color w:val="auto"/>
        </w:rPr>
      </w:r>
      <w:r w:rsidRPr="001C4B96">
        <w:rPr>
          <w:color w:val="auto"/>
        </w:rPr>
        <w:fldChar w:fldCharType="separate"/>
      </w:r>
      <w:r w:rsidRPr="001C4B96">
        <w:rPr>
          <w:color w:val="auto"/>
        </w:rPr>
        <w:t>80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System Center Advisor</w:t>
      </w:r>
      <w:r w:rsidRPr="001C4B96">
        <w:rPr>
          <w:color w:val="auto"/>
        </w:rPr>
        <w:tab/>
      </w:r>
      <w:r w:rsidRPr="001C4B96">
        <w:rPr>
          <w:color w:val="auto"/>
        </w:rPr>
        <w:fldChar w:fldCharType="begin"/>
      </w:r>
      <w:r w:rsidRPr="001C4B96">
        <w:rPr>
          <w:color w:val="auto"/>
        </w:rPr>
        <w:instrText xml:space="preserve"> PAGEREF _Toc352234306 \h </w:instrText>
      </w:r>
      <w:r w:rsidRPr="001C4B96">
        <w:rPr>
          <w:color w:val="auto"/>
        </w:rPr>
      </w:r>
      <w:r w:rsidRPr="001C4B96">
        <w:rPr>
          <w:color w:val="auto"/>
        </w:rPr>
        <w:fldChar w:fldCharType="separate"/>
      </w:r>
      <w:r w:rsidRPr="001C4B96">
        <w:rPr>
          <w:color w:val="auto"/>
        </w:rPr>
        <w:t>82</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Backup Passivo para Recuperação de Desastres</w:t>
      </w:r>
      <w:r w:rsidRPr="001C4B96">
        <w:rPr>
          <w:color w:val="auto"/>
        </w:rPr>
        <w:tab/>
      </w:r>
      <w:r w:rsidRPr="001C4B96">
        <w:rPr>
          <w:color w:val="auto"/>
        </w:rPr>
        <w:fldChar w:fldCharType="begin"/>
      </w:r>
      <w:r w:rsidRPr="001C4B96">
        <w:rPr>
          <w:color w:val="auto"/>
        </w:rPr>
        <w:instrText xml:space="preserve"> PAGEREF _Toc352234307 \h </w:instrText>
      </w:r>
      <w:r w:rsidRPr="001C4B96">
        <w:rPr>
          <w:color w:val="auto"/>
        </w:rPr>
      </w:r>
      <w:r w:rsidRPr="001C4B96">
        <w:rPr>
          <w:color w:val="auto"/>
        </w:rPr>
        <w:fldChar w:fldCharType="separate"/>
      </w:r>
      <w:r w:rsidRPr="001C4B96">
        <w:rPr>
          <w:color w:val="auto"/>
        </w:rPr>
        <w:t>83</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Serviços de Assinatura do TechNet SA</w:t>
      </w:r>
      <w:r w:rsidRPr="001C4B96">
        <w:rPr>
          <w:color w:val="auto"/>
        </w:rPr>
        <w:tab/>
      </w:r>
      <w:r w:rsidRPr="001C4B96">
        <w:rPr>
          <w:color w:val="auto"/>
        </w:rPr>
        <w:fldChar w:fldCharType="begin"/>
      </w:r>
      <w:r w:rsidRPr="001C4B96">
        <w:rPr>
          <w:color w:val="auto"/>
        </w:rPr>
        <w:instrText xml:space="preserve"> PAGEREF _Toc352234308 \h </w:instrText>
      </w:r>
      <w:r w:rsidRPr="001C4B96">
        <w:rPr>
          <w:color w:val="auto"/>
        </w:rPr>
      </w:r>
      <w:r w:rsidRPr="001C4B96">
        <w:rPr>
          <w:color w:val="auto"/>
        </w:rPr>
        <w:fldChar w:fldCharType="separate"/>
      </w:r>
      <w:r w:rsidRPr="001C4B96">
        <w:rPr>
          <w:color w:val="auto"/>
        </w:rPr>
        <w:t>84</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TechNet Plus Direct</w:t>
      </w:r>
      <w:r w:rsidRPr="001C4B96">
        <w:rPr>
          <w:color w:val="auto"/>
        </w:rPr>
        <w:tab/>
      </w:r>
      <w:r w:rsidRPr="001C4B96">
        <w:rPr>
          <w:color w:val="auto"/>
        </w:rPr>
        <w:fldChar w:fldCharType="begin"/>
      </w:r>
      <w:r w:rsidRPr="001C4B96">
        <w:rPr>
          <w:color w:val="auto"/>
        </w:rPr>
        <w:instrText xml:space="preserve"> PAGEREF _Toc352234309 \h </w:instrText>
      </w:r>
      <w:r w:rsidRPr="001C4B96">
        <w:rPr>
          <w:color w:val="auto"/>
        </w:rPr>
      </w:r>
      <w:r w:rsidRPr="001C4B96">
        <w:rPr>
          <w:color w:val="auto"/>
        </w:rPr>
        <w:fldChar w:fldCharType="separate"/>
      </w:r>
      <w:r w:rsidRPr="001C4B96">
        <w:rPr>
          <w:color w:val="auto"/>
        </w:rPr>
        <w:t>85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lastRenderedPageBreak/>
        <w:t>Mobilidade de Licença por meio do Software Assurance.</w:t>
      </w:r>
      <w:r w:rsidRPr="001C4B96">
        <w:rPr>
          <w:color w:val="auto"/>
        </w:rPr>
        <w:tab/>
      </w:r>
      <w:r w:rsidRPr="001C4B96">
        <w:rPr>
          <w:color w:val="auto"/>
        </w:rPr>
        <w:fldChar w:fldCharType="begin"/>
      </w:r>
      <w:r w:rsidRPr="001C4B96">
        <w:rPr>
          <w:color w:val="auto"/>
        </w:rPr>
        <w:instrText xml:space="preserve"> PAGEREF _Toc352234310 \h </w:instrText>
      </w:r>
      <w:r w:rsidRPr="001C4B96">
        <w:rPr>
          <w:color w:val="auto"/>
        </w:rPr>
      </w:r>
      <w:r w:rsidRPr="001C4B96">
        <w:rPr>
          <w:color w:val="auto"/>
        </w:rPr>
        <w:fldChar w:fldCharType="separate"/>
      </w:r>
      <w:r w:rsidRPr="001C4B96">
        <w:rPr>
          <w:color w:val="auto"/>
        </w:rPr>
        <w:t>85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Windows Thin PC</w:t>
      </w:r>
      <w:r w:rsidRPr="001C4B96">
        <w:rPr>
          <w:color w:val="auto"/>
        </w:rPr>
        <w:tab/>
      </w:r>
      <w:r w:rsidRPr="001C4B96">
        <w:rPr>
          <w:color w:val="auto"/>
        </w:rPr>
        <w:fldChar w:fldCharType="begin"/>
      </w:r>
      <w:r w:rsidRPr="001C4B96">
        <w:rPr>
          <w:color w:val="auto"/>
        </w:rPr>
        <w:instrText xml:space="preserve"> PAGEREF _Toc352234311 \h </w:instrText>
      </w:r>
      <w:r w:rsidRPr="001C4B96">
        <w:rPr>
          <w:color w:val="auto"/>
        </w:rPr>
      </w:r>
      <w:r w:rsidRPr="001C4B96">
        <w:rPr>
          <w:color w:val="auto"/>
        </w:rPr>
        <w:fldChar w:fldCharType="separate"/>
      </w:r>
      <w:r w:rsidRPr="001C4B96">
        <w:rPr>
          <w:color w:val="auto"/>
        </w:rPr>
        <w:t>86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Microsoft Desktop Optimization Pack para Software Assurance</w:t>
      </w:r>
      <w:r w:rsidRPr="001C4B96">
        <w:rPr>
          <w:color w:val="auto"/>
        </w:rPr>
        <w:tab/>
      </w:r>
      <w:r w:rsidRPr="001C4B96">
        <w:rPr>
          <w:color w:val="auto"/>
        </w:rPr>
        <w:fldChar w:fldCharType="begin"/>
      </w:r>
      <w:r w:rsidRPr="001C4B96">
        <w:rPr>
          <w:color w:val="auto"/>
        </w:rPr>
        <w:instrText xml:space="preserve"> PAGEREF _Toc352234312 \h </w:instrText>
      </w:r>
      <w:r w:rsidRPr="001C4B96">
        <w:rPr>
          <w:color w:val="auto"/>
        </w:rPr>
      </w:r>
      <w:r w:rsidRPr="001C4B96">
        <w:rPr>
          <w:color w:val="auto"/>
        </w:rPr>
        <w:fldChar w:fldCharType="separate"/>
      </w:r>
      <w:r w:rsidRPr="001C4B96">
        <w:rPr>
          <w:color w:val="auto"/>
        </w:rPr>
        <w:t>87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Direitos do Windows Virtual Desktop Access (VDA)</w:t>
      </w:r>
      <w:r w:rsidRPr="001C4B96">
        <w:rPr>
          <w:color w:val="auto"/>
        </w:rPr>
        <w:tab/>
      </w:r>
      <w:r w:rsidRPr="001C4B96">
        <w:rPr>
          <w:color w:val="auto"/>
        </w:rPr>
        <w:fldChar w:fldCharType="begin"/>
      </w:r>
      <w:r w:rsidRPr="001C4B96">
        <w:rPr>
          <w:color w:val="auto"/>
        </w:rPr>
        <w:instrText xml:space="preserve"> PAGEREF _Toc352234313 \h </w:instrText>
      </w:r>
      <w:r w:rsidRPr="001C4B96">
        <w:rPr>
          <w:color w:val="auto"/>
        </w:rPr>
      </w:r>
      <w:r w:rsidRPr="001C4B96">
        <w:rPr>
          <w:color w:val="auto"/>
        </w:rPr>
        <w:fldChar w:fldCharType="separate"/>
      </w:r>
      <w:r w:rsidRPr="001C4B96">
        <w:rPr>
          <w:color w:val="auto"/>
        </w:rPr>
        <w:t>87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lang w:val="pt-BR"/>
        </w:rPr>
        <w:t>Disponibilidade de Licenças Step-up</w:t>
      </w:r>
      <w:r w:rsidRPr="001C4B96">
        <w:rPr>
          <w:color w:val="auto"/>
        </w:rPr>
        <w:tab/>
      </w:r>
      <w:r w:rsidRPr="001C4B96">
        <w:rPr>
          <w:color w:val="auto"/>
        </w:rPr>
        <w:fldChar w:fldCharType="begin"/>
      </w:r>
      <w:r w:rsidRPr="001C4B96">
        <w:rPr>
          <w:color w:val="auto"/>
        </w:rPr>
        <w:instrText xml:space="preserve"> PAGEREF _Toc352234314 \h </w:instrText>
      </w:r>
      <w:r w:rsidRPr="001C4B96">
        <w:rPr>
          <w:color w:val="auto"/>
        </w:rPr>
      </w:r>
      <w:r w:rsidRPr="001C4B96">
        <w:rPr>
          <w:color w:val="auto"/>
        </w:rPr>
        <w:fldChar w:fldCharType="separate"/>
      </w:r>
      <w:r w:rsidRPr="001C4B96">
        <w:rPr>
          <w:color w:val="auto"/>
        </w:rPr>
        <w:t>88</w:t>
      </w:r>
      <w:r w:rsidRPr="001C4B96">
        <w:rPr>
          <w:color w:val="auto"/>
        </w:rPr>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SEÇÃO 8 – ServiÇOS</w:t>
      </w:r>
      <w:r w:rsidRPr="001C4B96">
        <w:rPr>
          <w:color w:val="auto"/>
        </w:rPr>
        <w:tab/>
      </w:r>
      <w:r w:rsidRPr="001C4B96">
        <w:rPr>
          <w:color w:val="auto"/>
        </w:rPr>
        <w:fldChar w:fldCharType="begin"/>
      </w:r>
      <w:r w:rsidRPr="001C4B96">
        <w:rPr>
          <w:color w:val="auto"/>
        </w:rPr>
        <w:instrText xml:space="preserve"> PAGEREF _Toc352234315 \h </w:instrText>
      </w:r>
      <w:r w:rsidRPr="001C4B96">
        <w:rPr>
          <w:color w:val="auto"/>
        </w:rPr>
      </w:r>
      <w:r w:rsidRPr="001C4B96">
        <w:rPr>
          <w:color w:val="auto"/>
        </w:rPr>
        <w:fldChar w:fldCharType="separate"/>
      </w:r>
      <w:r w:rsidRPr="001C4B96">
        <w:rPr>
          <w:color w:val="auto"/>
        </w:rPr>
        <w:t>89</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lang w:val="pt-BR"/>
        </w:rPr>
        <w:t>Direitos de uso, propriedade e licença</w:t>
      </w:r>
      <w:r w:rsidRPr="001C4B96">
        <w:tab/>
      </w:r>
      <w:r w:rsidRPr="001C4B96">
        <w:fldChar w:fldCharType="begin"/>
      </w:r>
      <w:r w:rsidRPr="001C4B96">
        <w:instrText xml:space="preserve"> PAGEREF _Toc352234316 \h </w:instrText>
      </w:r>
      <w:r w:rsidRPr="001C4B96">
        <w:fldChar w:fldCharType="separate"/>
      </w:r>
      <w:r w:rsidRPr="001C4B96">
        <w:t>96</w:t>
      </w:r>
      <w:r w:rsidRPr="001C4B96">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SEÇÃO 9 – termos adicionais</w:t>
      </w:r>
      <w:r w:rsidRPr="001C4B96">
        <w:rPr>
          <w:color w:val="auto"/>
        </w:rPr>
        <w:tab/>
      </w:r>
      <w:r w:rsidRPr="001C4B96">
        <w:rPr>
          <w:color w:val="auto"/>
        </w:rPr>
        <w:fldChar w:fldCharType="begin"/>
      </w:r>
      <w:r w:rsidRPr="001C4B96">
        <w:rPr>
          <w:color w:val="auto"/>
        </w:rPr>
        <w:instrText xml:space="preserve"> PAGEREF _Toc352234317 \h </w:instrText>
      </w:r>
      <w:r w:rsidRPr="001C4B96">
        <w:rPr>
          <w:color w:val="auto"/>
        </w:rPr>
      </w:r>
      <w:r w:rsidRPr="001C4B96">
        <w:rPr>
          <w:color w:val="auto"/>
        </w:rPr>
        <w:fldChar w:fldCharType="separate"/>
      </w:r>
      <w:r w:rsidRPr="001C4B96">
        <w:rPr>
          <w:color w:val="auto"/>
        </w:rPr>
        <w:t>99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rFonts w:eastAsia="Times New Roman"/>
          <w:color w:val="auto"/>
        </w:rPr>
        <w:t>Licenças de Acesso para Cliente (CALs) e Licenças de Gerenciamento (MLs) de Cliente</w:t>
      </w:r>
      <w:r w:rsidRPr="001C4B96">
        <w:rPr>
          <w:color w:val="auto"/>
        </w:rPr>
        <w:tab/>
      </w:r>
      <w:r w:rsidRPr="001C4B96">
        <w:rPr>
          <w:color w:val="auto"/>
        </w:rPr>
        <w:fldChar w:fldCharType="begin"/>
      </w:r>
      <w:r w:rsidRPr="001C4B96">
        <w:rPr>
          <w:color w:val="auto"/>
        </w:rPr>
        <w:instrText xml:space="preserve"> PAGEREF _Toc352234318 \h </w:instrText>
      </w:r>
      <w:r w:rsidRPr="001C4B96">
        <w:rPr>
          <w:color w:val="auto"/>
        </w:rPr>
      </w:r>
      <w:r w:rsidRPr="001C4B96">
        <w:rPr>
          <w:color w:val="auto"/>
        </w:rPr>
        <w:fldChar w:fldCharType="separate"/>
      </w:r>
      <w:r w:rsidRPr="001C4B96">
        <w:rPr>
          <w:color w:val="auto"/>
        </w:rPr>
        <w:t>99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Restrições dos Controles de EI.</w:t>
      </w:r>
      <w:r w:rsidRPr="001C4B96">
        <w:rPr>
          <w:color w:val="auto"/>
        </w:rPr>
        <w:tab/>
      </w:r>
      <w:r w:rsidRPr="001C4B96">
        <w:rPr>
          <w:color w:val="auto"/>
        </w:rPr>
        <w:fldChar w:fldCharType="begin"/>
      </w:r>
      <w:r w:rsidRPr="001C4B96">
        <w:rPr>
          <w:color w:val="auto"/>
        </w:rPr>
        <w:instrText xml:space="preserve"> PAGEREF _Toc352234319 \h </w:instrText>
      </w:r>
      <w:r w:rsidRPr="001C4B96">
        <w:rPr>
          <w:color w:val="auto"/>
        </w:rPr>
      </w:r>
      <w:r w:rsidRPr="001C4B96">
        <w:rPr>
          <w:color w:val="auto"/>
        </w:rPr>
        <w:fldChar w:fldCharType="separate"/>
      </w:r>
      <w:r w:rsidRPr="001C4B96">
        <w:rPr>
          <w:color w:val="auto"/>
        </w:rPr>
        <w:t>99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rPr>
        <w:t>Pacotes Multilíngues (MLPs), funcionalidade de MUIs (Multilanguage User Interface) e direitos a novos idiomas</w:t>
      </w:r>
      <w:r w:rsidRPr="001C4B96">
        <w:rPr>
          <w:color w:val="auto"/>
        </w:rPr>
        <w:tab/>
      </w:r>
      <w:r w:rsidRPr="001C4B96">
        <w:rPr>
          <w:color w:val="auto"/>
        </w:rPr>
        <w:fldChar w:fldCharType="begin"/>
      </w:r>
      <w:r w:rsidRPr="001C4B96">
        <w:rPr>
          <w:color w:val="auto"/>
        </w:rPr>
        <w:instrText xml:space="preserve"> PAGEREF _Toc352234320 \h </w:instrText>
      </w:r>
      <w:r w:rsidRPr="001C4B96">
        <w:rPr>
          <w:color w:val="auto"/>
        </w:rPr>
      </w:r>
      <w:r w:rsidRPr="001C4B96">
        <w:rPr>
          <w:color w:val="auto"/>
        </w:rPr>
        <w:fldChar w:fldCharType="separate"/>
      </w:r>
      <w:r w:rsidRPr="001C4B96">
        <w:rPr>
          <w:color w:val="auto"/>
        </w:rPr>
        <w:t>100</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Licenças independentes da plataforma</w:t>
      </w:r>
      <w:r w:rsidRPr="001C4B96">
        <w:tab/>
      </w:r>
      <w:r w:rsidRPr="001C4B96">
        <w:fldChar w:fldCharType="begin"/>
      </w:r>
      <w:r w:rsidRPr="001C4B96">
        <w:instrText xml:space="preserve"> PAGEREF _Toc352234321 \h </w:instrText>
      </w:r>
      <w:r w:rsidRPr="001C4B96">
        <w:fldChar w:fldCharType="separate"/>
      </w:r>
      <w:r w:rsidRPr="001C4B96">
        <w:t>100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Chaves de Produto em Licenças por Volume</w:t>
      </w:r>
      <w:r w:rsidRPr="001C4B96">
        <w:tab/>
      </w:r>
      <w:r w:rsidRPr="001C4B96">
        <w:fldChar w:fldCharType="begin"/>
      </w:r>
      <w:r w:rsidRPr="001C4B96">
        <w:instrText xml:space="preserve"> PAGEREF _Toc352234322 \h </w:instrText>
      </w:r>
      <w:r w:rsidRPr="001C4B96">
        <w:fldChar w:fldCharType="separate"/>
      </w:r>
      <w:r w:rsidRPr="001C4B96">
        <w:t>101</w:t>
      </w:r>
      <w:r w:rsidRPr="001C4B96">
        <w:fldChar w:fldCharType="end"/>
      </w:r>
    </w:p>
    <w:p w:rsidR="001C4B96" w:rsidRPr="001C4B96" w:rsidRDefault="001C4B96">
      <w:pPr>
        <w:pStyle w:val="TOC1"/>
        <w:rPr>
          <w:rFonts w:asciiTheme="minorHAnsi" w:eastAsiaTheme="minorEastAsia" w:hAnsiTheme="minorHAnsi" w:cstheme="minorBidi"/>
          <w:b w:val="0"/>
          <w:caps w:val="0"/>
          <w:color w:val="auto"/>
          <w:szCs w:val="22"/>
        </w:rPr>
      </w:pPr>
      <w:r w:rsidRPr="001C4B96">
        <w:rPr>
          <w:color w:val="auto"/>
        </w:rPr>
        <w:t>NoTAS do Produto</w:t>
      </w:r>
      <w:r w:rsidRPr="001C4B96">
        <w:rPr>
          <w:color w:val="auto"/>
        </w:rPr>
        <w:tab/>
      </w:r>
      <w:r w:rsidRPr="001C4B96">
        <w:rPr>
          <w:color w:val="auto"/>
        </w:rPr>
        <w:fldChar w:fldCharType="begin"/>
      </w:r>
      <w:r w:rsidRPr="001C4B96">
        <w:rPr>
          <w:color w:val="auto"/>
        </w:rPr>
        <w:instrText xml:space="preserve"> PAGEREF _Toc352234323 \h </w:instrText>
      </w:r>
      <w:r w:rsidRPr="001C4B96">
        <w:rPr>
          <w:color w:val="auto"/>
        </w:rPr>
      </w:r>
      <w:r w:rsidRPr="001C4B96">
        <w:rPr>
          <w:color w:val="auto"/>
        </w:rPr>
        <w:fldChar w:fldCharType="separate"/>
      </w:r>
      <w:r w:rsidRPr="001C4B96">
        <w:rPr>
          <w:color w:val="auto"/>
        </w:rPr>
        <w:t>102</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Pool de Aplicativos</w:t>
      </w:r>
      <w:r w:rsidRPr="001C4B96">
        <w:tab/>
      </w:r>
      <w:r w:rsidRPr="001C4B96">
        <w:fldChar w:fldCharType="begin"/>
      </w:r>
      <w:r w:rsidRPr="001C4B96">
        <w:instrText xml:space="preserve"> PAGEREF _Toc352234324 \h </w:instrText>
      </w:r>
      <w:r w:rsidRPr="001C4B96">
        <w:fldChar w:fldCharType="separate"/>
      </w:r>
      <w:r w:rsidRPr="001C4B96">
        <w:t>102</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w:t>
      </w:r>
      <w:r w:rsidRPr="001C4B96">
        <w:rPr>
          <w:color w:val="auto"/>
        </w:rPr>
        <w:t xml:space="preserve"> Expression Encoder Pro 4</w:t>
      </w:r>
      <w:r w:rsidRPr="001C4B96">
        <w:rPr>
          <w:color w:val="auto"/>
        </w:rPr>
        <w:tab/>
      </w:r>
      <w:r w:rsidRPr="001C4B96">
        <w:rPr>
          <w:color w:val="auto"/>
        </w:rPr>
        <w:fldChar w:fldCharType="begin"/>
      </w:r>
      <w:r w:rsidRPr="001C4B96">
        <w:rPr>
          <w:color w:val="auto"/>
        </w:rPr>
        <w:instrText xml:space="preserve"> PAGEREF _Toc352234325 \h </w:instrText>
      </w:r>
      <w:r w:rsidRPr="001C4B96">
        <w:rPr>
          <w:color w:val="auto"/>
        </w:rPr>
      </w:r>
      <w:r w:rsidRPr="001C4B96">
        <w:rPr>
          <w:color w:val="auto"/>
        </w:rPr>
        <w:fldChar w:fldCharType="separate"/>
      </w:r>
      <w:r w:rsidRPr="001C4B96">
        <w:rPr>
          <w:color w:val="auto"/>
        </w:rPr>
        <w:t>102</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2</w:t>
      </w:r>
      <w:r w:rsidRPr="001C4B96">
        <w:rPr>
          <w:color w:val="auto"/>
        </w:rPr>
        <w:t xml:space="preserve"> Lync para Mac 2011</w:t>
      </w:r>
      <w:r w:rsidRPr="001C4B96">
        <w:rPr>
          <w:color w:val="auto"/>
        </w:rPr>
        <w:tab/>
      </w:r>
      <w:r w:rsidRPr="001C4B96">
        <w:rPr>
          <w:color w:val="auto"/>
        </w:rPr>
        <w:fldChar w:fldCharType="begin"/>
      </w:r>
      <w:r w:rsidRPr="001C4B96">
        <w:rPr>
          <w:color w:val="auto"/>
        </w:rPr>
        <w:instrText xml:space="preserve"> PAGEREF _Toc352234326 \h </w:instrText>
      </w:r>
      <w:r w:rsidRPr="001C4B96">
        <w:rPr>
          <w:color w:val="auto"/>
        </w:rPr>
      </w:r>
      <w:r w:rsidRPr="001C4B96">
        <w:rPr>
          <w:color w:val="auto"/>
        </w:rPr>
        <w:fldChar w:fldCharType="separate"/>
      </w:r>
      <w:r w:rsidRPr="001C4B96">
        <w:rPr>
          <w:color w:val="auto"/>
        </w:rPr>
        <w:t>102</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3</w:t>
      </w:r>
      <w:r w:rsidRPr="001C4B96">
        <w:rPr>
          <w:color w:val="auto"/>
        </w:rPr>
        <w:t xml:space="preserve"> Sistemas Operacionais MSDN</w:t>
      </w:r>
      <w:r w:rsidRPr="001C4B96">
        <w:rPr>
          <w:color w:val="auto"/>
        </w:rPr>
        <w:tab/>
      </w:r>
      <w:r w:rsidRPr="001C4B96">
        <w:rPr>
          <w:color w:val="auto"/>
        </w:rPr>
        <w:fldChar w:fldCharType="begin"/>
      </w:r>
      <w:r w:rsidRPr="001C4B96">
        <w:rPr>
          <w:color w:val="auto"/>
        </w:rPr>
        <w:instrText xml:space="preserve"> PAGEREF _Toc352234327 \h </w:instrText>
      </w:r>
      <w:r w:rsidRPr="001C4B96">
        <w:rPr>
          <w:color w:val="auto"/>
        </w:rPr>
      </w:r>
      <w:r w:rsidRPr="001C4B96">
        <w:rPr>
          <w:color w:val="auto"/>
        </w:rPr>
        <w:fldChar w:fldCharType="separate"/>
      </w:r>
      <w:r w:rsidRPr="001C4B96">
        <w:rPr>
          <w:color w:val="auto"/>
        </w:rPr>
        <w:t>102</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4</w:t>
      </w:r>
      <w:r w:rsidRPr="001C4B96">
        <w:t xml:space="preserve"> </w:t>
      </w:r>
      <w:r w:rsidRPr="001C4B96">
        <w:rPr>
          <w:rFonts w:cs="Tahoma"/>
        </w:rPr>
        <w:t>Office 365 Education A2-A4 (SL de Usuário)</w:t>
      </w:r>
      <w:r w:rsidRPr="001C4B96">
        <w:tab/>
      </w:r>
      <w:r w:rsidRPr="001C4B96">
        <w:fldChar w:fldCharType="begin"/>
      </w:r>
      <w:r w:rsidRPr="001C4B96">
        <w:instrText xml:space="preserve"> PAGEREF _Toc352234328 \h </w:instrText>
      </w:r>
      <w:r w:rsidRPr="001C4B96">
        <w:fldChar w:fldCharType="separate"/>
      </w:r>
      <w:r w:rsidRPr="001C4B96">
        <w:t>103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5</w:t>
      </w:r>
      <w:r w:rsidRPr="001C4B96">
        <w:rPr>
          <w:rFonts w:cs="Tahoma"/>
        </w:rPr>
        <w:t xml:space="preserve"> Office 365 Enterprise E2-E4</w:t>
      </w:r>
      <w:r w:rsidRPr="001C4B96">
        <w:tab/>
      </w:r>
      <w:r w:rsidRPr="001C4B96">
        <w:fldChar w:fldCharType="begin"/>
      </w:r>
      <w:r w:rsidRPr="001C4B96">
        <w:instrText xml:space="preserve"> PAGEREF _Toc352234329 \h </w:instrText>
      </w:r>
      <w:r w:rsidRPr="001C4B96">
        <w:fldChar w:fldCharType="separate"/>
      </w:r>
      <w:r w:rsidRPr="001C4B96">
        <w:t>104</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6</w:t>
      </w:r>
      <w:r w:rsidRPr="001C4B96">
        <w:rPr>
          <w:color w:val="auto"/>
        </w:rPr>
        <w:t xml:space="preserve"> Office para Mac Standard 2011</w:t>
      </w:r>
      <w:r w:rsidRPr="001C4B96">
        <w:rPr>
          <w:color w:val="auto"/>
        </w:rPr>
        <w:tab/>
      </w:r>
      <w:r w:rsidRPr="001C4B96">
        <w:rPr>
          <w:color w:val="auto"/>
        </w:rPr>
        <w:fldChar w:fldCharType="begin"/>
      </w:r>
      <w:r w:rsidRPr="001C4B96">
        <w:rPr>
          <w:color w:val="auto"/>
        </w:rPr>
        <w:instrText xml:space="preserve"> PAGEREF _Toc352234330 \h </w:instrText>
      </w:r>
      <w:r w:rsidRPr="001C4B96">
        <w:rPr>
          <w:color w:val="auto"/>
        </w:rPr>
      </w:r>
      <w:r w:rsidRPr="001C4B96">
        <w:rPr>
          <w:color w:val="auto"/>
        </w:rPr>
        <w:fldChar w:fldCharType="separate"/>
      </w:r>
      <w:r w:rsidRPr="001C4B96">
        <w:rPr>
          <w:color w:val="auto"/>
        </w:rPr>
        <w:t>104</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7</w:t>
      </w:r>
      <w:r w:rsidRPr="001C4B96">
        <w:rPr>
          <w:color w:val="auto"/>
        </w:rPr>
        <w:t xml:space="preserve"> Pacote Multilíngue do Office 2013</w:t>
      </w:r>
      <w:r w:rsidRPr="001C4B96">
        <w:rPr>
          <w:color w:val="auto"/>
        </w:rPr>
        <w:tab/>
      </w:r>
      <w:r w:rsidRPr="001C4B96">
        <w:rPr>
          <w:color w:val="auto"/>
        </w:rPr>
        <w:fldChar w:fldCharType="begin"/>
      </w:r>
      <w:r w:rsidRPr="001C4B96">
        <w:rPr>
          <w:color w:val="auto"/>
        </w:rPr>
        <w:instrText xml:space="preserve"> PAGEREF _Toc352234331 \h </w:instrText>
      </w:r>
      <w:r w:rsidRPr="001C4B96">
        <w:rPr>
          <w:color w:val="auto"/>
        </w:rPr>
      </w:r>
      <w:r w:rsidRPr="001C4B96">
        <w:rPr>
          <w:color w:val="auto"/>
        </w:rPr>
        <w:fldChar w:fldCharType="separate"/>
      </w:r>
      <w:r w:rsidRPr="001C4B96">
        <w:rPr>
          <w:color w:val="auto"/>
        </w:rPr>
        <w:t>104</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w:t>
      </w:r>
      <w:r w:rsidRPr="001C4B96">
        <w:rPr>
          <w:color w:val="auto"/>
        </w:rPr>
        <w:t xml:space="preserve"> Office Professional Plus 2013</w:t>
      </w:r>
      <w:r w:rsidRPr="001C4B96">
        <w:rPr>
          <w:color w:val="auto"/>
        </w:rPr>
        <w:tab/>
      </w:r>
      <w:r w:rsidRPr="001C4B96">
        <w:rPr>
          <w:color w:val="auto"/>
        </w:rPr>
        <w:fldChar w:fldCharType="begin"/>
      </w:r>
      <w:r w:rsidRPr="001C4B96">
        <w:rPr>
          <w:color w:val="auto"/>
        </w:rPr>
        <w:instrText xml:space="preserve"> PAGEREF _Toc352234332 \h </w:instrText>
      </w:r>
      <w:r w:rsidRPr="001C4B96">
        <w:rPr>
          <w:color w:val="auto"/>
        </w:rPr>
      </w:r>
      <w:r w:rsidRPr="001C4B96">
        <w:rPr>
          <w:color w:val="auto"/>
        </w:rPr>
        <w:fldChar w:fldCharType="separate"/>
      </w:r>
      <w:r w:rsidRPr="001C4B96">
        <w:rPr>
          <w:color w:val="auto"/>
        </w:rPr>
        <w:t>105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9</w:t>
      </w:r>
      <w:r w:rsidRPr="001C4B96">
        <w:rPr>
          <w:color w:val="auto"/>
        </w:rPr>
        <w:t xml:space="preserve"> Office Standard 2013</w:t>
      </w:r>
      <w:r w:rsidRPr="001C4B96">
        <w:rPr>
          <w:color w:val="auto"/>
        </w:rPr>
        <w:tab/>
      </w:r>
      <w:r w:rsidRPr="001C4B96">
        <w:rPr>
          <w:color w:val="auto"/>
        </w:rPr>
        <w:fldChar w:fldCharType="begin"/>
      </w:r>
      <w:r w:rsidRPr="001C4B96">
        <w:rPr>
          <w:color w:val="auto"/>
        </w:rPr>
        <w:instrText xml:space="preserve"> PAGEREF _Toc352234333 \h </w:instrText>
      </w:r>
      <w:r w:rsidRPr="001C4B96">
        <w:rPr>
          <w:color w:val="auto"/>
        </w:rPr>
      </w:r>
      <w:r w:rsidRPr="001C4B96">
        <w:rPr>
          <w:color w:val="auto"/>
        </w:rPr>
        <w:fldChar w:fldCharType="separate"/>
      </w:r>
      <w:r w:rsidRPr="001C4B96">
        <w:rPr>
          <w:color w:val="auto"/>
        </w:rPr>
        <w:t>105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10</w:t>
      </w:r>
      <w:r w:rsidRPr="001C4B96">
        <w:rPr>
          <w:color w:val="auto"/>
        </w:rPr>
        <w:t xml:space="preserve"> Office 365 ProPlus (SL de Usuário)</w:t>
      </w:r>
      <w:r w:rsidRPr="001C4B96">
        <w:rPr>
          <w:color w:val="auto"/>
        </w:rPr>
        <w:tab/>
      </w:r>
      <w:r w:rsidRPr="001C4B96">
        <w:rPr>
          <w:color w:val="auto"/>
        </w:rPr>
        <w:fldChar w:fldCharType="begin"/>
      </w:r>
      <w:r w:rsidRPr="001C4B96">
        <w:rPr>
          <w:color w:val="auto"/>
        </w:rPr>
        <w:instrText xml:space="preserve"> PAGEREF _Toc352234334 \h </w:instrText>
      </w:r>
      <w:r w:rsidRPr="001C4B96">
        <w:rPr>
          <w:color w:val="auto"/>
        </w:rPr>
      </w:r>
      <w:r w:rsidRPr="001C4B96">
        <w:rPr>
          <w:color w:val="auto"/>
        </w:rPr>
        <w:fldChar w:fldCharType="separate"/>
      </w:r>
      <w:r w:rsidRPr="001C4B96">
        <w:rPr>
          <w:color w:val="auto"/>
        </w:rPr>
        <w:t>105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11</w:t>
      </w:r>
      <w:r w:rsidRPr="001C4B96">
        <w:rPr>
          <w:color w:val="auto"/>
        </w:rPr>
        <w:t xml:space="preserve"> Outlook para Mac 2011</w:t>
      </w:r>
      <w:r w:rsidRPr="001C4B96">
        <w:rPr>
          <w:color w:val="auto"/>
        </w:rPr>
        <w:tab/>
      </w:r>
      <w:r w:rsidRPr="001C4B96">
        <w:rPr>
          <w:color w:val="auto"/>
        </w:rPr>
        <w:fldChar w:fldCharType="begin"/>
      </w:r>
      <w:r w:rsidRPr="001C4B96">
        <w:rPr>
          <w:color w:val="auto"/>
        </w:rPr>
        <w:instrText xml:space="preserve"> PAGEREF _Toc352234335 \h </w:instrText>
      </w:r>
      <w:r w:rsidRPr="001C4B96">
        <w:rPr>
          <w:color w:val="auto"/>
        </w:rPr>
      </w:r>
      <w:r w:rsidRPr="001C4B96">
        <w:rPr>
          <w:color w:val="auto"/>
        </w:rPr>
        <w:fldChar w:fldCharType="separate"/>
      </w:r>
      <w:r w:rsidRPr="001C4B96">
        <w:rPr>
          <w:color w:val="auto"/>
        </w:rPr>
        <w:t>106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12</w:t>
      </w:r>
      <w:r w:rsidRPr="001C4B96">
        <w:rPr>
          <w:color w:val="auto"/>
        </w:rPr>
        <w:t xml:space="preserve"> Project 2013 Professional</w:t>
      </w:r>
      <w:r w:rsidRPr="001C4B96">
        <w:rPr>
          <w:color w:val="auto"/>
        </w:rPr>
        <w:tab/>
      </w:r>
      <w:r w:rsidRPr="001C4B96">
        <w:rPr>
          <w:color w:val="auto"/>
        </w:rPr>
        <w:fldChar w:fldCharType="begin"/>
      </w:r>
      <w:r w:rsidRPr="001C4B96">
        <w:rPr>
          <w:color w:val="auto"/>
        </w:rPr>
        <w:instrText xml:space="preserve"> PAGEREF _Toc352234336 \h </w:instrText>
      </w:r>
      <w:r w:rsidRPr="001C4B96">
        <w:rPr>
          <w:color w:val="auto"/>
        </w:rPr>
      </w:r>
      <w:r w:rsidRPr="001C4B96">
        <w:rPr>
          <w:color w:val="auto"/>
        </w:rPr>
        <w:fldChar w:fldCharType="separate"/>
      </w:r>
      <w:r w:rsidRPr="001C4B96">
        <w:rPr>
          <w:color w:val="auto"/>
        </w:rPr>
        <w:t>106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13</w:t>
      </w:r>
      <w:r w:rsidRPr="001C4B96">
        <w:rPr>
          <w:color w:val="auto"/>
        </w:rPr>
        <w:t xml:space="preserve"> Project Pro para Office 365</w:t>
      </w:r>
      <w:r w:rsidRPr="001C4B96">
        <w:rPr>
          <w:color w:val="auto"/>
        </w:rPr>
        <w:tab/>
      </w:r>
      <w:r w:rsidRPr="001C4B96">
        <w:rPr>
          <w:color w:val="auto"/>
        </w:rPr>
        <w:fldChar w:fldCharType="begin"/>
      </w:r>
      <w:r w:rsidRPr="001C4B96">
        <w:rPr>
          <w:color w:val="auto"/>
        </w:rPr>
        <w:instrText xml:space="preserve"> PAGEREF _Toc352234337 \h </w:instrText>
      </w:r>
      <w:r w:rsidRPr="001C4B96">
        <w:rPr>
          <w:color w:val="auto"/>
        </w:rPr>
      </w:r>
      <w:r w:rsidRPr="001C4B96">
        <w:rPr>
          <w:color w:val="auto"/>
        </w:rPr>
        <w:fldChar w:fldCharType="separate"/>
      </w:r>
      <w:r w:rsidRPr="001C4B96">
        <w:rPr>
          <w:color w:val="auto"/>
        </w:rPr>
        <w:t>107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14</w:t>
      </w:r>
      <w:r w:rsidRPr="001C4B96">
        <w:rPr>
          <w:color w:val="auto"/>
        </w:rPr>
        <w:t xml:space="preserve"> Direitos de Locação do Office</w:t>
      </w:r>
      <w:r w:rsidRPr="001C4B96">
        <w:rPr>
          <w:color w:val="auto"/>
        </w:rPr>
        <w:tab/>
      </w:r>
      <w:r w:rsidRPr="001C4B96">
        <w:rPr>
          <w:color w:val="auto"/>
        </w:rPr>
        <w:fldChar w:fldCharType="begin"/>
      </w:r>
      <w:r w:rsidRPr="001C4B96">
        <w:rPr>
          <w:color w:val="auto"/>
        </w:rPr>
        <w:instrText xml:space="preserve"> PAGEREF _Toc352234338 \h </w:instrText>
      </w:r>
      <w:r w:rsidRPr="001C4B96">
        <w:rPr>
          <w:color w:val="auto"/>
        </w:rPr>
      </w:r>
      <w:r w:rsidRPr="001C4B96">
        <w:rPr>
          <w:color w:val="auto"/>
        </w:rPr>
        <w:fldChar w:fldCharType="separate"/>
      </w:r>
      <w:r w:rsidRPr="001C4B96">
        <w:rPr>
          <w:color w:val="auto"/>
        </w:rPr>
        <w:t>107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15</w:t>
      </w:r>
      <w:r w:rsidRPr="001C4B96">
        <w:rPr>
          <w:color w:val="auto"/>
        </w:rPr>
        <w:t xml:space="preserve"> Vexcel Desktop com Pacote de Conteúdo Aprimorado</w:t>
      </w:r>
      <w:r w:rsidRPr="001C4B96">
        <w:rPr>
          <w:color w:val="auto"/>
        </w:rPr>
        <w:tab/>
      </w:r>
      <w:r w:rsidRPr="001C4B96">
        <w:rPr>
          <w:color w:val="auto"/>
        </w:rPr>
        <w:fldChar w:fldCharType="begin"/>
      </w:r>
      <w:r w:rsidRPr="001C4B96">
        <w:rPr>
          <w:color w:val="auto"/>
        </w:rPr>
        <w:instrText xml:space="preserve"> PAGEREF _Toc352234339 \h </w:instrText>
      </w:r>
      <w:r w:rsidRPr="001C4B96">
        <w:rPr>
          <w:color w:val="auto"/>
        </w:rPr>
      </w:r>
      <w:r w:rsidRPr="001C4B96">
        <w:rPr>
          <w:color w:val="auto"/>
        </w:rPr>
        <w:fldChar w:fldCharType="separate"/>
      </w:r>
      <w:r w:rsidRPr="001C4B96">
        <w:rPr>
          <w:color w:val="auto"/>
        </w:rPr>
        <w:t>108</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16</w:t>
      </w:r>
      <w:r w:rsidRPr="001C4B96">
        <w:rPr>
          <w:color w:val="auto"/>
        </w:rPr>
        <w:t xml:space="preserve"> Visio Professional 2013</w:t>
      </w:r>
      <w:r w:rsidRPr="001C4B96">
        <w:rPr>
          <w:color w:val="auto"/>
        </w:rPr>
        <w:tab/>
      </w:r>
      <w:r w:rsidRPr="001C4B96">
        <w:rPr>
          <w:color w:val="auto"/>
        </w:rPr>
        <w:fldChar w:fldCharType="begin"/>
      </w:r>
      <w:r w:rsidRPr="001C4B96">
        <w:rPr>
          <w:color w:val="auto"/>
        </w:rPr>
        <w:instrText xml:space="preserve"> PAGEREF _Toc352234340 \h </w:instrText>
      </w:r>
      <w:r w:rsidRPr="001C4B96">
        <w:rPr>
          <w:color w:val="auto"/>
        </w:rPr>
      </w:r>
      <w:r w:rsidRPr="001C4B96">
        <w:rPr>
          <w:color w:val="auto"/>
        </w:rPr>
        <w:fldChar w:fldCharType="separate"/>
      </w:r>
      <w:r w:rsidRPr="001C4B96">
        <w:rPr>
          <w:color w:val="auto"/>
        </w:rPr>
        <w:t>108</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17</w:t>
      </w:r>
      <w:r w:rsidRPr="001C4B96">
        <w:rPr>
          <w:color w:val="auto"/>
        </w:rPr>
        <w:t xml:space="preserve"> Visio Pro para Office 365</w:t>
      </w:r>
      <w:r w:rsidRPr="001C4B96">
        <w:rPr>
          <w:color w:val="auto"/>
        </w:rPr>
        <w:tab/>
      </w:r>
      <w:r w:rsidRPr="001C4B96">
        <w:rPr>
          <w:color w:val="auto"/>
        </w:rPr>
        <w:fldChar w:fldCharType="begin"/>
      </w:r>
      <w:r w:rsidRPr="001C4B96">
        <w:rPr>
          <w:color w:val="auto"/>
        </w:rPr>
        <w:instrText xml:space="preserve"> PAGEREF _Toc352234341 \h </w:instrText>
      </w:r>
      <w:r w:rsidRPr="001C4B96">
        <w:rPr>
          <w:color w:val="auto"/>
        </w:rPr>
      </w:r>
      <w:r w:rsidRPr="001C4B96">
        <w:rPr>
          <w:color w:val="auto"/>
        </w:rPr>
        <w:fldChar w:fldCharType="separate"/>
      </w:r>
      <w:r w:rsidRPr="001C4B96">
        <w:rPr>
          <w:color w:val="auto"/>
        </w:rPr>
        <w:t>108</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18</w:t>
      </w:r>
      <w:r w:rsidRPr="001C4B96">
        <w:rPr>
          <w:color w:val="auto"/>
        </w:rPr>
        <w:t xml:space="preserve"> Visual Studio Professional 2012</w:t>
      </w:r>
      <w:r w:rsidRPr="001C4B96">
        <w:rPr>
          <w:color w:val="auto"/>
        </w:rPr>
        <w:tab/>
      </w:r>
      <w:r w:rsidRPr="001C4B96">
        <w:rPr>
          <w:color w:val="auto"/>
        </w:rPr>
        <w:fldChar w:fldCharType="begin"/>
      </w:r>
      <w:r w:rsidRPr="001C4B96">
        <w:rPr>
          <w:color w:val="auto"/>
        </w:rPr>
        <w:instrText xml:space="preserve"> PAGEREF _Toc352234342 \h </w:instrText>
      </w:r>
      <w:r w:rsidRPr="001C4B96">
        <w:rPr>
          <w:color w:val="auto"/>
        </w:rPr>
      </w:r>
      <w:r w:rsidRPr="001C4B96">
        <w:rPr>
          <w:color w:val="auto"/>
        </w:rPr>
        <w:fldChar w:fldCharType="separate"/>
      </w:r>
      <w:r w:rsidRPr="001C4B96">
        <w:rPr>
          <w:color w:val="auto"/>
        </w:rPr>
        <w:t>109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19</w:t>
      </w:r>
      <w:r w:rsidRPr="001C4B96">
        <w:rPr>
          <w:color w:val="auto"/>
        </w:rPr>
        <w:t xml:space="preserve"> Visual Studio Professional 2012 com MSDN</w:t>
      </w:r>
      <w:r w:rsidRPr="001C4B96">
        <w:rPr>
          <w:color w:val="auto"/>
        </w:rPr>
        <w:tab/>
      </w:r>
      <w:r w:rsidRPr="001C4B96">
        <w:rPr>
          <w:color w:val="auto"/>
        </w:rPr>
        <w:fldChar w:fldCharType="begin"/>
      </w:r>
      <w:r w:rsidRPr="001C4B96">
        <w:rPr>
          <w:color w:val="auto"/>
        </w:rPr>
        <w:instrText xml:space="preserve"> PAGEREF _Toc352234343 \h </w:instrText>
      </w:r>
      <w:r w:rsidRPr="001C4B96">
        <w:rPr>
          <w:color w:val="auto"/>
        </w:rPr>
      </w:r>
      <w:r w:rsidRPr="001C4B96">
        <w:rPr>
          <w:color w:val="auto"/>
        </w:rPr>
        <w:fldChar w:fldCharType="separate"/>
      </w:r>
      <w:r w:rsidRPr="001C4B96">
        <w:rPr>
          <w:color w:val="auto"/>
        </w:rPr>
        <w:t>109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20</w:t>
      </w:r>
      <w:r w:rsidRPr="001C4B96">
        <w:rPr>
          <w:color w:val="auto"/>
        </w:rPr>
        <w:t xml:space="preserve"> Visual Studio Premium 2012 com MSDN</w:t>
      </w:r>
      <w:r w:rsidRPr="001C4B96">
        <w:rPr>
          <w:color w:val="auto"/>
        </w:rPr>
        <w:tab/>
      </w:r>
      <w:r w:rsidRPr="001C4B96">
        <w:rPr>
          <w:color w:val="auto"/>
        </w:rPr>
        <w:fldChar w:fldCharType="begin"/>
      </w:r>
      <w:r w:rsidRPr="001C4B96">
        <w:rPr>
          <w:color w:val="auto"/>
        </w:rPr>
        <w:instrText xml:space="preserve"> PAGEREF _Toc352234344 \h </w:instrText>
      </w:r>
      <w:r w:rsidRPr="001C4B96">
        <w:rPr>
          <w:color w:val="auto"/>
        </w:rPr>
      </w:r>
      <w:r w:rsidRPr="001C4B96">
        <w:rPr>
          <w:color w:val="auto"/>
        </w:rPr>
        <w:fldChar w:fldCharType="separate"/>
      </w:r>
      <w:r w:rsidRPr="001C4B96">
        <w:rPr>
          <w:color w:val="auto"/>
        </w:rPr>
        <w:t>110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21</w:t>
      </w:r>
      <w:r w:rsidRPr="001C4B96">
        <w:rPr>
          <w:color w:val="auto"/>
        </w:rPr>
        <w:t xml:space="preserve"> Visual Studio Ultimate 2012 com MSDN</w:t>
      </w:r>
      <w:r w:rsidRPr="001C4B96">
        <w:rPr>
          <w:color w:val="auto"/>
        </w:rPr>
        <w:tab/>
      </w:r>
      <w:r w:rsidRPr="001C4B96">
        <w:rPr>
          <w:color w:val="auto"/>
        </w:rPr>
        <w:fldChar w:fldCharType="begin"/>
      </w:r>
      <w:r w:rsidRPr="001C4B96">
        <w:rPr>
          <w:color w:val="auto"/>
        </w:rPr>
        <w:instrText xml:space="preserve"> PAGEREF _Toc352234345 \h </w:instrText>
      </w:r>
      <w:r w:rsidRPr="001C4B96">
        <w:rPr>
          <w:color w:val="auto"/>
        </w:rPr>
      </w:r>
      <w:r w:rsidRPr="001C4B96">
        <w:rPr>
          <w:color w:val="auto"/>
        </w:rPr>
        <w:fldChar w:fldCharType="separate"/>
      </w:r>
      <w:r w:rsidRPr="001C4B96">
        <w:rPr>
          <w:color w:val="auto"/>
        </w:rPr>
        <w:t>111</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22</w:t>
      </w:r>
      <w:r w:rsidRPr="001C4B96">
        <w:rPr>
          <w:color w:val="auto"/>
        </w:rPr>
        <w:t xml:space="preserve"> Visual Studio Test Professional 2012 com MSDN</w:t>
      </w:r>
      <w:r w:rsidRPr="001C4B96">
        <w:rPr>
          <w:color w:val="auto"/>
        </w:rPr>
        <w:tab/>
      </w:r>
      <w:r w:rsidRPr="001C4B96">
        <w:rPr>
          <w:color w:val="auto"/>
        </w:rPr>
        <w:fldChar w:fldCharType="begin"/>
      </w:r>
      <w:r w:rsidRPr="001C4B96">
        <w:rPr>
          <w:color w:val="auto"/>
        </w:rPr>
        <w:instrText xml:space="preserve"> PAGEREF _Toc352234346 \h </w:instrText>
      </w:r>
      <w:r w:rsidRPr="001C4B96">
        <w:rPr>
          <w:color w:val="auto"/>
        </w:rPr>
      </w:r>
      <w:r w:rsidRPr="001C4B96">
        <w:rPr>
          <w:color w:val="auto"/>
        </w:rPr>
        <w:fldChar w:fldCharType="separate"/>
      </w:r>
      <w:r w:rsidRPr="001C4B96">
        <w:rPr>
          <w:color w:val="auto"/>
        </w:rPr>
        <w:t>112</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Pool de Sistemas</w:t>
      </w:r>
      <w:r w:rsidRPr="001C4B96">
        <w:tab/>
      </w:r>
      <w:r w:rsidRPr="001C4B96">
        <w:fldChar w:fldCharType="begin"/>
      </w:r>
      <w:r w:rsidRPr="001C4B96">
        <w:instrText xml:space="preserve"> PAGEREF _Toc352234347 \h </w:instrText>
      </w:r>
      <w:r w:rsidRPr="001C4B96">
        <w:fldChar w:fldCharType="separate"/>
      </w:r>
      <w:r w:rsidRPr="001C4B96">
        <w:t>113</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23</w:t>
      </w:r>
      <w:r w:rsidRPr="001C4B96">
        <w:rPr>
          <w:color w:val="auto"/>
        </w:rPr>
        <w:t xml:space="preserve"> Microsoft Desktop Optimization Pack para Software Assurance</w:t>
      </w:r>
      <w:r w:rsidRPr="001C4B96">
        <w:rPr>
          <w:color w:val="auto"/>
        </w:rPr>
        <w:tab/>
      </w:r>
      <w:r w:rsidRPr="001C4B96">
        <w:rPr>
          <w:color w:val="auto"/>
        </w:rPr>
        <w:fldChar w:fldCharType="begin"/>
      </w:r>
      <w:r w:rsidRPr="001C4B96">
        <w:rPr>
          <w:color w:val="auto"/>
        </w:rPr>
        <w:instrText xml:space="preserve"> PAGEREF _Toc352234348 \h </w:instrText>
      </w:r>
      <w:r w:rsidRPr="001C4B96">
        <w:rPr>
          <w:color w:val="auto"/>
        </w:rPr>
      </w:r>
      <w:r w:rsidRPr="001C4B96">
        <w:rPr>
          <w:color w:val="auto"/>
        </w:rPr>
        <w:fldChar w:fldCharType="separate"/>
      </w:r>
      <w:r w:rsidRPr="001C4B96">
        <w:rPr>
          <w:color w:val="auto"/>
        </w:rPr>
        <w:t>113</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24</w:t>
      </w:r>
      <w:r w:rsidRPr="001C4B96">
        <w:rPr>
          <w:color w:val="auto"/>
        </w:rPr>
        <w:t xml:space="preserve"> Licença de Assinatura do Windows</w:t>
      </w:r>
      <w:r w:rsidRPr="001C4B96">
        <w:rPr>
          <w:color w:val="auto"/>
          <w:vertAlign w:val="superscript"/>
        </w:rPr>
        <w:t>®</w:t>
      </w:r>
      <w:r w:rsidRPr="001C4B96">
        <w:rPr>
          <w:color w:val="auto"/>
        </w:rPr>
        <w:t xml:space="preserve"> Companion</w:t>
      </w:r>
      <w:r w:rsidRPr="001C4B96">
        <w:rPr>
          <w:color w:val="auto"/>
        </w:rPr>
        <w:tab/>
      </w:r>
      <w:r w:rsidRPr="001C4B96">
        <w:rPr>
          <w:color w:val="auto"/>
        </w:rPr>
        <w:fldChar w:fldCharType="begin"/>
      </w:r>
      <w:r w:rsidRPr="001C4B96">
        <w:rPr>
          <w:color w:val="auto"/>
        </w:rPr>
        <w:instrText xml:space="preserve"> PAGEREF _Toc352234349 \h </w:instrText>
      </w:r>
      <w:r w:rsidRPr="001C4B96">
        <w:rPr>
          <w:color w:val="auto"/>
        </w:rPr>
      </w:r>
      <w:r w:rsidRPr="001C4B96">
        <w:rPr>
          <w:color w:val="auto"/>
        </w:rPr>
        <w:fldChar w:fldCharType="separate"/>
      </w:r>
      <w:r w:rsidRPr="001C4B96">
        <w:rPr>
          <w:color w:val="auto"/>
        </w:rPr>
        <w:t>114</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25</w:t>
      </w:r>
      <w:r w:rsidRPr="001C4B96">
        <w:rPr>
          <w:rFonts w:eastAsia="Times New Roman"/>
          <w:color w:val="auto"/>
        </w:rPr>
        <w:t xml:space="preserve"> Windows Vista DVD Playback Pack</w:t>
      </w:r>
      <w:r w:rsidRPr="001C4B96">
        <w:rPr>
          <w:color w:val="auto"/>
        </w:rPr>
        <w:tab/>
      </w:r>
      <w:r w:rsidRPr="001C4B96">
        <w:rPr>
          <w:color w:val="auto"/>
        </w:rPr>
        <w:fldChar w:fldCharType="begin"/>
      </w:r>
      <w:r w:rsidRPr="001C4B96">
        <w:rPr>
          <w:color w:val="auto"/>
        </w:rPr>
        <w:instrText xml:space="preserve"> PAGEREF _Toc352234350 \h </w:instrText>
      </w:r>
      <w:r w:rsidRPr="001C4B96">
        <w:rPr>
          <w:color w:val="auto"/>
        </w:rPr>
      </w:r>
      <w:r w:rsidRPr="001C4B96">
        <w:rPr>
          <w:color w:val="auto"/>
        </w:rPr>
        <w:fldChar w:fldCharType="separate"/>
      </w:r>
      <w:r w:rsidRPr="001C4B96">
        <w:rPr>
          <w:color w:val="auto"/>
        </w:rPr>
        <w:t>114</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26</w:t>
      </w:r>
      <w:r w:rsidRPr="001C4B96">
        <w:rPr>
          <w:color w:val="auto"/>
        </w:rPr>
        <w:t xml:space="preserve"> Windows</w:t>
      </w:r>
      <w:r w:rsidRPr="001C4B96">
        <w:rPr>
          <w:color w:val="auto"/>
          <w:vertAlign w:val="superscript"/>
        </w:rPr>
        <w:t>®</w:t>
      </w:r>
      <w:r w:rsidRPr="001C4B96">
        <w:rPr>
          <w:color w:val="auto"/>
        </w:rPr>
        <w:t xml:space="preserve"> 8 Enterprise Sideloading</w:t>
      </w:r>
      <w:r w:rsidRPr="001C4B96">
        <w:rPr>
          <w:color w:val="auto"/>
        </w:rPr>
        <w:tab/>
      </w:r>
      <w:r w:rsidRPr="001C4B96">
        <w:rPr>
          <w:color w:val="auto"/>
        </w:rPr>
        <w:fldChar w:fldCharType="begin"/>
      </w:r>
      <w:r w:rsidRPr="001C4B96">
        <w:rPr>
          <w:color w:val="auto"/>
        </w:rPr>
        <w:instrText xml:space="preserve"> PAGEREF _Toc352234351 \h </w:instrText>
      </w:r>
      <w:r w:rsidRPr="001C4B96">
        <w:rPr>
          <w:color w:val="auto"/>
        </w:rPr>
      </w:r>
      <w:r w:rsidRPr="001C4B96">
        <w:rPr>
          <w:color w:val="auto"/>
        </w:rPr>
        <w:fldChar w:fldCharType="separate"/>
      </w:r>
      <w:r w:rsidRPr="001C4B96">
        <w:rPr>
          <w:color w:val="auto"/>
        </w:rPr>
        <w:t>114</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27</w:t>
      </w:r>
      <w:r w:rsidRPr="001C4B96">
        <w:rPr>
          <w:color w:val="auto"/>
        </w:rPr>
        <w:t xml:space="preserve"> Parceiros na Aprendizagem do Windows</w:t>
      </w:r>
      <w:r w:rsidRPr="001C4B96">
        <w:rPr>
          <w:color w:val="auto"/>
          <w:vertAlign w:val="superscript"/>
        </w:rPr>
        <w:t>®</w:t>
      </w:r>
      <w:r w:rsidRPr="001C4B96">
        <w:rPr>
          <w:color w:val="auto"/>
        </w:rPr>
        <w:t xml:space="preserve"> 7</w:t>
      </w:r>
      <w:r w:rsidRPr="001C4B96">
        <w:rPr>
          <w:color w:val="auto"/>
        </w:rPr>
        <w:tab/>
      </w:r>
      <w:r w:rsidRPr="001C4B96">
        <w:rPr>
          <w:color w:val="auto"/>
        </w:rPr>
        <w:fldChar w:fldCharType="begin"/>
      </w:r>
      <w:r w:rsidRPr="001C4B96">
        <w:rPr>
          <w:color w:val="auto"/>
        </w:rPr>
        <w:instrText xml:space="preserve"> PAGEREF _Toc352234352 \h </w:instrText>
      </w:r>
      <w:r w:rsidRPr="001C4B96">
        <w:rPr>
          <w:color w:val="auto"/>
        </w:rPr>
      </w:r>
      <w:r w:rsidRPr="001C4B96">
        <w:rPr>
          <w:color w:val="auto"/>
        </w:rPr>
        <w:fldChar w:fldCharType="separate"/>
      </w:r>
      <w:r w:rsidRPr="001C4B96">
        <w:rPr>
          <w:color w:val="auto"/>
        </w:rPr>
        <w:t>115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28</w:t>
      </w:r>
      <w:r w:rsidRPr="001C4B96">
        <w:rPr>
          <w:color w:val="auto"/>
        </w:rPr>
        <w:t xml:space="preserve"> Atualização para Windows</w:t>
      </w:r>
      <w:r w:rsidRPr="001C4B96">
        <w:rPr>
          <w:color w:val="auto"/>
          <w:vertAlign w:val="superscript"/>
        </w:rPr>
        <w:t>®</w:t>
      </w:r>
      <w:r w:rsidRPr="001C4B96">
        <w:rPr>
          <w:color w:val="auto"/>
        </w:rPr>
        <w:t xml:space="preserve"> 8 Pro e Windows Intune (Por Dispositivo)</w:t>
      </w:r>
      <w:r w:rsidRPr="001C4B96">
        <w:rPr>
          <w:color w:val="auto"/>
        </w:rPr>
        <w:tab/>
      </w:r>
      <w:r w:rsidRPr="001C4B96">
        <w:rPr>
          <w:color w:val="auto"/>
        </w:rPr>
        <w:fldChar w:fldCharType="begin"/>
      </w:r>
      <w:r w:rsidRPr="001C4B96">
        <w:rPr>
          <w:color w:val="auto"/>
        </w:rPr>
        <w:instrText xml:space="preserve"> PAGEREF _Toc352234353 \h </w:instrText>
      </w:r>
      <w:r w:rsidRPr="001C4B96">
        <w:rPr>
          <w:color w:val="auto"/>
        </w:rPr>
      </w:r>
      <w:r w:rsidRPr="001C4B96">
        <w:rPr>
          <w:color w:val="auto"/>
        </w:rPr>
        <w:fldChar w:fldCharType="separate"/>
      </w:r>
      <w:r w:rsidRPr="001C4B96">
        <w:rPr>
          <w:color w:val="auto"/>
        </w:rPr>
        <w:t>115</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29</w:t>
      </w:r>
      <w:r w:rsidRPr="001C4B96">
        <w:t xml:space="preserve"> </w:t>
      </w:r>
      <w:r w:rsidRPr="001C4B96">
        <w:rPr>
          <w:rFonts w:cs="Tahoma"/>
        </w:rPr>
        <w:t>Complemento do Windows Intune (Por Dispositivo)</w:t>
      </w:r>
      <w:r w:rsidRPr="001C4B96">
        <w:tab/>
      </w:r>
      <w:r w:rsidRPr="001C4B96">
        <w:fldChar w:fldCharType="begin"/>
      </w:r>
      <w:r w:rsidRPr="001C4B96">
        <w:instrText xml:space="preserve"> PAGEREF _Toc352234354 \h </w:instrText>
      </w:r>
      <w:r w:rsidRPr="001C4B96">
        <w:fldChar w:fldCharType="separate"/>
      </w:r>
      <w:r w:rsidRPr="001C4B96">
        <w:t>123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rPr>
        <w:t>Pool de Servidores</w:t>
      </w:r>
      <w:r w:rsidRPr="001C4B96">
        <w:tab/>
      </w:r>
      <w:r w:rsidRPr="001C4B96">
        <w:fldChar w:fldCharType="begin"/>
      </w:r>
      <w:r w:rsidRPr="001C4B96">
        <w:instrText xml:space="preserve"> PAGEREF _Toc352234355 \h </w:instrText>
      </w:r>
      <w:r w:rsidRPr="001C4B96">
        <w:fldChar w:fldCharType="separate"/>
      </w:r>
      <w:r w:rsidRPr="001C4B96">
        <w:t>124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30</w:t>
      </w:r>
      <w:r w:rsidRPr="001C4B96">
        <w:rPr>
          <w:rFonts w:cs="Tahoma"/>
          <w:caps/>
        </w:rPr>
        <w:t xml:space="preserve"> </w:t>
      </w:r>
      <w:r w:rsidRPr="001C4B96">
        <w:rPr>
          <w:rFonts w:cs="Tahoma"/>
        </w:rPr>
        <w:t>Complemento De Uso Do Site Público Dos Bing Maps E Sl Complementar De Uso Do Site Interno Do Bing Maps</w:t>
      </w:r>
      <w:r w:rsidRPr="001C4B96">
        <w:tab/>
      </w:r>
      <w:r w:rsidRPr="001C4B96">
        <w:fldChar w:fldCharType="begin"/>
      </w:r>
      <w:r w:rsidRPr="001C4B96">
        <w:instrText xml:space="preserve"> PAGEREF _Toc352234356 \h </w:instrText>
      </w:r>
      <w:r w:rsidRPr="001C4B96">
        <w:fldChar w:fldCharType="separate"/>
      </w:r>
      <w:r w:rsidRPr="001C4B96">
        <w:t>124</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31</w:t>
      </w:r>
      <w:r w:rsidRPr="001C4B96">
        <w:rPr>
          <w:color w:val="auto"/>
        </w:rPr>
        <w:t xml:space="preserve"> BizTalk Server</w:t>
      </w:r>
      <w:r w:rsidRPr="001C4B96">
        <w:rPr>
          <w:color w:val="auto"/>
          <w:vertAlign w:val="superscript"/>
        </w:rPr>
        <w:t>®</w:t>
      </w:r>
      <w:r w:rsidRPr="001C4B96">
        <w:rPr>
          <w:color w:val="auto"/>
        </w:rPr>
        <w:t xml:space="preserve"> 2013 Branch</w:t>
      </w:r>
      <w:r w:rsidRPr="001C4B96">
        <w:rPr>
          <w:color w:val="auto"/>
        </w:rPr>
        <w:tab/>
      </w:r>
      <w:r w:rsidRPr="001C4B96">
        <w:rPr>
          <w:color w:val="auto"/>
        </w:rPr>
        <w:fldChar w:fldCharType="begin"/>
      </w:r>
      <w:r w:rsidRPr="001C4B96">
        <w:rPr>
          <w:color w:val="auto"/>
        </w:rPr>
        <w:instrText xml:space="preserve"> PAGEREF _Toc352234357 \h </w:instrText>
      </w:r>
      <w:r w:rsidRPr="001C4B96">
        <w:rPr>
          <w:color w:val="auto"/>
        </w:rPr>
      </w:r>
      <w:r w:rsidRPr="001C4B96">
        <w:rPr>
          <w:color w:val="auto"/>
        </w:rPr>
        <w:fldChar w:fldCharType="separate"/>
      </w:r>
      <w:r w:rsidRPr="001C4B96">
        <w:rPr>
          <w:color w:val="auto"/>
        </w:rPr>
        <w:t>126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32</w:t>
      </w:r>
      <w:r w:rsidRPr="001C4B96">
        <w:rPr>
          <w:color w:val="auto"/>
        </w:rPr>
        <w:t xml:space="preserve"> BizTalk Server</w:t>
      </w:r>
      <w:r w:rsidRPr="001C4B96">
        <w:rPr>
          <w:color w:val="auto"/>
          <w:vertAlign w:val="superscript"/>
        </w:rPr>
        <w:t>®</w:t>
      </w:r>
      <w:r w:rsidRPr="001C4B96">
        <w:rPr>
          <w:color w:val="auto"/>
        </w:rPr>
        <w:t xml:space="preserve"> 2013 Enterprise</w:t>
      </w:r>
      <w:r w:rsidRPr="001C4B96">
        <w:rPr>
          <w:color w:val="auto"/>
        </w:rPr>
        <w:tab/>
      </w:r>
      <w:r w:rsidRPr="001C4B96">
        <w:rPr>
          <w:color w:val="auto"/>
        </w:rPr>
        <w:fldChar w:fldCharType="begin"/>
      </w:r>
      <w:r w:rsidRPr="001C4B96">
        <w:rPr>
          <w:color w:val="auto"/>
        </w:rPr>
        <w:instrText xml:space="preserve"> PAGEREF _Toc352234358 \h </w:instrText>
      </w:r>
      <w:r w:rsidRPr="001C4B96">
        <w:rPr>
          <w:color w:val="auto"/>
        </w:rPr>
      </w:r>
      <w:r w:rsidRPr="001C4B96">
        <w:rPr>
          <w:color w:val="auto"/>
        </w:rPr>
        <w:fldChar w:fldCharType="separate"/>
      </w:r>
      <w:r w:rsidRPr="001C4B96">
        <w:rPr>
          <w:color w:val="auto"/>
        </w:rPr>
        <w:t>127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33</w:t>
      </w:r>
      <w:r w:rsidRPr="001C4B96">
        <w:rPr>
          <w:color w:val="auto"/>
        </w:rPr>
        <w:t xml:space="preserve"> BizTalk Server</w:t>
      </w:r>
      <w:r w:rsidRPr="001C4B96">
        <w:rPr>
          <w:color w:val="auto"/>
          <w:vertAlign w:val="superscript"/>
        </w:rPr>
        <w:t>®</w:t>
      </w:r>
      <w:r w:rsidRPr="001C4B96">
        <w:rPr>
          <w:color w:val="auto"/>
        </w:rPr>
        <w:t xml:space="preserve"> 2013 Standard</w:t>
      </w:r>
      <w:r w:rsidRPr="001C4B96">
        <w:rPr>
          <w:color w:val="auto"/>
        </w:rPr>
        <w:tab/>
      </w:r>
      <w:r w:rsidRPr="001C4B96">
        <w:rPr>
          <w:color w:val="auto"/>
        </w:rPr>
        <w:fldChar w:fldCharType="begin"/>
      </w:r>
      <w:r w:rsidRPr="001C4B96">
        <w:rPr>
          <w:color w:val="auto"/>
        </w:rPr>
        <w:instrText xml:space="preserve"> PAGEREF _Toc352234359 \h </w:instrText>
      </w:r>
      <w:r w:rsidRPr="001C4B96">
        <w:rPr>
          <w:color w:val="auto"/>
        </w:rPr>
      </w:r>
      <w:r w:rsidRPr="001C4B96">
        <w:rPr>
          <w:color w:val="auto"/>
        </w:rPr>
        <w:fldChar w:fldCharType="separate"/>
      </w:r>
      <w:r w:rsidRPr="001C4B96">
        <w:rPr>
          <w:color w:val="auto"/>
        </w:rPr>
        <w:t>129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34</w:t>
      </w:r>
      <w:r w:rsidRPr="001C4B96">
        <w:rPr>
          <w:color w:val="auto"/>
        </w:rPr>
        <w:t xml:space="preserve"> Business Intelligence Appliance 2012</w:t>
      </w:r>
      <w:r w:rsidRPr="001C4B96">
        <w:rPr>
          <w:color w:val="auto"/>
        </w:rPr>
        <w:tab/>
      </w:r>
      <w:r w:rsidRPr="001C4B96">
        <w:rPr>
          <w:color w:val="auto"/>
        </w:rPr>
        <w:fldChar w:fldCharType="begin"/>
      </w:r>
      <w:r w:rsidRPr="001C4B96">
        <w:rPr>
          <w:color w:val="auto"/>
        </w:rPr>
        <w:instrText xml:space="preserve"> PAGEREF _Toc352234360 \h </w:instrText>
      </w:r>
      <w:r w:rsidRPr="001C4B96">
        <w:rPr>
          <w:color w:val="auto"/>
        </w:rPr>
      </w:r>
      <w:r w:rsidRPr="001C4B96">
        <w:rPr>
          <w:color w:val="auto"/>
        </w:rPr>
        <w:fldChar w:fldCharType="separate"/>
      </w:r>
      <w:r w:rsidRPr="001C4B96">
        <w:rPr>
          <w:color w:val="auto"/>
        </w:rPr>
        <w:t>130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35</w:t>
      </w:r>
      <w:r w:rsidRPr="001C4B96">
        <w:rPr>
          <w:color w:val="auto"/>
        </w:rPr>
        <w:t xml:space="preserve"> Bridge do Pacote de CALs Principais para Office 365, Bridge do Pacote de CALs Principais para Office 365 e Windows Intune e Bridge do Pacote de CALs Principais para Windows Intune</w:t>
      </w:r>
      <w:r w:rsidRPr="001C4B96">
        <w:rPr>
          <w:color w:val="auto"/>
        </w:rPr>
        <w:tab/>
      </w:r>
      <w:r w:rsidRPr="001C4B96">
        <w:rPr>
          <w:color w:val="auto"/>
        </w:rPr>
        <w:fldChar w:fldCharType="begin"/>
      </w:r>
      <w:r w:rsidRPr="001C4B96">
        <w:rPr>
          <w:color w:val="auto"/>
        </w:rPr>
        <w:instrText xml:space="preserve"> PAGEREF _Toc352234361 \h </w:instrText>
      </w:r>
      <w:r w:rsidRPr="001C4B96">
        <w:rPr>
          <w:color w:val="auto"/>
        </w:rPr>
      </w:r>
      <w:r w:rsidRPr="001C4B96">
        <w:rPr>
          <w:color w:val="auto"/>
        </w:rPr>
        <w:fldChar w:fldCharType="separate"/>
      </w:r>
      <w:r w:rsidRPr="001C4B96">
        <w:rPr>
          <w:color w:val="auto"/>
        </w:rPr>
        <w:t>130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36</w:t>
      </w:r>
      <w:r w:rsidRPr="001C4B96">
        <w:rPr>
          <w:color w:val="auto"/>
        </w:rPr>
        <w:t xml:space="preserve"> Pacote de CALs Principais</w:t>
      </w:r>
      <w:r w:rsidRPr="001C4B96">
        <w:rPr>
          <w:color w:val="auto"/>
        </w:rPr>
        <w:tab/>
      </w:r>
      <w:r w:rsidRPr="001C4B96">
        <w:rPr>
          <w:color w:val="auto"/>
        </w:rPr>
        <w:fldChar w:fldCharType="begin"/>
      </w:r>
      <w:r w:rsidRPr="001C4B96">
        <w:rPr>
          <w:color w:val="auto"/>
        </w:rPr>
        <w:instrText xml:space="preserve"> PAGEREF _Toc352234362 \h </w:instrText>
      </w:r>
      <w:r w:rsidRPr="001C4B96">
        <w:rPr>
          <w:color w:val="auto"/>
        </w:rPr>
      </w:r>
      <w:r w:rsidRPr="001C4B96">
        <w:rPr>
          <w:color w:val="auto"/>
        </w:rPr>
        <w:fldChar w:fldCharType="separate"/>
      </w:r>
      <w:r w:rsidRPr="001C4B96">
        <w:rPr>
          <w:color w:val="auto"/>
        </w:rPr>
        <w:t>132</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37</w:t>
      </w:r>
      <w:r w:rsidRPr="001C4B96">
        <w:rPr>
          <w:color w:val="auto"/>
        </w:rPr>
        <w:t xml:space="preserve"> Core Infrastructure Server Suite Standard</w:t>
      </w:r>
      <w:r w:rsidRPr="001C4B96">
        <w:rPr>
          <w:color w:val="auto"/>
        </w:rPr>
        <w:tab/>
      </w:r>
      <w:r w:rsidRPr="001C4B96">
        <w:rPr>
          <w:color w:val="auto"/>
        </w:rPr>
        <w:fldChar w:fldCharType="begin"/>
      </w:r>
      <w:r w:rsidRPr="001C4B96">
        <w:rPr>
          <w:color w:val="auto"/>
        </w:rPr>
        <w:instrText xml:space="preserve"> PAGEREF _Toc352234363 \h </w:instrText>
      </w:r>
      <w:r w:rsidRPr="001C4B96">
        <w:rPr>
          <w:color w:val="auto"/>
        </w:rPr>
      </w:r>
      <w:r w:rsidRPr="001C4B96">
        <w:rPr>
          <w:color w:val="auto"/>
        </w:rPr>
        <w:fldChar w:fldCharType="separate"/>
      </w:r>
      <w:r w:rsidRPr="001C4B96">
        <w:rPr>
          <w:color w:val="auto"/>
        </w:rPr>
        <w:t>132</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38</w:t>
      </w:r>
      <w:r w:rsidRPr="001C4B96">
        <w:rPr>
          <w:color w:val="auto"/>
        </w:rPr>
        <w:t xml:space="preserve"> Core Infrastructure Server Suite Enterprise</w:t>
      </w:r>
      <w:r w:rsidRPr="001C4B96">
        <w:rPr>
          <w:color w:val="auto"/>
        </w:rPr>
        <w:tab/>
      </w:r>
      <w:r w:rsidRPr="001C4B96">
        <w:rPr>
          <w:color w:val="auto"/>
        </w:rPr>
        <w:fldChar w:fldCharType="begin"/>
      </w:r>
      <w:r w:rsidRPr="001C4B96">
        <w:rPr>
          <w:color w:val="auto"/>
        </w:rPr>
        <w:instrText xml:space="preserve"> PAGEREF _Toc352234364 \h </w:instrText>
      </w:r>
      <w:r w:rsidRPr="001C4B96">
        <w:rPr>
          <w:color w:val="auto"/>
        </w:rPr>
      </w:r>
      <w:r w:rsidRPr="001C4B96">
        <w:rPr>
          <w:color w:val="auto"/>
        </w:rPr>
        <w:fldChar w:fldCharType="separate"/>
      </w:r>
      <w:r w:rsidRPr="001C4B96">
        <w:rPr>
          <w:color w:val="auto"/>
        </w:rPr>
        <w:t>133</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39</w:t>
      </w:r>
      <w:r w:rsidRPr="001C4B96">
        <w:rPr>
          <w:color w:val="auto"/>
        </w:rPr>
        <w:t xml:space="preserve"> Core Infrastructure Server Suite Datacenter</w:t>
      </w:r>
      <w:r w:rsidRPr="001C4B96">
        <w:rPr>
          <w:color w:val="auto"/>
        </w:rPr>
        <w:tab/>
      </w:r>
      <w:r w:rsidRPr="001C4B96">
        <w:rPr>
          <w:color w:val="auto"/>
        </w:rPr>
        <w:fldChar w:fldCharType="begin"/>
      </w:r>
      <w:r w:rsidRPr="001C4B96">
        <w:rPr>
          <w:color w:val="auto"/>
        </w:rPr>
        <w:instrText xml:space="preserve"> PAGEREF _Toc352234365 \h </w:instrText>
      </w:r>
      <w:r w:rsidRPr="001C4B96">
        <w:rPr>
          <w:color w:val="auto"/>
        </w:rPr>
      </w:r>
      <w:r w:rsidRPr="001C4B96">
        <w:rPr>
          <w:color w:val="auto"/>
        </w:rPr>
        <w:fldChar w:fldCharType="separate"/>
      </w:r>
      <w:r w:rsidRPr="001C4B96">
        <w:rPr>
          <w:color w:val="auto"/>
        </w:rPr>
        <w:t>133</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lastRenderedPageBreak/>
        <w:t>40</w:t>
      </w:r>
      <w:r w:rsidRPr="001C4B96">
        <w:rPr>
          <w:color w:val="auto"/>
        </w:rPr>
        <w:t xml:space="preserve"> Dynamics CRM Online</w:t>
      </w:r>
      <w:r w:rsidRPr="001C4B96">
        <w:rPr>
          <w:color w:val="auto"/>
        </w:rPr>
        <w:tab/>
      </w:r>
      <w:r w:rsidRPr="001C4B96">
        <w:rPr>
          <w:color w:val="auto"/>
        </w:rPr>
        <w:fldChar w:fldCharType="begin"/>
      </w:r>
      <w:r w:rsidRPr="001C4B96">
        <w:rPr>
          <w:color w:val="auto"/>
        </w:rPr>
        <w:instrText xml:space="preserve"> PAGEREF _Toc352234366 \h </w:instrText>
      </w:r>
      <w:r w:rsidRPr="001C4B96">
        <w:rPr>
          <w:color w:val="auto"/>
        </w:rPr>
      </w:r>
      <w:r w:rsidRPr="001C4B96">
        <w:rPr>
          <w:color w:val="auto"/>
        </w:rPr>
        <w:fldChar w:fldCharType="separate"/>
      </w:r>
      <w:r w:rsidRPr="001C4B96">
        <w:rPr>
          <w:color w:val="auto"/>
        </w:rPr>
        <w:t>135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41</w:t>
      </w:r>
      <w:r w:rsidRPr="001C4B96">
        <w:rPr>
          <w:color w:val="auto"/>
        </w:rPr>
        <w:t xml:space="preserve"> Bridge do Pacote de CALs Empresariais para Office 365, Bridge do Pacote de CALs Empresariais para Office 365 e Windows Intune e Bridge do Pacote de CALs Empresariais para Windows Intune</w:t>
      </w:r>
      <w:r w:rsidRPr="001C4B96">
        <w:rPr>
          <w:color w:val="auto"/>
        </w:rPr>
        <w:tab/>
      </w:r>
      <w:r w:rsidRPr="001C4B96">
        <w:rPr>
          <w:color w:val="auto"/>
        </w:rPr>
        <w:fldChar w:fldCharType="begin"/>
      </w:r>
      <w:r w:rsidRPr="001C4B96">
        <w:rPr>
          <w:color w:val="auto"/>
        </w:rPr>
        <w:instrText xml:space="preserve"> PAGEREF _Toc352234367 \h </w:instrText>
      </w:r>
      <w:r w:rsidRPr="001C4B96">
        <w:rPr>
          <w:color w:val="auto"/>
        </w:rPr>
      </w:r>
      <w:r w:rsidRPr="001C4B96">
        <w:rPr>
          <w:color w:val="auto"/>
        </w:rPr>
        <w:fldChar w:fldCharType="separate"/>
      </w:r>
      <w:r w:rsidRPr="001C4B96">
        <w:rPr>
          <w:color w:val="auto"/>
        </w:rPr>
        <w:t>136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42</w:t>
      </w:r>
      <w:r w:rsidRPr="001C4B96">
        <w:rPr>
          <w:color w:val="auto"/>
        </w:rPr>
        <w:t xml:space="preserve"> Pacotes CAL Empresarial</w:t>
      </w:r>
      <w:r w:rsidRPr="001C4B96">
        <w:rPr>
          <w:color w:val="auto"/>
        </w:rPr>
        <w:tab/>
      </w:r>
      <w:r w:rsidRPr="001C4B96">
        <w:rPr>
          <w:color w:val="auto"/>
        </w:rPr>
        <w:fldChar w:fldCharType="begin"/>
      </w:r>
      <w:r w:rsidRPr="001C4B96">
        <w:rPr>
          <w:color w:val="auto"/>
        </w:rPr>
        <w:instrText xml:space="preserve"> PAGEREF _Toc352234368 \h </w:instrText>
      </w:r>
      <w:r w:rsidRPr="001C4B96">
        <w:rPr>
          <w:color w:val="auto"/>
        </w:rPr>
      </w:r>
      <w:r w:rsidRPr="001C4B96">
        <w:rPr>
          <w:color w:val="auto"/>
        </w:rPr>
        <w:fldChar w:fldCharType="separate"/>
      </w:r>
      <w:r w:rsidRPr="001C4B96">
        <w:rPr>
          <w:color w:val="auto"/>
        </w:rPr>
        <w:t>136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43</w:t>
      </w:r>
      <w:r w:rsidRPr="001C4B96">
        <w:rPr>
          <w:color w:val="auto"/>
        </w:rPr>
        <w:t xml:space="preserve"> CAL Empresarial do Exchange com Serviço 2013</w:t>
      </w:r>
      <w:r w:rsidRPr="001C4B96">
        <w:rPr>
          <w:color w:val="auto"/>
        </w:rPr>
        <w:tab/>
      </w:r>
      <w:r w:rsidRPr="001C4B96">
        <w:rPr>
          <w:color w:val="auto"/>
        </w:rPr>
        <w:fldChar w:fldCharType="begin"/>
      </w:r>
      <w:r w:rsidRPr="001C4B96">
        <w:rPr>
          <w:color w:val="auto"/>
        </w:rPr>
        <w:instrText xml:space="preserve"> PAGEREF _Toc352234369 \h </w:instrText>
      </w:r>
      <w:r w:rsidRPr="001C4B96">
        <w:rPr>
          <w:color w:val="auto"/>
        </w:rPr>
      </w:r>
      <w:r w:rsidRPr="001C4B96">
        <w:rPr>
          <w:color w:val="auto"/>
        </w:rPr>
        <w:fldChar w:fldCharType="separate"/>
      </w:r>
      <w:r w:rsidRPr="001C4B96">
        <w:rPr>
          <w:color w:val="auto"/>
        </w:rPr>
        <w:t>140</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vertAlign w:val="superscript"/>
        </w:rPr>
        <w:t>44</w:t>
      </w:r>
      <w:r w:rsidRPr="001C4B96">
        <w:rPr>
          <w:rFonts w:cs="Tahoma"/>
        </w:rPr>
        <w:t xml:space="preserve"> Arquivamento do Exchange Online (SL de Usuário)</w:t>
      </w:r>
      <w:r w:rsidRPr="001C4B96">
        <w:tab/>
      </w:r>
      <w:r w:rsidRPr="001C4B96">
        <w:fldChar w:fldCharType="begin"/>
      </w:r>
      <w:r w:rsidRPr="001C4B96">
        <w:instrText xml:space="preserve"> PAGEREF _Toc352234370 \h </w:instrText>
      </w:r>
      <w:r w:rsidRPr="001C4B96">
        <w:fldChar w:fldCharType="separate"/>
      </w:r>
      <w:r w:rsidRPr="001C4B96">
        <w:t>143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vertAlign w:val="superscript"/>
        </w:rPr>
        <w:t>45</w:t>
      </w:r>
      <w:r w:rsidRPr="001C4B96">
        <w:rPr>
          <w:rFonts w:cs="Tahoma"/>
        </w:rPr>
        <w:t xml:space="preserve"> Exchange Hosted Archive (SL de Usuário), Exchange Hosted Archive Extra Storage (SL Complementar)</w:t>
      </w:r>
      <w:r w:rsidRPr="001C4B96">
        <w:tab/>
      </w:r>
      <w:r w:rsidRPr="001C4B96">
        <w:fldChar w:fldCharType="begin"/>
      </w:r>
      <w:r w:rsidRPr="001C4B96">
        <w:instrText xml:space="preserve"> PAGEREF _Toc352234371 \h </w:instrText>
      </w:r>
      <w:r w:rsidRPr="001C4B96">
        <w:fldChar w:fldCharType="separate"/>
      </w:r>
      <w:r w:rsidRPr="001C4B96">
        <w:t>143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vertAlign w:val="superscript"/>
        </w:rPr>
        <w:t>46</w:t>
      </w:r>
      <w:r w:rsidRPr="001C4B96">
        <w:t xml:space="preserve"> </w:t>
      </w:r>
      <w:r w:rsidRPr="001C4B96">
        <w:rPr>
          <w:rFonts w:cs="Tahoma"/>
        </w:rPr>
        <w:t>Exchange Hosted Encryption (SL de Usuário)</w:t>
      </w:r>
      <w:r w:rsidRPr="001C4B96">
        <w:tab/>
      </w:r>
      <w:r w:rsidRPr="001C4B96">
        <w:fldChar w:fldCharType="begin"/>
      </w:r>
      <w:r w:rsidRPr="001C4B96">
        <w:instrText xml:space="preserve"> PAGEREF _Toc352234372 \h </w:instrText>
      </w:r>
      <w:r w:rsidRPr="001C4B96">
        <w:fldChar w:fldCharType="separate"/>
      </w:r>
      <w:r w:rsidRPr="001C4B96">
        <w:t>144</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47</w:t>
      </w:r>
      <w:r w:rsidRPr="001C4B96">
        <w:rPr>
          <w:color w:val="auto"/>
        </w:rPr>
        <w:t xml:space="preserve"> Quiosque do Exchange Online (SL de Usuário)</w:t>
      </w:r>
      <w:r w:rsidRPr="001C4B96">
        <w:rPr>
          <w:color w:val="auto"/>
        </w:rPr>
        <w:tab/>
      </w:r>
      <w:r w:rsidRPr="001C4B96">
        <w:rPr>
          <w:color w:val="auto"/>
        </w:rPr>
        <w:fldChar w:fldCharType="begin"/>
      </w:r>
      <w:r w:rsidRPr="001C4B96">
        <w:rPr>
          <w:color w:val="auto"/>
        </w:rPr>
        <w:instrText xml:space="preserve"> PAGEREF _Toc352234373 \h </w:instrText>
      </w:r>
      <w:r w:rsidRPr="001C4B96">
        <w:rPr>
          <w:color w:val="auto"/>
        </w:rPr>
      </w:r>
      <w:r w:rsidRPr="001C4B96">
        <w:rPr>
          <w:color w:val="auto"/>
        </w:rPr>
        <w:fldChar w:fldCharType="separate"/>
      </w:r>
      <w:r w:rsidRPr="001C4B96">
        <w:rPr>
          <w:color w:val="auto"/>
        </w:rPr>
        <w:t>144</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48</w:t>
      </w:r>
      <w:r w:rsidRPr="001C4B96">
        <w:rPr>
          <w:color w:val="auto"/>
        </w:rPr>
        <w:t xml:space="preserve"> Exchange Online Plano 1</w:t>
      </w:r>
      <w:r w:rsidRPr="001C4B96">
        <w:rPr>
          <w:color w:val="auto"/>
        </w:rPr>
        <w:tab/>
      </w:r>
      <w:r w:rsidRPr="001C4B96">
        <w:rPr>
          <w:color w:val="auto"/>
        </w:rPr>
        <w:fldChar w:fldCharType="begin"/>
      </w:r>
      <w:r w:rsidRPr="001C4B96">
        <w:rPr>
          <w:color w:val="auto"/>
        </w:rPr>
        <w:instrText xml:space="preserve"> PAGEREF _Toc352234374 \h </w:instrText>
      </w:r>
      <w:r w:rsidRPr="001C4B96">
        <w:rPr>
          <w:color w:val="auto"/>
        </w:rPr>
      </w:r>
      <w:r w:rsidRPr="001C4B96">
        <w:rPr>
          <w:color w:val="auto"/>
        </w:rPr>
        <w:fldChar w:fldCharType="separate"/>
      </w:r>
      <w:r w:rsidRPr="001C4B96">
        <w:rPr>
          <w:color w:val="auto"/>
        </w:rPr>
        <w:t>146</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49</w:t>
      </w:r>
      <w:r w:rsidRPr="001C4B96">
        <w:rPr>
          <w:rFonts w:cs="Tahoma"/>
        </w:rPr>
        <w:t xml:space="preserve"> Exchange Online Plano 2</w:t>
      </w:r>
      <w:r w:rsidRPr="001C4B96">
        <w:tab/>
      </w:r>
      <w:r w:rsidRPr="001C4B96">
        <w:fldChar w:fldCharType="begin"/>
      </w:r>
      <w:r w:rsidRPr="001C4B96">
        <w:instrText xml:space="preserve"> PAGEREF _Toc352234375 \h </w:instrText>
      </w:r>
      <w:r w:rsidRPr="001C4B96">
        <w:fldChar w:fldCharType="separate"/>
      </w:r>
      <w:r w:rsidRPr="001C4B96">
        <w:t>146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50</w:t>
      </w:r>
      <w:r w:rsidRPr="001C4B96">
        <w:rPr>
          <w:rFonts w:cs="Tahoma"/>
          <w:caps/>
        </w:rPr>
        <w:t xml:space="preserve"> </w:t>
      </w:r>
      <w:r w:rsidRPr="001C4B96">
        <w:rPr>
          <w:rFonts w:cs="Tahoma"/>
        </w:rPr>
        <w:t>Exchange Online Protection (SL de Usuário)</w:t>
      </w:r>
      <w:r w:rsidRPr="001C4B96">
        <w:tab/>
      </w:r>
      <w:r w:rsidRPr="001C4B96">
        <w:fldChar w:fldCharType="begin"/>
      </w:r>
      <w:r w:rsidRPr="001C4B96">
        <w:instrText xml:space="preserve"> PAGEREF _Toc352234376 \h </w:instrText>
      </w:r>
      <w:r w:rsidRPr="001C4B96">
        <w:fldChar w:fldCharType="separate"/>
      </w:r>
      <w:r w:rsidRPr="001C4B96">
        <w:t>146</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51</w:t>
      </w:r>
      <w:r w:rsidRPr="001C4B96">
        <w:rPr>
          <w:rFonts w:cs="Tahoma"/>
          <w:caps/>
        </w:rPr>
        <w:t xml:space="preserve"> </w:t>
      </w:r>
      <w:r w:rsidRPr="001C4B96">
        <w:rPr>
          <w:rFonts w:cs="Tahoma"/>
        </w:rPr>
        <w:t>Exchange Server 2013 Enterprise e Standard Editions</w:t>
      </w:r>
      <w:r w:rsidRPr="001C4B96">
        <w:tab/>
      </w:r>
      <w:r w:rsidRPr="001C4B96">
        <w:fldChar w:fldCharType="begin"/>
      </w:r>
      <w:r w:rsidRPr="001C4B96">
        <w:instrText xml:space="preserve"> PAGEREF _Toc352234377 \h </w:instrText>
      </w:r>
      <w:r w:rsidRPr="001C4B96">
        <w:fldChar w:fldCharType="separate"/>
      </w:r>
      <w:r w:rsidRPr="001C4B96">
        <w:t>147</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52</w:t>
      </w:r>
      <w:r w:rsidRPr="001C4B96">
        <w:rPr>
          <w:color w:val="auto"/>
        </w:rPr>
        <w:t xml:space="preserve"> CAL Padrão do Exchange Server 2010</w:t>
      </w:r>
      <w:r w:rsidRPr="001C4B96">
        <w:rPr>
          <w:color w:val="auto"/>
        </w:rPr>
        <w:tab/>
      </w:r>
      <w:r w:rsidRPr="001C4B96">
        <w:rPr>
          <w:color w:val="auto"/>
        </w:rPr>
        <w:fldChar w:fldCharType="begin"/>
      </w:r>
      <w:r w:rsidRPr="001C4B96">
        <w:rPr>
          <w:color w:val="auto"/>
        </w:rPr>
        <w:instrText xml:space="preserve"> PAGEREF _Toc352234378 \h </w:instrText>
      </w:r>
      <w:r w:rsidRPr="001C4B96">
        <w:rPr>
          <w:color w:val="auto"/>
        </w:rPr>
      </w:r>
      <w:r w:rsidRPr="001C4B96">
        <w:rPr>
          <w:color w:val="auto"/>
        </w:rPr>
        <w:fldChar w:fldCharType="separate"/>
      </w:r>
      <w:r w:rsidRPr="001C4B96">
        <w:rPr>
          <w:color w:val="auto"/>
        </w:rPr>
        <w:t>148</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53</w:t>
      </w:r>
      <w:r w:rsidRPr="001C4B96">
        <w:rPr>
          <w:color w:val="auto"/>
        </w:rPr>
        <w:t xml:space="preserve"> Forefront Endpoint Protection</w:t>
      </w:r>
      <w:r w:rsidRPr="001C4B96">
        <w:rPr>
          <w:color w:val="auto"/>
        </w:rPr>
        <w:tab/>
      </w:r>
      <w:r w:rsidRPr="001C4B96">
        <w:rPr>
          <w:color w:val="auto"/>
        </w:rPr>
        <w:fldChar w:fldCharType="begin"/>
      </w:r>
      <w:r w:rsidRPr="001C4B96">
        <w:rPr>
          <w:color w:val="auto"/>
        </w:rPr>
        <w:instrText xml:space="preserve"> PAGEREF _Toc352234379 \h </w:instrText>
      </w:r>
      <w:r w:rsidRPr="001C4B96">
        <w:rPr>
          <w:color w:val="auto"/>
        </w:rPr>
      </w:r>
      <w:r w:rsidRPr="001C4B96">
        <w:rPr>
          <w:color w:val="auto"/>
        </w:rPr>
        <w:fldChar w:fldCharType="separate"/>
      </w:r>
      <w:r w:rsidRPr="001C4B96">
        <w:rPr>
          <w:color w:val="auto"/>
        </w:rPr>
        <w:t>148</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54</w:t>
      </w:r>
      <w:r w:rsidRPr="001C4B96">
        <w:rPr>
          <w:caps/>
          <w:color w:val="auto"/>
        </w:rPr>
        <w:t xml:space="preserve"> </w:t>
      </w:r>
      <w:r w:rsidRPr="001C4B96">
        <w:rPr>
          <w:color w:val="auto"/>
        </w:rPr>
        <w:t>Forefront Identity Manager 2010 R2</w:t>
      </w:r>
      <w:r w:rsidRPr="001C4B96">
        <w:rPr>
          <w:color w:val="auto"/>
        </w:rPr>
        <w:tab/>
      </w:r>
      <w:r w:rsidRPr="001C4B96">
        <w:rPr>
          <w:color w:val="auto"/>
        </w:rPr>
        <w:fldChar w:fldCharType="begin"/>
      </w:r>
      <w:r w:rsidRPr="001C4B96">
        <w:rPr>
          <w:color w:val="auto"/>
        </w:rPr>
        <w:instrText xml:space="preserve"> PAGEREF _Toc352234380 \h </w:instrText>
      </w:r>
      <w:r w:rsidRPr="001C4B96">
        <w:rPr>
          <w:color w:val="auto"/>
        </w:rPr>
      </w:r>
      <w:r w:rsidRPr="001C4B96">
        <w:rPr>
          <w:color w:val="auto"/>
        </w:rPr>
        <w:fldChar w:fldCharType="separate"/>
      </w:r>
      <w:r w:rsidRPr="001C4B96">
        <w:rPr>
          <w:color w:val="auto"/>
        </w:rPr>
        <w:t>148</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55</w:t>
      </w:r>
      <w:r w:rsidRPr="001C4B96">
        <w:rPr>
          <w:rFonts w:cs="Tahoma"/>
        </w:rPr>
        <w:t xml:space="preserve"> Forefront Identity Manager 2010 – Windows Live Edition</w:t>
      </w:r>
      <w:r w:rsidRPr="001C4B96">
        <w:tab/>
      </w:r>
      <w:r w:rsidRPr="001C4B96">
        <w:fldChar w:fldCharType="begin"/>
      </w:r>
      <w:r w:rsidRPr="001C4B96">
        <w:instrText xml:space="preserve"> PAGEREF _Toc352234381 \h </w:instrText>
      </w:r>
      <w:r w:rsidRPr="001C4B96">
        <w:fldChar w:fldCharType="separate"/>
      </w:r>
      <w:r w:rsidRPr="001C4B96">
        <w:t>148</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56</w:t>
      </w:r>
      <w:r w:rsidRPr="001C4B96">
        <w:rPr>
          <w:color w:val="auto"/>
        </w:rPr>
        <w:t xml:space="preserve"> Forefront Protection 2010 para Exchange Server (SL de Usuário e Dispositivo), Forefront Protection 2010 para SharePoint (SL de Usuário e Dispositivo) e Forefront Protection 2010 para Sites de Internet (SL Complementar)</w:t>
      </w:r>
      <w:r w:rsidRPr="001C4B96">
        <w:rPr>
          <w:color w:val="auto"/>
        </w:rPr>
        <w:tab/>
      </w:r>
      <w:r w:rsidRPr="001C4B96">
        <w:rPr>
          <w:color w:val="auto"/>
        </w:rPr>
        <w:fldChar w:fldCharType="begin"/>
      </w:r>
      <w:r w:rsidRPr="001C4B96">
        <w:rPr>
          <w:color w:val="auto"/>
        </w:rPr>
        <w:instrText xml:space="preserve"> PAGEREF _Toc352234382 \h </w:instrText>
      </w:r>
      <w:r w:rsidRPr="001C4B96">
        <w:rPr>
          <w:color w:val="auto"/>
        </w:rPr>
      </w:r>
      <w:r w:rsidRPr="001C4B96">
        <w:rPr>
          <w:color w:val="auto"/>
        </w:rPr>
        <w:fldChar w:fldCharType="separate"/>
      </w:r>
      <w:r w:rsidRPr="001C4B96">
        <w:rPr>
          <w:color w:val="auto"/>
        </w:rPr>
        <w:t>149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57</w:t>
      </w:r>
      <w:r w:rsidRPr="001C4B96">
        <w:rPr>
          <w:color w:val="auto"/>
        </w:rPr>
        <w:t xml:space="preserve"> Forefront Protection Suite (Dispositivo e Usuário)</w:t>
      </w:r>
      <w:r w:rsidRPr="001C4B96">
        <w:rPr>
          <w:color w:val="auto"/>
        </w:rPr>
        <w:tab/>
      </w:r>
      <w:r w:rsidRPr="001C4B96">
        <w:rPr>
          <w:color w:val="auto"/>
        </w:rPr>
        <w:fldChar w:fldCharType="begin"/>
      </w:r>
      <w:r w:rsidRPr="001C4B96">
        <w:rPr>
          <w:color w:val="auto"/>
        </w:rPr>
        <w:instrText xml:space="preserve"> PAGEREF _Toc352234383 \h </w:instrText>
      </w:r>
      <w:r w:rsidRPr="001C4B96">
        <w:rPr>
          <w:color w:val="auto"/>
        </w:rPr>
      </w:r>
      <w:r w:rsidRPr="001C4B96">
        <w:rPr>
          <w:color w:val="auto"/>
        </w:rPr>
        <w:fldChar w:fldCharType="separate"/>
      </w:r>
      <w:r w:rsidRPr="001C4B96">
        <w:rPr>
          <w:color w:val="auto"/>
        </w:rPr>
        <w:t>149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58</w:t>
      </w:r>
      <w:r w:rsidRPr="001C4B96">
        <w:rPr>
          <w:caps/>
          <w:color w:val="auto"/>
        </w:rPr>
        <w:t xml:space="preserve"> </w:t>
      </w:r>
      <w:r w:rsidRPr="001C4B96">
        <w:rPr>
          <w:color w:val="auto"/>
        </w:rPr>
        <w:t>Forefront Security para Office Communications Server (SL de Usuário e Dispositivo)</w:t>
      </w:r>
      <w:r w:rsidRPr="001C4B96">
        <w:rPr>
          <w:color w:val="auto"/>
        </w:rPr>
        <w:tab/>
      </w:r>
      <w:r w:rsidRPr="001C4B96">
        <w:rPr>
          <w:color w:val="auto"/>
        </w:rPr>
        <w:fldChar w:fldCharType="begin"/>
      </w:r>
      <w:r w:rsidRPr="001C4B96">
        <w:rPr>
          <w:color w:val="auto"/>
        </w:rPr>
        <w:instrText xml:space="preserve"> PAGEREF _Toc352234384 \h </w:instrText>
      </w:r>
      <w:r w:rsidRPr="001C4B96">
        <w:rPr>
          <w:color w:val="auto"/>
        </w:rPr>
      </w:r>
      <w:r w:rsidRPr="001C4B96">
        <w:rPr>
          <w:color w:val="auto"/>
        </w:rPr>
        <w:fldChar w:fldCharType="separate"/>
      </w:r>
      <w:r w:rsidRPr="001C4B96">
        <w:rPr>
          <w:color w:val="auto"/>
        </w:rPr>
        <w:t>150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59</w:t>
      </w:r>
      <w:r w:rsidRPr="001C4B96">
        <w:rPr>
          <w:caps/>
          <w:color w:val="auto"/>
        </w:rPr>
        <w:t xml:space="preserve"> </w:t>
      </w:r>
      <w:r w:rsidRPr="001C4B96">
        <w:rPr>
          <w:color w:val="auto"/>
        </w:rPr>
        <w:t>Forefront Threat Management Gateway Web Protection Service</w:t>
      </w:r>
      <w:r w:rsidRPr="001C4B96">
        <w:rPr>
          <w:color w:val="auto"/>
        </w:rPr>
        <w:tab/>
      </w:r>
      <w:r w:rsidRPr="001C4B96">
        <w:rPr>
          <w:color w:val="auto"/>
        </w:rPr>
        <w:fldChar w:fldCharType="begin"/>
      </w:r>
      <w:r w:rsidRPr="001C4B96">
        <w:rPr>
          <w:color w:val="auto"/>
        </w:rPr>
        <w:instrText xml:space="preserve"> PAGEREF _Toc352234385 \h </w:instrText>
      </w:r>
      <w:r w:rsidRPr="001C4B96">
        <w:rPr>
          <w:color w:val="auto"/>
        </w:rPr>
      </w:r>
      <w:r w:rsidRPr="001C4B96">
        <w:rPr>
          <w:color w:val="auto"/>
        </w:rPr>
        <w:fldChar w:fldCharType="separate"/>
      </w:r>
      <w:r w:rsidRPr="001C4B96">
        <w:rPr>
          <w:color w:val="auto"/>
        </w:rPr>
        <w:t>150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60</w:t>
      </w:r>
      <w:r w:rsidRPr="001C4B96">
        <w:rPr>
          <w:caps/>
          <w:color w:val="auto"/>
        </w:rPr>
        <w:t xml:space="preserve"> </w:t>
      </w:r>
      <w:r w:rsidRPr="001C4B96">
        <w:rPr>
          <w:color w:val="auto"/>
        </w:rPr>
        <w:t>Forefront Unified Access Gateway 2010</w:t>
      </w:r>
      <w:r w:rsidRPr="001C4B96">
        <w:rPr>
          <w:color w:val="auto"/>
        </w:rPr>
        <w:tab/>
      </w:r>
      <w:r w:rsidRPr="001C4B96">
        <w:rPr>
          <w:color w:val="auto"/>
        </w:rPr>
        <w:fldChar w:fldCharType="begin"/>
      </w:r>
      <w:r w:rsidRPr="001C4B96">
        <w:rPr>
          <w:color w:val="auto"/>
        </w:rPr>
        <w:instrText xml:space="preserve"> PAGEREF _Toc352234386 \h </w:instrText>
      </w:r>
      <w:r w:rsidRPr="001C4B96">
        <w:rPr>
          <w:color w:val="auto"/>
        </w:rPr>
      </w:r>
      <w:r w:rsidRPr="001C4B96">
        <w:rPr>
          <w:color w:val="auto"/>
        </w:rPr>
        <w:fldChar w:fldCharType="separate"/>
      </w:r>
      <w:r w:rsidRPr="001C4B96">
        <w:rPr>
          <w:color w:val="auto"/>
        </w:rPr>
        <w:t>150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61</w:t>
      </w:r>
      <w:r w:rsidRPr="001C4B96">
        <w:rPr>
          <w:caps/>
          <w:color w:val="auto"/>
        </w:rPr>
        <w:t xml:space="preserve"> </w:t>
      </w:r>
      <w:r w:rsidRPr="001C4B96">
        <w:rPr>
          <w:color w:val="auto"/>
        </w:rPr>
        <w:t>HPC Pack 2008 R2 Enterprise</w:t>
      </w:r>
      <w:r w:rsidRPr="001C4B96">
        <w:rPr>
          <w:color w:val="auto"/>
        </w:rPr>
        <w:tab/>
      </w:r>
      <w:r w:rsidRPr="001C4B96">
        <w:rPr>
          <w:color w:val="auto"/>
        </w:rPr>
        <w:fldChar w:fldCharType="begin"/>
      </w:r>
      <w:r w:rsidRPr="001C4B96">
        <w:rPr>
          <w:color w:val="auto"/>
        </w:rPr>
        <w:instrText xml:space="preserve"> PAGEREF _Toc352234387 \h </w:instrText>
      </w:r>
      <w:r w:rsidRPr="001C4B96">
        <w:rPr>
          <w:color w:val="auto"/>
        </w:rPr>
      </w:r>
      <w:r w:rsidRPr="001C4B96">
        <w:rPr>
          <w:color w:val="auto"/>
        </w:rPr>
        <w:fldChar w:fldCharType="separate"/>
      </w:r>
      <w:r w:rsidRPr="001C4B96">
        <w:rPr>
          <w:color w:val="auto"/>
        </w:rPr>
        <w:t>150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62</w:t>
      </w:r>
      <w:r w:rsidRPr="001C4B96">
        <w:rPr>
          <w:color w:val="auto"/>
        </w:rPr>
        <w:t xml:space="preserve"> Learning Solutions MCP Exam Vouchers</w:t>
      </w:r>
      <w:r w:rsidRPr="001C4B96">
        <w:rPr>
          <w:color w:val="auto"/>
        </w:rPr>
        <w:tab/>
      </w:r>
      <w:r w:rsidRPr="001C4B96">
        <w:rPr>
          <w:color w:val="auto"/>
        </w:rPr>
        <w:fldChar w:fldCharType="begin"/>
      </w:r>
      <w:r w:rsidRPr="001C4B96">
        <w:rPr>
          <w:color w:val="auto"/>
        </w:rPr>
        <w:instrText xml:space="preserve"> PAGEREF _Toc352234388 \h </w:instrText>
      </w:r>
      <w:r w:rsidRPr="001C4B96">
        <w:rPr>
          <w:color w:val="auto"/>
        </w:rPr>
      </w:r>
      <w:r w:rsidRPr="001C4B96">
        <w:rPr>
          <w:color w:val="auto"/>
        </w:rPr>
        <w:fldChar w:fldCharType="separate"/>
      </w:r>
      <w:r w:rsidRPr="001C4B96">
        <w:rPr>
          <w:color w:val="auto"/>
        </w:rPr>
        <w:t>151</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63</w:t>
      </w:r>
      <w:r w:rsidRPr="001C4B96">
        <w:rPr>
          <w:rFonts w:cs="Tahoma"/>
        </w:rPr>
        <w:t xml:space="preserve"> Lync Online Planos 1, 2 e 3</w:t>
      </w:r>
      <w:r w:rsidRPr="001C4B96">
        <w:tab/>
      </w:r>
      <w:r w:rsidRPr="001C4B96">
        <w:fldChar w:fldCharType="begin"/>
      </w:r>
      <w:r w:rsidRPr="001C4B96">
        <w:instrText xml:space="preserve"> PAGEREF _Toc352234389 \h </w:instrText>
      </w:r>
      <w:r w:rsidRPr="001C4B96">
        <w:fldChar w:fldCharType="separate"/>
      </w:r>
      <w:r w:rsidRPr="001C4B96">
        <w:t>151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64</w:t>
      </w:r>
      <w:r w:rsidRPr="001C4B96">
        <w:rPr>
          <w:rFonts w:cs="Tahoma"/>
          <w:caps/>
        </w:rPr>
        <w:t xml:space="preserve"> </w:t>
      </w:r>
      <w:r w:rsidRPr="001C4B96">
        <w:rPr>
          <w:rFonts w:cs="Tahoma"/>
        </w:rPr>
        <w:t>Lync Server 2013</w:t>
      </w:r>
      <w:r w:rsidRPr="001C4B96">
        <w:tab/>
      </w:r>
      <w:r w:rsidRPr="001C4B96">
        <w:fldChar w:fldCharType="begin"/>
      </w:r>
      <w:r w:rsidRPr="001C4B96">
        <w:instrText xml:space="preserve"> PAGEREF _Toc352234390 \h </w:instrText>
      </w:r>
      <w:r w:rsidRPr="001C4B96">
        <w:fldChar w:fldCharType="separate"/>
      </w:r>
      <w:r w:rsidRPr="001C4B96">
        <w:t>152</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vertAlign w:val="superscript"/>
        </w:rPr>
        <w:t>65</w:t>
      </w:r>
      <w:r w:rsidRPr="001C4B96">
        <w:rPr>
          <w:color w:val="auto"/>
        </w:rPr>
        <w:t xml:space="preserve"> Microsoft Dynamics AX 2012 R2</w:t>
      </w:r>
      <w:r w:rsidRPr="001C4B96">
        <w:rPr>
          <w:color w:val="auto"/>
        </w:rPr>
        <w:tab/>
      </w:r>
      <w:r w:rsidRPr="001C4B96">
        <w:rPr>
          <w:color w:val="auto"/>
        </w:rPr>
        <w:fldChar w:fldCharType="begin"/>
      </w:r>
      <w:r w:rsidRPr="001C4B96">
        <w:rPr>
          <w:color w:val="auto"/>
        </w:rPr>
        <w:instrText xml:space="preserve"> PAGEREF _Toc352234391 \h </w:instrText>
      </w:r>
      <w:r w:rsidRPr="001C4B96">
        <w:rPr>
          <w:color w:val="auto"/>
        </w:rPr>
      </w:r>
      <w:r w:rsidRPr="001C4B96">
        <w:rPr>
          <w:color w:val="auto"/>
        </w:rPr>
        <w:fldChar w:fldCharType="separate"/>
      </w:r>
      <w:r w:rsidRPr="001C4B96">
        <w:rPr>
          <w:color w:val="auto"/>
        </w:rPr>
        <w:t>153</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vertAlign w:val="superscript"/>
        </w:rPr>
        <w:t>66</w:t>
      </w:r>
      <w:r w:rsidRPr="001C4B96">
        <w:rPr>
          <w:color w:val="auto"/>
        </w:rPr>
        <w:t xml:space="preserve"> Microsoft Dynamics CRM 2011</w:t>
      </w:r>
      <w:r w:rsidRPr="001C4B96">
        <w:rPr>
          <w:color w:val="auto"/>
        </w:rPr>
        <w:tab/>
      </w:r>
      <w:r w:rsidRPr="001C4B96">
        <w:rPr>
          <w:color w:val="auto"/>
        </w:rPr>
        <w:fldChar w:fldCharType="begin"/>
      </w:r>
      <w:r w:rsidRPr="001C4B96">
        <w:rPr>
          <w:color w:val="auto"/>
        </w:rPr>
        <w:instrText xml:space="preserve"> PAGEREF _Toc352234392 \h </w:instrText>
      </w:r>
      <w:r w:rsidRPr="001C4B96">
        <w:rPr>
          <w:color w:val="auto"/>
        </w:rPr>
      </w:r>
      <w:r w:rsidRPr="001C4B96">
        <w:rPr>
          <w:color w:val="auto"/>
        </w:rPr>
        <w:fldChar w:fldCharType="separate"/>
      </w:r>
      <w:r w:rsidRPr="001C4B96">
        <w:rPr>
          <w:color w:val="auto"/>
        </w:rPr>
        <w:t>155</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67</w:t>
      </w:r>
      <w:r w:rsidRPr="001C4B96">
        <w:rPr>
          <w:rFonts w:cs="Tahoma"/>
          <w:caps/>
        </w:rPr>
        <w:t xml:space="preserve"> </w:t>
      </w:r>
      <w:r w:rsidRPr="001C4B96">
        <w:rPr>
          <w:rFonts w:cs="Tahoma"/>
        </w:rPr>
        <w:t>Microsoft Dynamics CRM 2011 Server</w:t>
      </w:r>
      <w:r w:rsidRPr="001C4B96">
        <w:tab/>
      </w:r>
      <w:r w:rsidRPr="001C4B96">
        <w:fldChar w:fldCharType="begin"/>
      </w:r>
      <w:r w:rsidRPr="001C4B96">
        <w:instrText xml:space="preserve"> PAGEREF _Toc352234393 \h </w:instrText>
      </w:r>
      <w:r w:rsidRPr="001C4B96">
        <w:fldChar w:fldCharType="separate"/>
      </w:r>
      <w:r w:rsidRPr="001C4B96">
        <w:t>163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68</w:t>
      </w:r>
      <w:r w:rsidRPr="001C4B96">
        <w:rPr>
          <w:rFonts w:cs="Tahoma"/>
        </w:rPr>
        <w:t xml:space="preserve"> Office 365 Enterprise E1</w:t>
      </w:r>
      <w:r w:rsidRPr="001C4B96">
        <w:tab/>
      </w:r>
      <w:r w:rsidRPr="001C4B96">
        <w:fldChar w:fldCharType="begin"/>
      </w:r>
      <w:r w:rsidRPr="001C4B96">
        <w:instrText xml:space="preserve"> PAGEREF _Toc352234394 \h </w:instrText>
      </w:r>
      <w:r w:rsidRPr="001C4B96">
        <w:fldChar w:fldCharType="separate"/>
      </w:r>
      <w:r w:rsidRPr="001C4B96">
        <w:t>163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69</w:t>
      </w:r>
      <w:r w:rsidRPr="001C4B96">
        <w:rPr>
          <w:rFonts w:cs="Tahoma"/>
          <w:caps/>
        </w:rPr>
        <w:t xml:space="preserve"> </w:t>
      </w:r>
      <w:r w:rsidRPr="001C4B96">
        <w:rPr>
          <w:rFonts w:cs="Tahoma"/>
        </w:rPr>
        <w:t>Office 365 Enterprise K1 e K2 (SL de Usuário)</w:t>
      </w:r>
      <w:r w:rsidRPr="001C4B96">
        <w:tab/>
      </w:r>
      <w:r w:rsidRPr="001C4B96">
        <w:fldChar w:fldCharType="begin"/>
      </w:r>
      <w:r w:rsidRPr="001C4B96">
        <w:instrText xml:space="preserve"> PAGEREF _Toc352234395 \h </w:instrText>
      </w:r>
      <w:r w:rsidRPr="001C4B96">
        <w:fldChar w:fldCharType="separate"/>
      </w:r>
      <w:r w:rsidRPr="001C4B96">
        <w:t>163</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70</w:t>
      </w:r>
      <w:r w:rsidRPr="001C4B96">
        <w:rPr>
          <w:rFonts w:cs="Tahoma"/>
        </w:rPr>
        <w:t xml:space="preserve"> Office 365 Government G1-G4</w:t>
      </w:r>
      <w:r w:rsidRPr="001C4B96">
        <w:tab/>
      </w:r>
      <w:r w:rsidRPr="001C4B96">
        <w:fldChar w:fldCharType="begin"/>
      </w:r>
      <w:r w:rsidRPr="001C4B96">
        <w:instrText xml:space="preserve"> PAGEREF _Toc352234396 \h </w:instrText>
      </w:r>
      <w:r w:rsidRPr="001C4B96">
        <w:fldChar w:fldCharType="separate"/>
      </w:r>
      <w:r w:rsidRPr="001C4B96">
        <w:t>164</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71</w:t>
      </w:r>
      <w:r w:rsidRPr="001C4B96">
        <w:rPr>
          <w:rFonts w:cs="Tahoma"/>
        </w:rPr>
        <w:t xml:space="preserve"> SharePoint Online Planos 1 e 2</w:t>
      </w:r>
      <w:r w:rsidRPr="001C4B96">
        <w:tab/>
      </w:r>
      <w:r w:rsidRPr="001C4B96">
        <w:fldChar w:fldCharType="begin"/>
      </w:r>
      <w:r w:rsidRPr="001C4B96">
        <w:instrText xml:space="preserve"> PAGEREF _Toc352234397 \h </w:instrText>
      </w:r>
      <w:r w:rsidRPr="001C4B96">
        <w:fldChar w:fldCharType="separate"/>
      </w:r>
      <w:r w:rsidRPr="001C4B96">
        <w:t>165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72</w:t>
      </w:r>
      <w:r w:rsidRPr="001C4B96">
        <w:rPr>
          <w:rFonts w:cs="Tahoma"/>
          <w:caps/>
        </w:rPr>
        <w:t xml:space="preserve"> </w:t>
      </w:r>
      <w:r w:rsidRPr="001C4B96">
        <w:rPr>
          <w:rFonts w:cs="Tahoma"/>
        </w:rPr>
        <w:t>SharePoint Server 2013</w:t>
      </w:r>
      <w:r w:rsidRPr="001C4B96">
        <w:tab/>
      </w:r>
      <w:r w:rsidRPr="001C4B96">
        <w:fldChar w:fldCharType="begin"/>
      </w:r>
      <w:r w:rsidRPr="001C4B96">
        <w:instrText xml:space="preserve"> PAGEREF _Toc352234398 \h </w:instrText>
      </w:r>
      <w:r w:rsidRPr="001C4B96">
        <w:fldChar w:fldCharType="separate"/>
      </w:r>
      <w:r w:rsidRPr="001C4B96">
        <w:t>165</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73</w:t>
      </w:r>
      <w:r w:rsidRPr="001C4B96">
        <w:rPr>
          <w:color w:val="auto"/>
        </w:rPr>
        <w:t xml:space="preserve"> SQL Server</w:t>
      </w:r>
      <w:r w:rsidRPr="001C4B96">
        <w:rPr>
          <w:color w:val="auto"/>
          <w:vertAlign w:val="superscript"/>
        </w:rPr>
        <w:t>®</w:t>
      </w:r>
      <w:r w:rsidRPr="001C4B96">
        <w:rPr>
          <w:color w:val="auto"/>
        </w:rPr>
        <w:t xml:space="preserve"> 2008 R2 Datacenter</w:t>
      </w:r>
      <w:r w:rsidRPr="001C4B96">
        <w:rPr>
          <w:color w:val="auto"/>
        </w:rPr>
        <w:tab/>
      </w:r>
      <w:r w:rsidRPr="001C4B96">
        <w:rPr>
          <w:color w:val="auto"/>
        </w:rPr>
        <w:fldChar w:fldCharType="begin"/>
      </w:r>
      <w:r w:rsidRPr="001C4B96">
        <w:rPr>
          <w:color w:val="auto"/>
        </w:rPr>
        <w:instrText xml:space="preserve"> PAGEREF _Toc352234399 \h </w:instrText>
      </w:r>
      <w:r w:rsidRPr="001C4B96">
        <w:rPr>
          <w:color w:val="auto"/>
        </w:rPr>
      </w:r>
      <w:r w:rsidRPr="001C4B96">
        <w:rPr>
          <w:color w:val="auto"/>
        </w:rPr>
        <w:fldChar w:fldCharType="separate"/>
      </w:r>
      <w:r w:rsidRPr="001C4B96">
        <w:rPr>
          <w:color w:val="auto"/>
        </w:rPr>
        <w:t>167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74</w:t>
      </w:r>
      <w:r w:rsidRPr="001C4B96">
        <w:rPr>
          <w:caps/>
          <w:color w:val="auto"/>
        </w:rPr>
        <w:t xml:space="preserve"> </w:t>
      </w:r>
      <w:r w:rsidRPr="001C4B96">
        <w:rPr>
          <w:color w:val="auto"/>
        </w:rPr>
        <w:t>SQL Server</w:t>
      </w:r>
      <w:r w:rsidRPr="001C4B96">
        <w:rPr>
          <w:color w:val="auto"/>
          <w:vertAlign w:val="superscript"/>
        </w:rPr>
        <w:t>®</w:t>
      </w:r>
      <w:r w:rsidRPr="001C4B96">
        <w:rPr>
          <w:color w:val="auto"/>
        </w:rPr>
        <w:t xml:space="preserve"> 2008 R2 Small Business</w:t>
      </w:r>
      <w:r w:rsidRPr="001C4B96">
        <w:rPr>
          <w:color w:val="auto"/>
        </w:rPr>
        <w:tab/>
      </w:r>
      <w:r w:rsidRPr="001C4B96">
        <w:rPr>
          <w:color w:val="auto"/>
        </w:rPr>
        <w:fldChar w:fldCharType="begin"/>
      </w:r>
      <w:r w:rsidRPr="001C4B96">
        <w:rPr>
          <w:color w:val="auto"/>
        </w:rPr>
        <w:instrText xml:space="preserve"> PAGEREF _Toc352234400 \h </w:instrText>
      </w:r>
      <w:r w:rsidRPr="001C4B96">
        <w:rPr>
          <w:color w:val="auto"/>
        </w:rPr>
      </w:r>
      <w:r w:rsidRPr="001C4B96">
        <w:rPr>
          <w:color w:val="auto"/>
        </w:rPr>
        <w:fldChar w:fldCharType="separate"/>
      </w:r>
      <w:r w:rsidRPr="001C4B96">
        <w:rPr>
          <w:color w:val="auto"/>
        </w:rPr>
        <w:t>170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75</w:t>
      </w:r>
      <w:r w:rsidRPr="001C4B96">
        <w:rPr>
          <w:color w:val="auto"/>
        </w:rPr>
        <w:t xml:space="preserve"> SQL Server</w:t>
      </w:r>
      <w:r w:rsidRPr="001C4B96">
        <w:rPr>
          <w:color w:val="auto"/>
          <w:vertAlign w:val="superscript"/>
        </w:rPr>
        <w:t>®</w:t>
      </w:r>
      <w:r w:rsidRPr="001C4B96">
        <w:rPr>
          <w:color w:val="auto"/>
        </w:rPr>
        <w:t xml:space="preserve"> 2008 R2 Web Processor</w:t>
      </w:r>
      <w:r w:rsidRPr="001C4B96">
        <w:rPr>
          <w:color w:val="auto"/>
        </w:rPr>
        <w:tab/>
      </w:r>
      <w:r w:rsidRPr="001C4B96">
        <w:rPr>
          <w:color w:val="auto"/>
        </w:rPr>
        <w:fldChar w:fldCharType="begin"/>
      </w:r>
      <w:r w:rsidRPr="001C4B96">
        <w:rPr>
          <w:color w:val="auto"/>
        </w:rPr>
        <w:instrText xml:space="preserve"> PAGEREF _Toc352234401 \h </w:instrText>
      </w:r>
      <w:r w:rsidRPr="001C4B96">
        <w:rPr>
          <w:color w:val="auto"/>
        </w:rPr>
      </w:r>
      <w:r w:rsidRPr="001C4B96">
        <w:rPr>
          <w:color w:val="auto"/>
        </w:rPr>
        <w:fldChar w:fldCharType="separate"/>
      </w:r>
      <w:r w:rsidRPr="001C4B96">
        <w:rPr>
          <w:color w:val="auto"/>
        </w:rPr>
        <w:t>170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vertAlign w:val="superscript"/>
        </w:rPr>
        <w:t>76</w:t>
      </w:r>
      <w:r w:rsidRPr="001C4B96">
        <w:rPr>
          <w:color w:val="auto"/>
        </w:rPr>
        <w:t xml:space="preserve"> SQL Server</w:t>
      </w:r>
      <w:r w:rsidRPr="001C4B96">
        <w:rPr>
          <w:color w:val="auto"/>
          <w:vertAlign w:val="superscript"/>
        </w:rPr>
        <w:t>®</w:t>
      </w:r>
      <w:r w:rsidRPr="001C4B96">
        <w:rPr>
          <w:color w:val="auto"/>
        </w:rPr>
        <w:t xml:space="preserve"> 2008 R2 Workgroup (5 Clientes Complementares)</w:t>
      </w:r>
      <w:r w:rsidRPr="001C4B96">
        <w:rPr>
          <w:color w:val="auto"/>
        </w:rPr>
        <w:tab/>
      </w:r>
      <w:r w:rsidRPr="001C4B96">
        <w:rPr>
          <w:color w:val="auto"/>
        </w:rPr>
        <w:fldChar w:fldCharType="begin"/>
      </w:r>
      <w:r w:rsidRPr="001C4B96">
        <w:rPr>
          <w:color w:val="auto"/>
        </w:rPr>
        <w:instrText xml:space="preserve"> PAGEREF _Toc352234402 \h </w:instrText>
      </w:r>
      <w:r w:rsidRPr="001C4B96">
        <w:rPr>
          <w:color w:val="auto"/>
        </w:rPr>
      </w:r>
      <w:r w:rsidRPr="001C4B96">
        <w:rPr>
          <w:color w:val="auto"/>
        </w:rPr>
        <w:fldChar w:fldCharType="separate"/>
      </w:r>
      <w:r w:rsidRPr="001C4B96">
        <w:rPr>
          <w:color w:val="auto"/>
        </w:rPr>
        <w:t>172</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vertAlign w:val="superscript"/>
        </w:rPr>
        <w:t>77</w:t>
      </w:r>
      <w:r w:rsidRPr="001C4B96">
        <w:rPr>
          <w:color w:val="auto"/>
        </w:rPr>
        <w:t xml:space="preserve"> SQL Server</w:t>
      </w:r>
      <w:r w:rsidRPr="001C4B96">
        <w:rPr>
          <w:color w:val="auto"/>
          <w:vertAlign w:val="superscript"/>
        </w:rPr>
        <w:t>®</w:t>
      </w:r>
      <w:r w:rsidRPr="001C4B96">
        <w:rPr>
          <w:color w:val="auto"/>
        </w:rPr>
        <w:t xml:space="preserve"> 2008 R2 Workgroup Processor</w:t>
      </w:r>
      <w:r w:rsidRPr="001C4B96">
        <w:rPr>
          <w:color w:val="auto"/>
        </w:rPr>
        <w:tab/>
      </w:r>
      <w:r w:rsidRPr="001C4B96">
        <w:rPr>
          <w:color w:val="auto"/>
        </w:rPr>
        <w:fldChar w:fldCharType="begin"/>
      </w:r>
      <w:r w:rsidRPr="001C4B96">
        <w:rPr>
          <w:color w:val="auto"/>
        </w:rPr>
        <w:instrText xml:space="preserve"> PAGEREF _Toc352234403 \h </w:instrText>
      </w:r>
      <w:r w:rsidRPr="001C4B96">
        <w:rPr>
          <w:color w:val="auto"/>
        </w:rPr>
      </w:r>
      <w:r w:rsidRPr="001C4B96">
        <w:rPr>
          <w:color w:val="auto"/>
        </w:rPr>
        <w:fldChar w:fldCharType="separate"/>
      </w:r>
      <w:r w:rsidRPr="001C4B96">
        <w:rPr>
          <w:color w:val="auto"/>
        </w:rPr>
        <w:t>173</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vertAlign w:val="superscript"/>
        </w:rPr>
        <w:t>78</w:t>
      </w:r>
      <w:r w:rsidRPr="001C4B96">
        <w:rPr>
          <w:color w:val="auto"/>
        </w:rPr>
        <w:t xml:space="preserve"> SQL Server</w:t>
      </w:r>
      <w:r w:rsidRPr="001C4B96">
        <w:rPr>
          <w:color w:val="auto"/>
          <w:vertAlign w:val="superscript"/>
        </w:rPr>
        <w:t>®</w:t>
      </w:r>
      <w:r w:rsidRPr="001C4B96">
        <w:rPr>
          <w:color w:val="auto"/>
        </w:rPr>
        <w:t xml:space="preserve"> 2012 Developer</w:t>
      </w:r>
      <w:r w:rsidRPr="001C4B96">
        <w:rPr>
          <w:color w:val="auto"/>
        </w:rPr>
        <w:tab/>
      </w:r>
      <w:r w:rsidRPr="001C4B96">
        <w:rPr>
          <w:color w:val="auto"/>
        </w:rPr>
        <w:fldChar w:fldCharType="begin"/>
      </w:r>
      <w:r w:rsidRPr="001C4B96">
        <w:rPr>
          <w:color w:val="auto"/>
        </w:rPr>
        <w:instrText xml:space="preserve"> PAGEREF _Toc352234404 \h </w:instrText>
      </w:r>
      <w:r w:rsidRPr="001C4B96">
        <w:rPr>
          <w:color w:val="auto"/>
        </w:rPr>
      </w:r>
      <w:r w:rsidRPr="001C4B96">
        <w:rPr>
          <w:color w:val="auto"/>
        </w:rPr>
        <w:fldChar w:fldCharType="separate"/>
      </w:r>
      <w:r w:rsidRPr="001C4B96">
        <w:rPr>
          <w:color w:val="auto"/>
        </w:rPr>
        <w:t>175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olor w:val="auto"/>
          <w:vertAlign w:val="superscript"/>
        </w:rPr>
        <w:t>79</w:t>
      </w:r>
      <w:r w:rsidRPr="001C4B96">
        <w:rPr>
          <w:color w:val="auto"/>
        </w:rPr>
        <w:t xml:space="preserve"> SQL Server</w:t>
      </w:r>
      <w:r w:rsidRPr="001C4B96">
        <w:rPr>
          <w:color w:val="auto"/>
          <w:vertAlign w:val="superscript"/>
        </w:rPr>
        <w:t>®</w:t>
      </w:r>
      <w:r w:rsidRPr="001C4B96">
        <w:rPr>
          <w:color w:val="auto"/>
        </w:rPr>
        <w:t xml:space="preserve"> 2012 Enterprise</w:t>
      </w:r>
      <w:r w:rsidRPr="001C4B96">
        <w:rPr>
          <w:color w:val="auto"/>
        </w:rPr>
        <w:tab/>
      </w:r>
      <w:r w:rsidRPr="001C4B96">
        <w:rPr>
          <w:color w:val="auto"/>
        </w:rPr>
        <w:fldChar w:fldCharType="begin"/>
      </w:r>
      <w:r w:rsidRPr="001C4B96">
        <w:rPr>
          <w:color w:val="auto"/>
        </w:rPr>
        <w:instrText xml:space="preserve"> PAGEREF _Toc352234405 \h </w:instrText>
      </w:r>
      <w:r w:rsidRPr="001C4B96">
        <w:rPr>
          <w:color w:val="auto"/>
        </w:rPr>
      </w:r>
      <w:r w:rsidRPr="001C4B96">
        <w:rPr>
          <w:color w:val="auto"/>
        </w:rPr>
        <w:fldChar w:fldCharType="separate"/>
      </w:r>
      <w:r w:rsidRPr="001C4B96">
        <w:rPr>
          <w:color w:val="auto"/>
        </w:rPr>
        <w:t>175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80</w:t>
      </w:r>
      <w:r w:rsidRPr="001C4B96">
        <w:rPr>
          <w:caps/>
          <w:color w:val="auto"/>
        </w:rPr>
        <w:t xml:space="preserve"> </w:t>
      </w:r>
      <w:r w:rsidRPr="001C4B96">
        <w:rPr>
          <w:color w:val="auto"/>
        </w:rPr>
        <w:t>SQL Server</w:t>
      </w:r>
      <w:r w:rsidRPr="001C4B96">
        <w:rPr>
          <w:color w:val="auto"/>
          <w:vertAlign w:val="superscript"/>
        </w:rPr>
        <w:t>®</w:t>
      </w:r>
      <w:r w:rsidRPr="001C4B96">
        <w:rPr>
          <w:color w:val="auto"/>
        </w:rPr>
        <w:t xml:space="preserve"> 2012 Enterprise Core</w:t>
      </w:r>
      <w:r w:rsidRPr="001C4B96">
        <w:rPr>
          <w:color w:val="auto"/>
        </w:rPr>
        <w:tab/>
      </w:r>
      <w:r w:rsidRPr="001C4B96">
        <w:rPr>
          <w:color w:val="auto"/>
        </w:rPr>
        <w:fldChar w:fldCharType="begin"/>
      </w:r>
      <w:r w:rsidRPr="001C4B96">
        <w:rPr>
          <w:color w:val="auto"/>
        </w:rPr>
        <w:instrText xml:space="preserve"> PAGEREF _Toc352234406 \h </w:instrText>
      </w:r>
      <w:r w:rsidRPr="001C4B96">
        <w:rPr>
          <w:color w:val="auto"/>
        </w:rPr>
      </w:r>
      <w:r w:rsidRPr="001C4B96">
        <w:rPr>
          <w:color w:val="auto"/>
        </w:rPr>
        <w:fldChar w:fldCharType="separate"/>
      </w:r>
      <w:r w:rsidRPr="001C4B96">
        <w:rPr>
          <w:color w:val="auto"/>
        </w:rPr>
        <w:t>176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81</w:t>
      </w:r>
      <w:r w:rsidRPr="001C4B96">
        <w:rPr>
          <w:color w:val="auto"/>
        </w:rPr>
        <w:t xml:space="preserve"> SQL Server </w:t>
      </w:r>
      <w:r w:rsidRPr="001C4B96">
        <w:rPr>
          <w:color w:val="auto"/>
          <w:vertAlign w:val="superscript"/>
        </w:rPr>
        <w:t>®</w:t>
      </w:r>
      <w:r w:rsidRPr="001C4B96">
        <w:rPr>
          <w:color w:val="auto"/>
        </w:rPr>
        <w:t xml:space="preserve"> 2012 Parallel Data Warehouse</w:t>
      </w:r>
      <w:r w:rsidRPr="001C4B96">
        <w:rPr>
          <w:color w:val="auto"/>
        </w:rPr>
        <w:tab/>
      </w:r>
      <w:r w:rsidRPr="001C4B96">
        <w:rPr>
          <w:color w:val="auto"/>
        </w:rPr>
        <w:fldChar w:fldCharType="begin"/>
      </w:r>
      <w:r w:rsidRPr="001C4B96">
        <w:rPr>
          <w:color w:val="auto"/>
        </w:rPr>
        <w:instrText xml:space="preserve"> PAGEREF _Toc352234407 \h </w:instrText>
      </w:r>
      <w:r w:rsidRPr="001C4B96">
        <w:rPr>
          <w:color w:val="auto"/>
        </w:rPr>
      </w:r>
      <w:r w:rsidRPr="001C4B96">
        <w:rPr>
          <w:color w:val="auto"/>
        </w:rPr>
        <w:fldChar w:fldCharType="separate"/>
      </w:r>
      <w:r w:rsidRPr="001C4B96">
        <w:rPr>
          <w:color w:val="auto"/>
        </w:rPr>
        <w:t>178</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82</w:t>
      </w:r>
      <w:r w:rsidRPr="001C4B96">
        <w:rPr>
          <w:color w:val="auto"/>
        </w:rPr>
        <w:t xml:space="preserve"> SQL Server</w:t>
      </w:r>
      <w:r w:rsidRPr="001C4B96">
        <w:rPr>
          <w:color w:val="auto"/>
          <w:vertAlign w:val="superscript"/>
        </w:rPr>
        <w:t>®</w:t>
      </w:r>
      <w:r w:rsidRPr="001C4B96">
        <w:rPr>
          <w:color w:val="auto"/>
        </w:rPr>
        <w:t xml:space="preserve"> 2012 Standard</w:t>
      </w:r>
      <w:r w:rsidRPr="001C4B96">
        <w:rPr>
          <w:color w:val="auto"/>
        </w:rPr>
        <w:tab/>
      </w:r>
      <w:r w:rsidRPr="001C4B96">
        <w:rPr>
          <w:color w:val="auto"/>
        </w:rPr>
        <w:fldChar w:fldCharType="begin"/>
      </w:r>
      <w:r w:rsidRPr="001C4B96">
        <w:rPr>
          <w:color w:val="auto"/>
        </w:rPr>
        <w:instrText xml:space="preserve"> PAGEREF _Toc352234408 \h </w:instrText>
      </w:r>
      <w:r w:rsidRPr="001C4B96">
        <w:rPr>
          <w:color w:val="auto"/>
        </w:rPr>
      </w:r>
      <w:r w:rsidRPr="001C4B96">
        <w:rPr>
          <w:color w:val="auto"/>
        </w:rPr>
        <w:fldChar w:fldCharType="separate"/>
      </w:r>
      <w:r w:rsidRPr="001C4B96">
        <w:rPr>
          <w:color w:val="auto"/>
        </w:rPr>
        <w:t>179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83</w:t>
      </w:r>
      <w:r w:rsidRPr="001C4B96">
        <w:rPr>
          <w:color w:val="auto"/>
        </w:rPr>
        <w:t xml:space="preserve"> SQL Server</w:t>
      </w:r>
      <w:r w:rsidRPr="001C4B96">
        <w:rPr>
          <w:color w:val="auto"/>
          <w:vertAlign w:val="superscript"/>
        </w:rPr>
        <w:t>®</w:t>
      </w:r>
      <w:r w:rsidRPr="001C4B96">
        <w:rPr>
          <w:color w:val="auto"/>
        </w:rPr>
        <w:t xml:space="preserve"> 2012 Standard</w:t>
      </w:r>
      <w:r w:rsidRPr="001C4B96">
        <w:rPr>
          <w:rFonts w:eastAsia="Calibri"/>
          <w:color w:val="auto"/>
        </w:rPr>
        <w:t xml:space="preserve"> Core</w:t>
      </w:r>
      <w:r w:rsidRPr="001C4B96">
        <w:rPr>
          <w:color w:val="auto"/>
        </w:rPr>
        <w:tab/>
      </w:r>
      <w:r w:rsidRPr="001C4B96">
        <w:rPr>
          <w:color w:val="auto"/>
        </w:rPr>
        <w:fldChar w:fldCharType="begin"/>
      </w:r>
      <w:r w:rsidRPr="001C4B96">
        <w:rPr>
          <w:color w:val="auto"/>
        </w:rPr>
        <w:instrText xml:space="preserve"> PAGEREF _Toc352234409 \h </w:instrText>
      </w:r>
      <w:r w:rsidRPr="001C4B96">
        <w:rPr>
          <w:color w:val="auto"/>
        </w:rPr>
      </w:r>
      <w:r w:rsidRPr="001C4B96">
        <w:rPr>
          <w:color w:val="auto"/>
        </w:rPr>
        <w:fldChar w:fldCharType="separate"/>
      </w:r>
      <w:r w:rsidRPr="001C4B96">
        <w:rPr>
          <w:color w:val="auto"/>
        </w:rPr>
        <w:t>179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84</w:t>
      </w:r>
      <w:r w:rsidRPr="001C4B96">
        <w:rPr>
          <w:color w:val="auto"/>
        </w:rPr>
        <w:t xml:space="preserve"> System Center Essentials 2010</w:t>
      </w:r>
      <w:r w:rsidRPr="001C4B96">
        <w:rPr>
          <w:color w:val="auto"/>
        </w:rPr>
        <w:tab/>
      </w:r>
      <w:r w:rsidRPr="001C4B96">
        <w:rPr>
          <w:color w:val="auto"/>
        </w:rPr>
        <w:fldChar w:fldCharType="begin"/>
      </w:r>
      <w:r w:rsidRPr="001C4B96">
        <w:rPr>
          <w:color w:val="auto"/>
        </w:rPr>
        <w:instrText xml:space="preserve"> PAGEREF _Toc352234410 \h </w:instrText>
      </w:r>
      <w:r w:rsidRPr="001C4B96">
        <w:rPr>
          <w:color w:val="auto"/>
        </w:rPr>
      </w:r>
      <w:r w:rsidRPr="001C4B96">
        <w:rPr>
          <w:color w:val="auto"/>
        </w:rPr>
        <w:fldChar w:fldCharType="separate"/>
      </w:r>
      <w:r w:rsidRPr="001C4B96">
        <w:rPr>
          <w:color w:val="auto"/>
        </w:rPr>
        <w:t>182</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85</w:t>
      </w:r>
      <w:r w:rsidRPr="001C4B96">
        <w:rPr>
          <w:color w:val="auto"/>
        </w:rPr>
        <w:t xml:space="preserve"> System Center Reporting Manager 2006</w:t>
      </w:r>
      <w:r w:rsidRPr="001C4B96">
        <w:rPr>
          <w:color w:val="auto"/>
        </w:rPr>
        <w:tab/>
      </w:r>
      <w:r w:rsidRPr="001C4B96">
        <w:rPr>
          <w:color w:val="auto"/>
        </w:rPr>
        <w:fldChar w:fldCharType="begin"/>
      </w:r>
      <w:r w:rsidRPr="001C4B96">
        <w:rPr>
          <w:color w:val="auto"/>
        </w:rPr>
        <w:instrText xml:space="preserve"> PAGEREF _Toc352234411 \h </w:instrText>
      </w:r>
      <w:r w:rsidRPr="001C4B96">
        <w:rPr>
          <w:color w:val="auto"/>
        </w:rPr>
      </w:r>
      <w:r w:rsidRPr="001C4B96">
        <w:rPr>
          <w:color w:val="auto"/>
        </w:rPr>
        <w:fldChar w:fldCharType="separate"/>
      </w:r>
      <w:r w:rsidRPr="001C4B96">
        <w:rPr>
          <w:color w:val="auto"/>
        </w:rPr>
        <w:t>183</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86</w:t>
      </w:r>
      <w:r w:rsidRPr="001C4B96">
        <w:rPr>
          <w:caps/>
          <w:color w:val="auto"/>
        </w:rPr>
        <w:t xml:space="preserve"> </w:t>
      </w:r>
      <w:r w:rsidRPr="001C4B96">
        <w:rPr>
          <w:color w:val="auto"/>
        </w:rPr>
        <w:t>System Center Server Management Suite Enterprise</w:t>
      </w:r>
      <w:r w:rsidRPr="001C4B96">
        <w:rPr>
          <w:color w:val="auto"/>
        </w:rPr>
        <w:tab/>
      </w:r>
      <w:r w:rsidRPr="001C4B96">
        <w:rPr>
          <w:color w:val="auto"/>
        </w:rPr>
        <w:fldChar w:fldCharType="begin"/>
      </w:r>
      <w:r w:rsidRPr="001C4B96">
        <w:rPr>
          <w:color w:val="auto"/>
        </w:rPr>
        <w:instrText xml:space="preserve"> PAGEREF _Toc352234412 \h </w:instrText>
      </w:r>
      <w:r w:rsidRPr="001C4B96">
        <w:rPr>
          <w:color w:val="auto"/>
        </w:rPr>
      </w:r>
      <w:r w:rsidRPr="001C4B96">
        <w:rPr>
          <w:color w:val="auto"/>
        </w:rPr>
        <w:fldChar w:fldCharType="separate"/>
      </w:r>
      <w:r w:rsidRPr="001C4B96">
        <w:rPr>
          <w:color w:val="auto"/>
        </w:rPr>
        <w:t>184</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87</w:t>
      </w:r>
      <w:r w:rsidRPr="001C4B96">
        <w:rPr>
          <w:caps/>
          <w:color w:val="auto"/>
        </w:rPr>
        <w:t xml:space="preserve"> </w:t>
      </w:r>
      <w:r w:rsidRPr="001C4B96">
        <w:rPr>
          <w:color w:val="auto"/>
        </w:rPr>
        <w:t>System Center Server Management Suite Datacenter</w:t>
      </w:r>
      <w:r w:rsidRPr="001C4B96">
        <w:rPr>
          <w:color w:val="auto"/>
        </w:rPr>
        <w:tab/>
      </w:r>
      <w:r w:rsidRPr="001C4B96">
        <w:rPr>
          <w:color w:val="auto"/>
        </w:rPr>
        <w:fldChar w:fldCharType="begin"/>
      </w:r>
      <w:r w:rsidRPr="001C4B96">
        <w:rPr>
          <w:color w:val="auto"/>
        </w:rPr>
        <w:instrText xml:space="preserve"> PAGEREF _Toc352234413 \h </w:instrText>
      </w:r>
      <w:r w:rsidRPr="001C4B96">
        <w:rPr>
          <w:color w:val="auto"/>
        </w:rPr>
      </w:r>
      <w:r w:rsidRPr="001C4B96">
        <w:rPr>
          <w:color w:val="auto"/>
        </w:rPr>
        <w:fldChar w:fldCharType="separate"/>
      </w:r>
      <w:r w:rsidRPr="001C4B96">
        <w:rPr>
          <w:color w:val="auto"/>
        </w:rPr>
        <w:t>185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88</w:t>
      </w:r>
      <w:r w:rsidRPr="001C4B96">
        <w:rPr>
          <w:color w:val="auto"/>
        </w:rPr>
        <w:t xml:space="preserve"> System Center Virtual Machine Manager 2008 R2 – Licenças de Gerenciamento de</w:t>
      </w:r>
      <w:r w:rsidRPr="001C4B96">
        <w:rPr>
          <w:color w:val="auto"/>
          <w:lang w:val="pt-BR"/>
        </w:rPr>
        <w:t> </w:t>
      </w:r>
      <w:r w:rsidRPr="001C4B96">
        <w:rPr>
          <w:color w:val="auto"/>
        </w:rPr>
        <w:t>Cliente e Servidor</w:t>
      </w:r>
      <w:r w:rsidRPr="001C4B96">
        <w:rPr>
          <w:color w:val="auto"/>
        </w:rPr>
        <w:tab/>
      </w:r>
      <w:r w:rsidRPr="001C4B96">
        <w:rPr>
          <w:color w:val="auto"/>
        </w:rPr>
        <w:fldChar w:fldCharType="begin"/>
      </w:r>
      <w:r w:rsidRPr="001C4B96">
        <w:rPr>
          <w:color w:val="auto"/>
        </w:rPr>
        <w:instrText xml:space="preserve"> PAGEREF _Toc352234414 \h </w:instrText>
      </w:r>
      <w:r w:rsidRPr="001C4B96">
        <w:rPr>
          <w:color w:val="auto"/>
        </w:rPr>
      </w:r>
      <w:r w:rsidRPr="001C4B96">
        <w:rPr>
          <w:color w:val="auto"/>
        </w:rPr>
        <w:fldChar w:fldCharType="separate"/>
      </w:r>
      <w:r w:rsidRPr="001C4B96">
        <w:rPr>
          <w:color w:val="auto"/>
        </w:rPr>
        <w:t>186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89</w:t>
      </w:r>
      <w:r w:rsidRPr="001C4B96">
        <w:rPr>
          <w:color w:val="auto"/>
        </w:rPr>
        <w:t xml:space="preserve"> System Center 2012</w:t>
      </w:r>
      <w:r w:rsidRPr="001C4B96">
        <w:rPr>
          <w:color w:val="auto"/>
        </w:rPr>
        <w:tab/>
      </w:r>
      <w:r w:rsidRPr="001C4B96">
        <w:rPr>
          <w:color w:val="auto"/>
        </w:rPr>
        <w:fldChar w:fldCharType="begin"/>
      </w:r>
      <w:r w:rsidRPr="001C4B96">
        <w:rPr>
          <w:color w:val="auto"/>
        </w:rPr>
        <w:instrText xml:space="preserve"> PAGEREF _Toc352234415 \h </w:instrText>
      </w:r>
      <w:r w:rsidRPr="001C4B96">
        <w:rPr>
          <w:color w:val="auto"/>
        </w:rPr>
      </w:r>
      <w:r w:rsidRPr="001C4B96">
        <w:rPr>
          <w:color w:val="auto"/>
        </w:rPr>
        <w:fldChar w:fldCharType="separate"/>
      </w:r>
      <w:r w:rsidRPr="001C4B96">
        <w:rPr>
          <w:color w:val="auto"/>
        </w:rPr>
        <w:t>186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90</w:t>
      </w:r>
      <w:r w:rsidRPr="001C4B96">
        <w:rPr>
          <w:color w:val="auto"/>
        </w:rPr>
        <w:t xml:space="preserve"> System Center 2012 Endpoint Protection</w:t>
      </w:r>
      <w:r w:rsidRPr="001C4B96">
        <w:rPr>
          <w:color w:val="auto"/>
        </w:rPr>
        <w:tab/>
      </w:r>
      <w:r w:rsidRPr="001C4B96">
        <w:rPr>
          <w:color w:val="auto"/>
        </w:rPr>
        <w:fldChar w:fldCharType="begin"/>
      </w:r>
      <w:r w:rsidRPr="001C4B96">
        <w:rPr>
          <w:color w:val="auto"/>
        </w:rPr>
        <w:instrText xml:space="preserve"> PAGEREF _Toc352234416 \h </w:instrText>
      </w:r>
      <w:r w:rsidRPr="001C4B96">
        <w:rPr>
          <w:color w:val="auto"/>
        </w:rPr>
      </w:r>
      <w:r w:rsidRPr="001C4B96">
        <w:rPr>
          <w:color w:val="auto"/>
        </w:rPr>
        <w:fldChar w:fldCharType="separate"/>
      </w:r>
      <w:r w:rsidRPr="001C4B96">
        <w:rPr>
          <w:color w:val="auto"/>
        </w:rPr>
        <w:t>189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91</w:t>
      </w:r>
      <w:r w:rsidRPr="001C4B96">
        <w:rPr>
          <w:color w:val="auto"/>
        </w:rPr>
        <w:t xml:space="preserve"> TechNet Plus Single User</w:t>
      </w:r>
      <w:r w:rsidRPr="001C4B96">
        <w:rPr>
          <w:color w:val="auto"/>
        </w:rPr>
        <w:tab/>
      </w:r>
      <w:r w:rsidRPr="001C4B96">
        <w:rPr>
          <w:color w:val="auto"/>
        </w:rPr>
        <w:fldChar w:fldCharType="begin"/>
      </w:r>
      <w:r w:rsidRPr="001C4B96">
        <w:rPr>
          <w:color w:val="auto"/>
        </w:rPr>
        <w:instrText xml:space="preserve"> PAGEREF _Toc352234417 \h </w:instrText>
      </w:r>
      <w:r w:rsidRPr="001C4B96">
        <w:rPr>
          <w:color w:val="auto"/>
        </w:rPr>
      </w:r>
      <w:r w:rsidRPr="001C4B96">
        <w:rPr>
          <w:color w:val="auto"/>
        </w:rPr>
        <w:fldChar w:fldCharType="separate"/>
      </w:r>
      <w:r w:rsidRPr="001C4B96">
        <w:rPr>
          <w:color w:val="auto"/>
        </w:rPr>
        <w:t>190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92</w:t>
      </w:r>
      <w:r w:rsidRPr="001C4B96">
        <w:rPr>
          <w:color w:val="auto"/>
        </w:rPr>
        <w:t xml:space="preserve"> VDI Standard e Premium Suites</w:t>
      </w:r>
      <w:r w:rsidRPr="001C4B96">
        <w:rPr>
          <w:color w:val="auto"/>
        </w:rPr>
        <w:tab/>
      </w:r>
      <w:r w:rsidRPr="001C4B96">
        <w:rPr>
          <w:color w:val="auto"/>
        </w:rPr>
        <w:fldChar w:fldCharType="begin"/>
      </w:r>
      <w:r w:rsidRPr="001C4B96">
        <w:rPr>
          <w:color w:val="auto"/>
        </w:rPr>
        <w:instrText xml:space="preserve"> PAGEREF _Toc352234418 \h </w:instrText>
      </w:r>
      <w:r w:rsidRPr="001C4B96">
        <w:rPr>
          <w:color w:val="auto"/>
        </w:rPr>
      </w:r>
      <w:r w:rsidRPr="001C4B96">
        <w:rPr>
          <w:color w:val="auto"/>
        </w:rPr>
        <w:fldChar w:fldCharType="separate"/>
      </w:r>
      <w:r w:rsidRPr="001C4B96">
        <w:rPr>
          <w:color w:val="auto"/>
        </w:rPr>
        <w:t>190</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93</w:t>
      </w:r>
      <w:r w:rsidRPr="001C4B96">
        <w:rPr>
          <w:color w:val="auto"/>
        </w:rPr>
        <w:t xml:space="preserve"> Vexcel Server e Vexcel Server com Pacote de Conteúdo Aprimorado</w:t>
      </w:r>
      <w:r w:rsidRPr="001C4B96">
        <w:rPr>
          <w:color w:val="auto"/>
        </w:rPr>
        <w:tab/>
      </w:r>
      <w:r w:rsidRPr="001C4B96">
        <w:rPr>
          <w:color w:val="auto"/>
        </w:rPr>
        <w:fldChar w:fldCharType="begin"/>
      </w:r>
      <w:r w:rsidRPr="001C4B96">
        <w:rPr>
          <w:color w:val="auto"/>
        </w:rPr>
        <w:instrText xml:space="preserve"> PAGEREF _Toc352234419 \h </w:instrText>
      </w:r>
      <w:r w:rsidRPr="001C4B96">
        <w:rPr>
          <w:color w:val="auto"/>
        </w:rPr>
      </w:r>
      <w:r w:rsidRPr="001C4B96">
        <w:rPr>
          <w:color w:val="auto"/>
        </w:rPr>
        <w:fldChar w:fldCharType="separate"/>
      </w:r>
      <w:r w:rsidRPr="001C4B96">
        <w:rPr>
          <w:color w:val="auto"/>
        </w:rPr>
        <w:t>190</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94</w:t>
      </w:r>
      <w:r w:rsidRPr="001C4B96">
        <w:t xml:space="preserve"> </w:t>
      </w:r>
      <w:r w:rsidRPr="001C4B96">
        <w:rPr>
          <w:rFonts w:cs="Tahoma"/>
        </w:rPr>
        <w:t>Serviços do Windows Azure</w:t>
      </w:r>
      <w:r w:rsidRPr="001C4B96">
        <w:tab/>
      </w:r>
      <w:r w:rsidRPr="001C4B96">
        <w:fldChar w:fldCharType="begin"/>
      </w:r>
      <w:r w:rsidRPr="001C4B96">
        <w:instrText xml:space="preserve"> PAGEREF _Toc352234420 \h </w:instrText>
      </w:r>
      <w:r w:rsidRPr="001C4B96">
        <w:fldChar w:fldCharType="separate"/>
      </w:r>
      <w:r w:rsidRPr="001C4B96">
        <w:t>190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95</w:t>
      </w:r>
      <w:r w:rsidRPr="001C4B96">
        <w:rPr>
          <w:rFonts w:cs="Tahoma"/>
        </w:rPr>
        <w:t xml:space="preserve"> Windows Embedded Device Manager 2011 – Licença do Servidor de</w:t>
      </w:r>
      <w:r w:rsidRPr="001C4B96">
        <w:rPr>
          <w:rFonts w:cs="Tahoma"/>
          <w:lang w:val="pt-BR"/>
        </w:rPr>
        <w:t> </w:t>
      </w:r>
      <w:r w:rsidRPr="001C4B96">
        <w:rPr>
          <w:rFonts w:cs="Tahoma"/>
        </w:rPr>
        <w:t>Gerenciamento</w:t>
      </w:r>
      <w:r w:rsidRPr="001C4B96">
        <w:tab/>
      </w:r>
      <w:r w:rsidRPr="001C4B96">
        <w:fldChar w:fldCharType="begin"/>
      </w:r>
      <w:r w:rsidRPr="001C4B96">
        <w:instrText xml:space="preserve"> PAGEREF _Toc352234421 \h </w:instrText>
      </w:r>
      <w:r w:rsidRPr="001C4B96">
        <w:fldChar w:fldCharType="separate"/>
      </w:r>
      <w:r w:rsidRPr="001C4B96">
        <w:t>190</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96</w:t>
      </w:r>
      <w:r w:rsidRPr="001C4B96">
        <w:rPr>
          <w:rFonts w:cs="Tahoma"/>
        </w:rPr>
        <w:t xml:space="preserve"> Windows Embedded Device Manager 2011 – Licença de Gerenciamento de Clientes</w:t>
      </w:r>
      <w:r w:rsidRPr="001C4B96">
        <w:tab/>
      </w:r>
      <w:r w:rsidRPr="001C4B96">
        <w:fldChar w:fldCharType="begin"/>
      </w:r>
      <w:r w:rsidRPr="001C4B96">
        <w:instrText xml:space="preserve"> PAGEREF _Toc352234422 \h </w:instrText>
      </w:r>
      <w:r w:rsidRPr="001C4B96">
        <w:fldChar w:fldCharType="separate"/>
      </w:r>
      <w:r w:rsidRPr="001C4B96">
        <w:t>191</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lastRenderedPageBreak/>
        <w:t>97</w:t>
      </w:r>
      <w:r w:rsidRPr="001C4B96">
        <w:rPr>
          <w:caps/>
          <w:color w:val="auto"/>
        </w:rPr>
        <w:t xml:space="preserve"> </w:t>
      </w:r>
      <w:r w:rsidRPr="001C4B96">
        <w:rPr>
          <w:color w:val="auto"/>
        </w:rPr>
        <w:t>Windows EBS 2008 Standard e EBS 2008 Premium</w:t>
      </w:r>
      <w:r w:rsidRPr="001C4B96">
        <w:rPr>
          <w:color w:val="auto"/>
        </w:rPr>
        <w:tab/>
      </w:r>
      <w:r w:rsidRPr="001C4B96">
        <w:rPr>
          <w:color w:val="auto"/>
        </w:rPr>
        <w:fldChar w:fldCharType="begin"/>
      </w:r>
      <w:r w:rsidRPr="001C4B96">
        <w:rPr>
          <w:color w:val="auto"/>
        </w:rPr>
        <w:instrText xml:space="preserve"> PAGEREF _Toc352234423 \h </w:instrText>
      </w:r>
      <w:r w:rsidRPr="001C4B96">
        <w:rPr>
          <w:color w:val="auto"/>
        </w:rPr>
      </w:r>
      <w:r w:rsidRPr="001C4B96">
        <w:rPr>
          <w:color w:val="auto"/>
        </w:rPr>
        <w:fldChar w:fldCharType="separate"/>
      </w:r>
      <w:r w:rsidRPr="001C4B96">
        <w:rPr>
          <w:color w:val="auto"/>
        </w:rPr>
        <w:t>192</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98</w:t>
      </w:r>
      <w:r w:rsidRPr="001C4B96">
        <w:rPr>
          <w:caps/>
          <w:color w:val="auto"/>
        </w:rPr>
        <w:t xml:space="preserve"> </w:t>
      </w:r>
      <w:r w:rsidRPr="001C4B96">
        <w:rPr>
          <w:color w:val="auto"/>
        </w:rPr>
        <w:t>Windows HPC Server 2008 R2 Suite</w:t>
      </w:r>
      <w:r w:rsidRPr="001C4B96">
        <w:rPr>
          <w:color w:val="auto"/>
        </w:rPr>
        <w:tab/>
      </w:r>
      <w:r w:rsidRPr="001C4B96">
        <w:rPr>
          <w:color w:val="auto"/>
        </w:rPr>
        <w:fldChar w:fldCharType="begin"/>
      </w:r>
      <w:r w:rsidRPr="001C4B96">
        <w:rPr>
          <w:color w:val="auto"/>
        </w:rPr>
        <w:instrText xml:space="preserve"> PAGEREF _Toc352234424 \h </w:instrText>
      </w:r>
      <w:r w:rsidRPr="001C4B96">
        <w:rPr>
          <w:color w:val="auto"/>
        </w:rPr>
      </w:r>
      <w:r w:rsidRPr="001C4B96">
        <w:rPr>
          <w:color w:val="auto"/>
        </w:rPr>
        <w:fldChar w:fldCharType="separate"/>
      </w:r>
      <w:r w:rsidRPr="001C4B96">
        <w:rPr>
          <w:color w:val="auto"/>
        </w:rPr>
        <w:t>194</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99</w:t>
      </w:r>
      <w:r w:rsidRPr="001C4B96">
        <w:rPr>
          <w:caps/>
        </w:rPr>
        <w:t xml:space="preserve"> </w:t>
      </w:r>
      <w:r w:rsidRPr="001C4B96">
        <w:rPr>
          <w:rFonts w:cs="Tahoma"/>
        </w:rPr>
        <w:t>Windows Multipoint Server 2012 Standard</w:t>
      </w:r>
      <w:r w:rsidRPr="001C4B96">
        <w:tab/>
      </w:r>
      <w:r w:rsidRPr="001C4B96">
        <w:fldChar w:fldCharType="begin"/>
      </w:r>
      <w:r w:rsidRPr="001C4B96">
        <w:instrText xml:space="preserve"> PAGEREF _Toc352234425 \h </w:instrText>
      </w:r>
      <w:r w:rsidRPr="001C4B96">
        <w:fldChar w:fldCharType="separate"/>
      </w:r>
      <w:r w:rsidRPr="001C4B96">
        <w:t>195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100</w:t>
      </w:r>
      <w:r w:rsidRPr="001C4B96">
        <w:rPr>
          <w:caps/>
        </w:rPr>
        <w:t xml:space="preserve"> </w:t>
      </w:r>
      <w:r w:rsidRPr="001C4B96">
        <w:rPr>
          <w:rFonts w:cs="Tahoma"/>
        </w:rPr>
        <w:t>Windows Multipoint Server 2012 Premium</w:t>
      </w:r>
      <w:r w:rsidRPr="001C4B96">
        <w:tab/>
      </w:r>
      <w:r w:rsidRPr="001C4B96">
        <w:fldChar w:fldCharType="begin"/>
      </w:r>
      <w:r w:rsidRPr="001C4B96">
        <w:instrText xml:space="preserve"> PAGEREF _Toc352234426 \h </w:instrText>
      </w:r>
      <w:r w:rsidRPr="001C4B96">
        <w:fldChar w:fldCharType="separate"/>
      </w:r>
      <w:r w:rsidRPr="001C4B96">
        <w:t>195</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101</w:t>
      </w:r>
      <w:r w:rsidRPr="001C4B96">
        <w:rPr>
          <w:rFonts w:cs="Tahoma"/>
        </w:rPr>
        <w:t xml:space="preserve"> CAL do Windows Multipoint Server 2012</w:t>
      </w:r>
      <w:r w:rsidRPr="001C4B96">
        <w:tab/>
      </w:r>
      <w:r w:rsidRPr="001C4B96">
        <w:fldChar w:fldCharType="begin"/>
      </w:r>
      <w:r w:rsidRPr="001C4B96">
        <w:instrText xml:space="preserve"> PAGEREF _Toc352234427 \h </w:instrText>
      </w:r>
      <w:r w:rsidRPr="001C4B96">
        <w:fldChar w:fldCharType="separate"/>
      </w:r>
      <w:r w:rsidRPr="001C4B96">
        <w:t>195</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102</w:t>
      </w:r>
      <w:r w:rsidRPr="001C4B96">
        <w:rPr>
          <w:color w:val="auto"/>
        </w:rPr>
        <w:t xml:space="preserve"> Windows Server 2008 R2 HPC Edition</w:t>
      </w:r>
      <w:r w:rsidRPr="001C4B96">
        <w:rPr>
          <w:color w:val="auto"/>
        </w:rPr>
        <w:tab/>
      </w:r>
      <w:r w:rsidRPr="001C4B96">
        <w:rPr>
          <w:color w:val="auto"/>
        </w:rPr>
        <w:fldChar w:fldCharType="begin"/>
      </w:r>
      <w:r w:rsidRPr="001C4B96">
        <w:rPr>
          <w:color w:val="auto"/>
        </w:rPr>
        <w:instrText xml:space="preserve"> PAGEREF _Toc352234428 \h </w:instrText>
      </w:r>
      <w:r w:rsidRPr="001C4B96">
        <w:rPr>
          <w:color w:val="auto"/>
        </w:rPr>
      </w:r>
      <w:r w:rsidRPr="001C4B96">
        <w:rPr>
          <w:color w:val="auto"/>
        </w:rPr>
        <w:fldChar w:fldCharType="separate"/>
      </w:r>
      <w:r w:rsidRPr="001C4B96">
        <w:rPr>
          <w:color w:val="auto"/>
        </w:rPr>
        <w:t>195</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103</w:t>
      </w:r>
      <w:r w:rsidRPr="001C4B96">
        <w:rPr>
          <w:color w:val="auto"/>
        </w:rPr>
        <w:t xml:space="preserve"> Windows Server 2008 R2 Enterprise</w:t>
      </w:r>
      <w:r w:rsidRPr="001C4B96">
        <w:rPr>
          <w:color w:val="auto"/>
        </w:rPr>
        <w:tab/>
      </w:r>
      <w:r w:rsidRPr="001C4B96">
        <w:rPr>
          <w:color w:val="auto"/>
        </w:rPr>
        <w:fldChar w:fldCharType="begin"/>
      </w:r>
      <w:r w:rsidRPr="001C4B96">
        <w:rPr>
          <w:color w:val="auto"/>
        </w:rPr>
        <w:instrText xml:space="preserve"> PAGEREF _Toc352234429 \h </w:instrText>
      </w:r>
      <w:r w:rsidRPr="001C4B96">
        <w:rPr>
          <w:color w:val="auto"/>
        </w:rPr>
      </w:r>
      <w:r w:rsidRPr="001C4B96">
        <w:rPr>
          <w:color w:val="auto"/>
        </w:rPr>
        <w:fldChar w:fldCharType="separate"/>
      </w:r>
      <w:r w:rsidRPr="001C4B96">
        <w:rPr>
          <w:color w:val="auto"/>
        </w:rPr>
        <w:t>196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lang w:val="pt-BR"/>
        </w:rPr>
        <w:t>104</w:t>
      </w:r>
      <w:r w:rsidRPr="001C4B96">
        <w:rPr>
          <w:color w:val="auto"/>
          <w:lang w:val="pt-BR"/>
        </w:rPr>
        <w:t xml:space="preserve"> Windows Server 2008 R2 para Sistemas Baseados em Itanium</w:t>
      </w:r>
      <w:r w:rsidRPr="001C4B96">
        <w:rPr>
          <w:color w:val="auto"/>
        </w:rPr>
        <w:tab/>
      </w:r>
      <w:r w:rsidRPr="001C4B96">
        <w:rPr>
          <w:color w:val="auto"/>
        </w:rPr>
        <w:fldChar w:fldCharType="begin"/>
      </w:r>
      <w:r w:rsidRPr="001C4B96">
        <w:rPr>
          <w:color w:val="auto"/>
        </w:rPr>
        <w:instrText xml:space="preserve"> PAGEREF _Toc352234430 \h </w:instrText>
      </w:r>
      <w:r w:rsidRPr="001C4B96">
        <w:rPr>
          <w:color w:val="auto"/>
        </w:rPr>
      </w:r>
      <w:r w:rsidRPr="001C4B96">
        <w:rPr>
          <w:color w:val="auto"/>
        </w:rPr>
        <w:fldChar w:fldCharType="separate"/>
      </w:r>
      <w:r w:rsidRPr="001C4B96">
        <w:rPr>
          <w:color w:val="auto"/>
        </w:rPr>
        <w:t>196</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105</w:t>
      </w:r>
      <w:r w:rsidRPr="001C4B96">
        <w:rPr>
          <w:caps/>
          <w:color w:val="auto"/>
        </w:rPr>
        <w:t xml:space="preserve"> </w:t>
      </w:r>
      <w:r w:rsidRPr="001C4B96">
        <w:rPr>
          <w:color w:val="auto"/>
        </w:rPr>
        <w:t>CAL do Windows Server 2012</w:t>
      </w:r>
      <w:r w:rsidRPr="001C4B96">
        <w:rPr>
          <w:color w:val="auto"/>
        </w:rPr>
        <w:tab/>
      </w:r>
      <w:r w:rsidRPr="001C4B96">
        <w:rPr>
          <w:color w:val="auto"/>
        </w:rPr>
        <w:fldChar w:fldCharType="begin"/>
      </w:r>
      <w:r w:rsidRPr="001C4B96">
        <w:rPr>
          <w:color w:val="auto"/>
        </w:rPr>
        <w:instrText xml:space="preserve"> PAGEREF _Toc352234431 \h </w:instrText>
      </w:r>
      <w:r w:rsidRPr="001C4B96">
        <w:rPr>
          <w:color w:val="auto"/>
        </w:rPr>
      </w:r>
      <w:r w:rsidRPr="001C4B96">
        <w:rPr>
          <w:color w:val="auto"/>
        </w:rPr>
        <w:fldChar w:fldCharType="separate"/>
      </w:r>
      <w:r w:rsidRPr="001C4B96">
        <w:rPr>
          <w:color w:val="auto"/>
        </w:rPr>
        <w:t>197</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106</w:t>
      </w:r>
      <w:r w:rsidRPr="001C4B96">
        <w:rPr>
          <w:caps/>
          <w:color w:val="auto"/>
        </w:rPr>
        <w:t xml:space="preserve"> </w:t>
      </w:r>
      <w:r w:rsidRPr="001C4B96">
        <w:rPr>
          <w:color w:val="auto"/>
        </w:rPr>
        <w:t>Windows Server 2008 R2 Datacenter</w:t>
      </w:r>
      <w:r w:rsidRPr="001C4B96">
        <w:rPr>
          <w:color w:val="auto"/>
        </w:rPr>
        <w:tab/>
      </w:r>
      <w:r w:rsidRPr="001C4B96">
        <w:rPr>
          <w:color w:val="auto"/>
        </w:rPr>
        <w:fldChar w:fldCharType="begin"/>
      </w:r>
      <w:r w:rsidRPr="001C4B96">
        <w:rPr>
          <w:color w:val="auto"/>
        </w:rPr>
        <w:instrText xml:space="preserve"> PAGEREF _Toc352234432 \h </w:instrText>
      </w:r>
      <w:r w:rsidRPr="001C4B96">
        <w:rPr>
          <w:color w:val="auto"/>
        </w:rPr>
      </w:r>
      <w:r w:rsidRPr="001C4B96">
        <w:rPr>
          <w:color w:val="auto"/>
        </w:rPr>
        <w:fldChar w:fldCharType="separate"/>
      </w:r>
      <w:r w:rsidRPr="001C4B96">
        <w:rPr>
          <w:color w:val="auto"/>
        </w:rPr>
        <w:t>198</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107</w:t>
      </w:r>
      <w:r w:rsidRPr="001C4B96">
        <w:rPr>
          <w:caps/>
          <w:color w:val="auto"/>
        </w:rPr>
        <w:t xml:space="preserve"> </w:t>
      </w:r>
      <w:r w:rsidRPr="001C4B96">
        <w:rPr>
          <w:color w:val="auto"/>
        </w:rPr>
        <w:t>Windows Server 2008 R2 Standard</w:t>
      </w:r>
      <w:r w:rsidRPr="001C4B96">
        <w:rPr>
          <w:color w:val="auto"/>
        </w:rPr>
        <w:tab/>
      </w:r>
      <w:r w:rsidRPr="001C4B96">
        <w:rPr>
          <w:color w:val="auto"/>
        </w:rPr>
        <w:fldChar w:fldCharType="begin"/>
      </w:r>
      <w:r w:rsidRPr="001C4B96">
        <w:rPr>
          <w:color w:val="auto"/>
        </w:rPr>
        <w:instrText xml:space="preserve"> PAGEREF _Toc352234433 \h </w:instrText>
      </w:r>
      <w:r w:rsidRPr="001C4B96">
        <w:rPr>
          <w:color w:val="auto"/>
        </w:rPr>
      </w:r>
      <w:r w:rsidRPr="001C4B96">
        <w:rPr>
          <w:color w:val="auto"/>
        </w:rPr>
        <w:fldChar w:fldCharType="separate"/>
      </w:r>
      <w:r w:rsidRPr="001C4B96">
        <w:rPr>
          <w:color w:val="auto"/>
        </w:rPr>
        <w:t>199</w:t>
      </w:r>
      <w:r w:rsidRPr="001C4B96">
        <w:rPr>
          <w:color w:val="auto"/>
        </w:rPr>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108</w:t>
      </w:r>
      <w:r w:rsidRPr="001C4B96">
        <w:rPr>
          <w:color w:val="auto"/>
        </w:rPr>
        <w:t xml:space="preserve"> Windows Web Server</w:t>
      </w:r>
      <w:r w:rsidRPr="001C4B96">
        <w:rPr>
          <w:color w:val="auto"/>
          <w:vertAlign w:val="superscript"/>
        </w:rPr>
        <w:t>®</w:t>
      </w:r>
      <w:r w:rsidRPr="001C4B96">
        <w:rPr>
          <w:color w:val="auto"/>
        </w:rPr>
        <w:t xml:space="preserve"> 2008 R2</w:t>
      </w:r>
      <w:r w:rsidRPr="001C4B96">
        <w:rPr>
          <w:color w:val="auto"/>
        </w:rPr>
        <w:tab/>
      </w:r>
      <w:r w:rsidRPr="001C4B96">
        <w:rPr>
          <w:color w:val="auto"/>
        </w:rPr>
        <w:fldChar w:fldCharType="begin"/>
      </w:r>
      <w:r w:rsidRPr="001C4B96">
        <w:rPr>
          <w:color w:val="auto"/>
        </w:rPr>
        <w:instrText xml:space="preserve"> PAGEREF _Toc352234434 \h </w:instrText>
      </w:r>
      <w:r w:rsidRPr="001C4B96">
        <w:rPr>
          <w:color w:val="auto"/>
        </w:rPr>
      </w:r>
      <w:r w:rsidRPr="001C4B96">
        <w:rPr>
          <w:color w:val="auto"/>
        </w:rPr>
        <w:fldChar w:fldCharType="separate"/>
      </w:r>
      <w:r w:rsidRPr="001C4B96">
        <w:rPr>
          <w:color w:val="auto"/>
        </w:rPr>
        <w:t>199</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109</w:t>
      </w:r>
      <w:r w:rsidRPr="001C4B96">
        <w:rPr>
          <w:rFonts w:cs="Tahoma"/>
        </w:rPr>
        <w:t xml:space="preserve"> Windows Small Business Server (SBS) 2008 Premium</w:t>
      </w:r>
      <w:r w:rsidRPr="001C4B96">
        <w:tab/>
      </w:r>
      <w:r w:rsidRPr="001C4B96">
        <w:fldChar w:fldCharType="begin"/>
      </w:r>
      <w:r w:rsidRPr="001C4B96">
        <w:instrText xml:space="preserve"> PAGEREF _Toc352234435 \h </w:instrText>
      </w:r>
      <w:r w:rsidRPr="001C4B96">
        <w:fldChar w:fldCharType="separate"/>
      </w:r>
      <w:r w:rsidRPr="001C4B96">
        <w:t>200</w:t>
      </w:r>
      <w:r w:rsidRPr="001C4B96">
        <w:fldChar w:fldCharType="end"/>
      </w:r>
    </w:p>
    <w:p w:rsidR="001C4B96" w:rsidRPr="001C4B96" w:rsidRDefault="001C4B96">
      <w:pPr>
        <w:pStyle w:val="TOC3"/>
        <w:rPr>
          <w:rFonts w:asciiTheme="minorHAnsi" w:eastAsiaTheme="minorEastAsia" w:hAnsiTheme="minorHAnsi" w:cstheme="minorBidi"/>
          <w:bCs w:val="0"/>
          <w:color w:val="auto"/>
          <w:sz w:val="22"/>
          <w:szCs w:val="22"/>
        </w:rPr>
      </w:pPr>
      <w:r w:rsidRPr="001C4B96">
        <w:rPr>
          <w:caps/>
          <w:color w:val="auto"/>
          <w:vertAlign w:val="superscript"/>
        </w:rPr>
        <w:t>110</w:t>
      </w:r>
      <w:r w:rsidRPr="001C4B96">
        <w:rPr>
          <w:color w:val="auto"/>
        </w:rPr>
        <w:t xml:space="preserve"> Windows Small Business Server (SBS) 2011 Standard</w:t>
      </w:r>
      <w:r w:rsidRPr="001C4B96">
        <w:rPr>
          <w:color w:val="auto"/>
        </w:rPr>
        <w:tab/>
      </w:r>
      <w:r w:rsidRPr="001C4B96">
        <w:rPr>
          <w:color w:val="auto"/>
        </w:rPr>
        <w:fldChar w:fldCharType="begin"/>
      </w:r>
      <w:r w:rsidRPr="001C4B96">
        <w:rPr>
          <w:color w:val="auto"/>
        </w:rPr>
        <w:instrText xml:space="preserve"> PAGEREF _Toc352234436 \h </w:instrText>
      </w:r>
      <w:r w:rsidRPr="001C4B96">
        <w:rPr>
          <w:color w:val="auto"/>
        </w:rPr>
      </w:r>
      <w:r w:rsidRPr="001C4B96">
        <w:rPr>
          <w:color w:val="auto"/>
        </w:rPr>
        <w:fldChar w:fldCharType="separate"/>
      </w:r>
      <w:r w:rsidRPr="001C4B96">
        <w:rPr>
          <w:color w:val="auto"/>
        </w:rPr>
        <w:t>201</w:t>
      </w:r>
      <w:r w:rsidRPr="001C4B96">
        <w:rPr>
          <w:color w:val="auto"/>
        </w:rPr>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111</w:t>
      </w:r>
      <w:r w:rsidRPr="001C4B96">
        <w:rPr>
          <w:rFonts w:cs="Tahoma"/>
          <w:caps/>
        </w:rPr>
        <w:t xml:space="preserve"> </w:t>
      </w:r>
      <w:r w:rsidRPr="001C4B96">
        <w:rPr>
          <w:rFonts w:cs="Tahoma"/>
        </w:rPr>
        <w:t>Pacote de CALs do Windows Small Business Server (SBS) 2011</w:t>
      </w:r>
      <w:r w:rsidRPr="001C4B96">
        <w:tab/>
      </w:r>
      <w:r w:rsidRPr="001C4B96">
        <w:fldChar w:fldCharType="begin"/>
      </w:r>
      <w:r w:rsidRPr="001C4B96">
        <w:instrText xml:space="preserve"> PAGEREF _Toc352234437 \h </w:instrText>
      </w:r>
      <w:r w:rsidRPr="001C4B96">
        <w:fldChar w:fldCharType="separate"/>
      </w:r>
      <w:r w:rsidRPr="001C4B96">
        <w:t>201</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112</w:t>
      </w:r>
      <w:r w:rsidRPr="001C4B96">
        <w:rPr>
          <w:rFonts w:cs="Tahoma"/>
          <w:caps/>
        </w:rPr>
        <w:t xml:space="preserve"> </w:t>
      </w:r>
      <w:r w:rsidRPr="001C4B96">
        <w:rPr>
          <w:rFonts w:cs="Tahoma"/>
        </w:rPr>
        <w:t>Complemento do Windows Small Business Server (SBS) 2011 Premium</w:t>
      </w:r>
      <w:r w:rsidRPr="001C4B96">
        <w:tab/>
      </w:r>
      <w:r w:rsidRPr="001C4B96">
        <w:fldChar w:fldCharType="begin"/>
      </w:r>
      <w:r w:rsidRPr="001C4B96">
        <w:instrText xml:space="preserve"> PAGEREF _Toc352234438 \h </w:instrText>
      </w:r>
      <w:r w:rsidRPr="001C4B96">
        <w:fldChar w:fldCharType="separate"/>
      </w:r>
      <w:r w:rsidRPr="001C4B96">
        <w:t>202</w:t>
      </w:r>
      <w:r w:rsidRPr="001C4B96">
        <w:fldChar w:fldCharType="end"/>
      </w:r>
    </w:p>
    <w:p w:rsidR="001C4B96" w:rsidRPr="001C4B96" w:rsidRDefault="001C4B96">
      <w:pPr>
        <w:pStyle w:val="TOC2"/>
        <w:rPr>
          <w:rFonts w:asciiTheme="minorHAnsi" w:eastAsiaTheme="minorEastAsia" w:hAnsiTheme="minorHAnsi" w:cstheme="minorBidi"/>
          <w:sz w:val="22"/>
          <w:szCs w:val="22"/>
        </w:rPr>
      </w:pPr>
      <w:r w:rsidRPr="001C4B96">
        <w:rPr>
          <w:rFonts w:cs="Tahoma"/>
          <w:caps/>
          <w:vertAlign w:val="superscript"/>
        </w:rPr>
        <w:t>113</w:t>
      </w:r>
      <w:r w:rsidRPr="001C4B96">
        <w:rPr>
          <w:rFonts w:cs="Tahoma"/>
        </w:rPr>
        <w:t xml:space="preserve"> Pacote de CALs Complementares do Windows Small Business Server </w:t>
      </w:r>
      <w:r w:rsidRPr="001C4B96">
        <w:rPr>
          <w:rFonts w:cs="Tahoma"/>
          <w:lang w:val="pt-BR"/>
        </w:rPr>
        <w:t xml:space="preserve"> </w:t>
      </w:r>
      <w:r w:rsidRPr="001C4B96">
        <w:rPr>
          <w:rFonts w:cs="Tahoma"/>
        </w:rPr>
        <w:t>(SBS) 2011 Premium</w:t>
      </w:r>
      <w:r w:rsidRPr="001C4B96">
        <w:tab/>
      </w:r>
      <w:r w:rsidRPr="001C4B96">
        <w:fldChar w:fldCharType="begin"/>
      </w:r>
      <w:r w:rsidRPr="001C4B96">
        <w:instrText xml:space="preserve"> PAGEREF _Toc352234439 \h </w:instrText>
      </w:r>
      <w:r w:rsidRPr="001C4B96">
        <w:fldChar w:fldCharType="separate"/>
      </w:r>
      <w:r w:rsidRPr="001C4B96">
        <w:t>203</w:t>
      </w:r>
      <w:r w:rsidRPr="001C4B96">
        <w:fldChar w:fldCharType="end"/>
      </w:r>
    </w:p>
    <w:p w:rsidR="001C4B96" w:rsidRDefault="001C4B96">
      <w:pPr>
        <w:pStyle w:val="TOC2"/>
        <w:rPr>
          <w:rFonts w:asciiTheme="minorHAnsi" w:eastAsiaTheme="minorEastAsia" w:hAnsiTheme="minorHAnsi" w:cstheme="minorBidi"/>
          <w:sz w:val="22"/>
          <w:szCs w:val="22"/>
        </w:rPr>
      </w:pPr>
      <w:r w:rsidRPr="001C4B96">
        <w:rPr>
          <w:rFonts w:cs="Tahoma"/>
          <w:vertAlign w:val="superscript"/>
        </w:rPr>
        <w:t>114</w:t>
      </w:r>
      <w:r w:rsidRPr="001C4B96">
        <w:rPr>
          <w:rFonts w:cs="Tahoma"/>
        </w:rPr>
        <w:t xml:space="preserve"> Windows Small Business Server 2011 Essentials</w:t>
      </w:r>
      <w:r>
        <w:tab/>
      </w:r>
      <w:r>
        <w:fldChar w:fldCharType="begin"/>
      </w:r>
      <w:r>
        <w:instrText xml:space="preserve"> PAGEREF _Toc352234440 \h </w:instrText>
      </w:r>
      <w:r>
        <w:fldChar w:fldCharType="separate"/>
      </w:r>
      <w:r>
        <w:t>204</w:t>
      </w:r>
      <w:r>
        <w:fldChar w:fldCharType="end"/>
      </w:r>
    </w:p>
    <w:p w:rsidR="007E0CC6" w:rsidRPr="00416070" w:rsidRDefault="005B0EC7" w:rsidP="00461CA9">
      <w:pPr>
        <w:pStyle w:val="TOC4"/>
        <w:tabs>
          <w:tab w:val="clear" w:pos="9360"/>
          <w:tab w:val="center" w:pos="4680"/>
        </w:tabs>
      </w:pPr>
      <w:r w:rsidRPr="00416070">
        <w:rPr>
          <w:rFonts w:cs="Tahoma"/>
          <w:szCs w:val="18"/>
        </w:rPr>
        <w:fldChar w:fldCharType="end"/>
      </w:r>
    </w:p>
    <w:p w:rsidR="00023FE7" w:rsidRPr="00416070" w:rsidRDefault="00ED3854" w:rsidP="007E0CC6">
      <w:pPr>
        <w:pStyle w:val="Heading2"/>
      </w:pPr>
      <w:bookmarkStart w:id="9" w:name="_Toc246850065"/>
      <w:r w:rsidRPr="00416070">
        <w:rPr>
          <w:rFonts w:ascii="Tahoma" w:hAnsi="Tahoma" w:cs="Tahoma"/>
          <w:sz w:val="36"/>
        </w:rPr>
        <w:br w:type="page"/>
      </w:r>
      <w:bookmarkStart w:id="10" w:name="_Toc336337840"/>
      <w:bookmarkStart w:id="11" w:name="_Toc352233917"/>
      <w:r w:rsidRPr="00416070">
        <w:rPr>
          <w:rFonts w:ascii="Tahoma" w:hAnsi="Tahoma" w:cs="Tahoma"/>
          <w:sz w:val="36"/>
        </w:rPr>
        <w:lastRenderedPageBreak/>
        <w:t>Legenda da Tabela</w:t>
      </w:r>
      <w:bookmarkEnd w:id="9"/>
      <w:bookmarkEnd w:id="10"/>
      <w:bookmarkEnd w:id="11"/>
    </w:p>
    <w:p w:rsidR="00023FE7" w:rsidRPr="002E114F" w:rsidRDefault="00023FE7">
      <w:pPr>
        <w:pStyle w:val="ChartKeyHeadings"/>
        <w:ind w:right="-180"/>
        <w:rPr>
          <w:rFonts w:ascii="Tahoma" w:hAnsi="Tahoma" w:cs="Tahoma"/>
          <w:b w:val="0"/>
          <w:bCs/>
          <w:sz w:val="18"/>
          <w:szCs w:val="12"/>
          <w:lang w:val="pt-BR"/>
        </w:rPr>
      </w:pPr>
    </w:p>
    <w:p w:rsidR="00023FE7" w:rsidRPr="002E114F" w:rsidRDefault="00023FE7">
      <w:pPr>
        <w:pStyle w:val="ChartKeyHeadings"/>
        <w:ind w:right="-180"/>
        <w:rPr>
          <w:rFonts w:ascii="Tahoma" w:hAnsi="Tahoma" w:cs="Tahoma"/>
          <w:lang w:val="pt-BR"/>
        </w:rPr>
      </w:pPr>
      <w:r w:rsidRPr="002E114F">
        <w:rPr>
          <w:rFonts w:ascii="Tahoma" w:hAnsi="Tahoma" w:cs="Tahoma"/>
          <w:szCs w:val="24"/>
          <w:lang w:val="pt-BR"/>
        </w:rPr>
        <w:t>Títulos das colunas</w:t>
      </w:r>
    </w:p>
    <w:p w:rsidR="00023FE7" w:rsidRPr="002E114F" w:rsidRDefault="00023FE7">
      <w:pPr>
        <w:pStyle w:val="ChartKeyHeadings"/>
        <w:ind w:right="-180"/>
        <w:rPr>
          <w:rFonts w:ascii="Tahoma" w:hAnsi="Tahoma" w:cs="Tahoma"/>
          <w:b w:val="0"/>
          <w:bCs/>
          <w:sz w:val="18"/>
          <w:szCs w:val="12"/>
          <w:lang w:val="pt-BR"/>
        </w:rPr>
      </w:pPr>
    </w:p>
    <w:p w:rsidR="00664EE9" w:rsidRPr="002E114F" w:rsidRDefault="00664EE9" w:rsidP="00664EE9">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color w:val="000000"/>
          <w:sz w:val="18"/>
          <w:szCs w:val="18"/>
          <w:lang w:val="pt-BR"/>
        </w:rPr>
        <w:t>Unidades Campus e School =</w:t>
      </w:r>
      <w:r w:rsidRPr="002E114F">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 Os</w:t>
      </w:r>
      <w:r w:rsidR="00114999" w:rsidRPr="002E114F">
        <w:rPr>
          <w:rFonts w:ascii="Tahoma" w:hAnsi="Tahoma" w:cs="Tahoma"/>
          <w:color w:val="000000"/>
          <w:sz w:val="18"/>
          <w:szCs w:val="18"/>
          <w:lang w:val="pt-BR"/>
        </w:rPr>
        <w:t> </w:t>
      </w:r>
      <w:r w:rsidRPr="002E114F">
        <w:rPr>
          <w:rFonts w:ascii="Tahoma" w:hAnsi="Tahoma" w:cs="Tahoma"/>
          <w:color w:val="000000"/>
          <w:sz w:val="18"/>
          <w:szCs w:val="18"/>
          <w:lang w:val="pt-BR"/>
        </w:rPr>
        <w:t>produtos</w:t>
      </w:r>
      <w:r w:rsidR="00114999" w:rsidRPr="002E114F">
        <w:rPr>
          <w:rFonts w:ascii="Tahoma" w:hAnsi="Tahoma" w:cs="Tahoma"/>
          <w:color w:val="000000"/>
          <w:sz w:val="18"/>
          <w:szCs w:val="18"/>
          <w:lang w:val="pt-BR"/>
        </w:rPr>
        <w:t> </w:t>
      </w:r>
      <w:r w:rsidRPr="002E114F">
        <w:rPr>
          <w:rFonts w:ascii="Tahoma" w:hAnsi="Tahoma" w:cs="Tahoma"/>
          <w:color w:val="000000"/>
          <w:sz w:val="18"/>
          <w:szCs w:val="18"/>
          <w:lang w:val="pt-BR"/>
        </w:rPr>
        <w:t>não são oferecidos nesses programas quando a coluna CA/SA está vazia.</w:t>
      </w:r>
    </w:p>
    <w:p w:rsidR="00023FE7" w:rsidRPr="002E114F" w:rsidRDefault="00023FE7">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Data disponível =</w:t>
      </w:r>
      <w:r w:rsidRPr="002E114F">
        <w:rPr>
          <w:rStyle w:val="BodyChar"/>
          <w:rFonts w:ascii="Tahoma" w:hAnsi="Tahoma" w:cs="Tahoma"/>
          <w:sz w:val="18"/>
          <w:szCs w:val="18"/>
          <w:lang w:val="pt-BR"/>
        </w:rPr>
        <w:t xml:space="preserve"> Esta é a data em que um produto está disponível pela primeira vez,</w:t>
      </w:r>
      <w:r w:rsidRPr="002E114F">
        <w:rPr>
          <w:rStyle w:val="BodyChar"/>
          <w:rFonts w:ascii="Tahoma" w:hAnsi="Tahoma" w:cs="Tahoma"/>
          <w:color w:val="000000"/>
          <w:sz w:val="18"/>
          <w:szCs w:val="18"/>
          <w:lang w:val="pt-BR"/>
        </w:rPr>
        <w:t xml:space="preserve"> designada como</w:t>
      </w:r>
      <w:r w:rsidR="00114999" w:rsidRPr="002E114F">
        <w:rPr>
          <w:rStyle w:val="BodyChar"/>
          <w:rFonts w:ascii="Tahoma" w:hAnsi="Tahoma" w:cs="Tahoma"/>
          <w:color w:val="000000"/>
          <w:sz w:val="18"/>
          <w:szCs w:val="18"/>
          <w:lang w:val="pt-BR"/>
        </w:rPr>
        <w:t> </w:t>
      </w:r>
      <w:r w:rsidRPr="002E114F">
        <w:rPr>
          <w:rStyle w:val="BodyChar"/>
          <w:rFonts w:ascii="Tahoma" w:hAnsi="Tahoma" w:cs="Tahoma"/>
          <w:color w:val="000000"/>
          <w:sz w:val="18"/>
          <w:szCs w:val="18"/>
          <w:lang w:val="pt-BR"/>
        </w:rPr>
        <w:t xml:space="preserve">mês/ano. </w:t>
      </w:r>
      <w:r w:rsidRPr="002E114F">
        <w:rPr>
          <w:rStyle w:val="BodyChar"/>
          <w:rFonts w:ascii="Tahoma" w:hAnsi="Tahoma" w:cs="Tahoma"/>
          <w:sz w:val="18"/>
          <w:szCs w:val="18"/>
          <w:lang w:val="pt-BR"/>
        </w:rPr>
        <w:t>Trata-se da data em que a Microsoft coloca as licenças desse produto à disposição para solicitação ou coloca o software desse produto à disposição para download no Centro de Atendimento de</w:t>
      </w:r>
      <w:r w:rsidR="00114999" w:rsidRPr="002E114F">
        <w:rPr>
          <w:rStyle w:val="BodyChar"/>
          <w:rFonts w:ascii="Tahoma" w:hAnsi="Tahoma" w:cs="Tahoma"/>
          <w:sz w:val="18"/>
          <w:szCs w:val="18"/>
          <w:lang w:val="pt-BR"/>
        </w:rPr>
        <w:t> </w:t>
      </w:r>
      <w:r w:rsidRPr="002E114F">
        <w:rPr>
          <w:rStyle w:val="BodyChar"/>
          <w:rFonts w:ascii="Tahoma" w:hAnsi="Tahoma" w:cs="Tahoma"/>
          <w:sz w:val="18"/>
          <w:szCs w:val="18"/>
          <w:lang w:val="pt-BR"/>
        </w:rPr>
        <w:t>Licenciamento por Volume (VLSC), o que ocorrer primeiro.</w:t>
      </w:r>
    </w:p>
    <w:p w:rsidR="00023FE7" w:rsidRPr="002E114F" w:rsidRDefault="00023FE7">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EA (Contrato Enterprise) =</w:t>
      </w:r>
      <w:r w:rsidRPr="002E114F">
        <w:rPr>
          <w:rFonts w:ascii="Tahoma" w:hAnsi="Tahoma" w:cs="Tahoma"/>
          <w:sz w:val="18"/>
          <w:szCs w:val="18"/>
          <w:lang w:val="pt-BR"/>
        </w:rPr>
        <w:t xml:space="preserve"> Contrato Enterprise 20xx.</w:t>
      </w:r>
    </w:p>
    <w:p w:rsidR="00023FE7" w:rsidRPr="002E114F" w:rsidRDefault="00023FE7">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EA Sub (Contrato Enterprise Subscription) =</w:t>
      </w:r>
      <w:r w:rsidRPr="002E114F">
        <w:rPr>
          <w:rStyle w:val="BodyChar"/>
          <w:rFonts w:ascii="Tahoma" w:hAnsi="Tahoma" w:cs="Tahoma"/>
          <w:sz w:val="18"/>
          <w:szCs w:val="18"/>
          <w:lang w:val="pt-BR"/>
        </w:rPr>
        <w:t xml:space="preserve"> </w:t>
      </w:r>
      <w:r w:rsidRPr="002E114F">
        <w:rPr>
          <w:rFonts w:ascii="Tahoma" w:hAnsi="Tahoma" w:cs="Tahoma"/>
          <w:sz w:val="18"/>
          <w:szCs w:val="18"/>
          <w:lang w:val="pt-BR"/>
        </w:rPr>
        <w:t>Contrato Enterprise Subscription 200x.</w:t>
      </w:r>
    </w:p>
    <w:p w:rsidR="00456002" w:rsidRPr="002E114F" w:rsidRDefault="00456002" w:rsidP="00456002">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Mínimo de Licenças Open =</w:t>
      </w:r>
      <w:r w:rsidRPr="002E114F">
        <w:rPr>
          <w:rFonts w:ascii="Tahoma" w:hAnsi="Tahoma" w:cs="Tahoma"/>
          <w:sz w:val="18"/>
          <w:szCs w:val="18"/>
          <w:lang w:val="pt-BR"/>
        </w:rPr>
        <w:t xml:space="preserve"> Cada Licença conta unicamente como cinco Licenças para fins do pedido inicial</w:t>
      </w:r>
      <w:r w:rsidR="00114999" w:rsidRPr="002E114F">
        <w:rPr>
          <w:rFonts w:ascii="Tahoma" w:hAnsi="Tahoma" w:cs="Tahoma"/>
          <w:sz w:val="18"/>
          <w:szCs w:val="18"/>
          <w:lang w:val="pt-BR"/>
        </w:rPr>
        <w:t> </w:t>
      </w:r>
      <w:r w:rsidRPr="002E114F">
        <w:rPr>
          <w:rFonts w:ascii="Tahoma" w:hAnsi="Tahoma" w:cs="Tahoma"/>
          <w:sz w:val="18"/>
          <w:szCs w:val="18"/>
          <w:lang w:val="pt-BR"/>
        </w:rPr>
        <w:t>mínimo nos programas Licença Open e/ou Open Value. O valor indica para qual programa essa condição</w:t>
      </w:r>
      <w:r w:rsidR="00114999" w:rsidRPr="002E114F">
        <w:rPr>
          <w:rFonts w:ascii="Tahoma" w:hAnsi="Tahoma" w:cs="Tahoma"/>
          <w:sz w:val="18"/>
          <w:szCs w:val="18"/>
          <w:lang w:val="pt-BR"/>
        </w:rPr>
        <w:t> </w:t>
      </w:r>
      <w:r w:rsidRPr="002E114F">
        <w:rPr>
          <w:rFonts w:ascii="Tahoma" w:hAnsi="Tahoma" w:cs="Tahoma"/>
          <w:sz w:val="18"/>
          <w:szCs w:val="18"/>
          <w:lang w:val="pt-BR"/>
        </w:rPr>
        <w:t>está em vigor.</w:t>
      </w:r>
    </w:p>
    <w:p w:rsidR="00456002" w:rsidRPr="002E114F" w:rsidRDefault="00456002" w:rsidP="00456002">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Licença Open =</w:t>
      </w:r>
      <w:r w:rsidRPr="002E114F">
        <w:rPr>
          <w:rFonts w:ascii="Tahoma" w:hAnsi="Tahoma" w:cs="Tahoma"/>
          <w:sz w:val="18"/>
          <w:szCs w:val="18"/>
          <w:lang w:val="pt-BR"/>
        </w:rPr>
        <w:t xml:space="preserve"> O componente exclusivamente Licença Open dos Programas Open. A Licença Open inclui Licença Open, Licença Open para Academic, Licença Open para Government e Licença Open para Charity, onde estiverem disponíveis.</w:t>
      </w:r>
    </w:p>
    <w:p w:rsidR="00456002" w:rsidRPr="00AD1F35" w:rsidRDefault="00456002" w:rsidP="00456002">
      <w:pPr>
        <w:pStyle w:val="Bodywithspace"/>
        <w:spacing w:before="0" w:after="0" w:line="276" w:lineRule="auto"/>
        <w:ind w:right="-180"/>
        <w:rPr>
          <w:rFonts w:ascii="Tahoma" w:hAnsi="Tahoma" w:cs="Tahoma"/>
          <w:sz w:val="18"/>
          <w:szCs w:val="18"/>
        </w:rPr>
      </w:pPr>
      <w:r w:rsidRPr="00AD1F35">
        <w:rPr>
          <w:rStyle w:val="BodyChar"/>
          <w:rFonts w:ascii="Tahoma" w:hAnsi="Tahoma" w:cs="Tahoma"/>
          <w:b/>
          <w:sz w:val="18"/>
          <w:szCs w:val="18"/>
        </w:rPr>
        <w:t>Open Value (OV) =</w:t>
      </w:r>
      <w:r w:rsidRPr="00AD1F35">
        <w:rPr>
          <w:rFonts w:ascii="Tahoma" w:hAnsi="Tahoma" w:cs="Tahoma"/>
          <w:sz w:val="18"/>
          <w:szCs w:val="18"/>
        </w:rPr>
        <w:t xml:space="preserve"> Open Value inclui Open Value e Open Value for Government.</w:t>
      </w:r>
    </w:p>
    <w:p w:rsidR="00456002" w:rsidRPr="00AD1F35" w:rsidRDefault="00456002" w:rsidP="00456002">
      <w:pPr>
        <w:pStyle w:val="Bodywithspace"/>
        <w:spacing w:before="0" w:after="0" w:line="276" w:lineRule="auto"/>
        <w:ind w:right="-180"/>
        <w:rPr>
          <w:rFonts w:ascii="Tahoma" w:hAnsi="Tahoma" w:cs="Tahoma"/>
          <w:sz w:val="18"/>
          <w:szCs w:val="18"/>
        </w:rPr>
      </w:pPr>
      <w:r w:rsidRPr="00AD1F35">
        <w:rPr>
          <w:rStyle w:val="BodyChar"/>
          <w:rFonts w:ascii="Tahoma" w:hAnsi="Tahoma" w:cs="Tahoma"/>
          <w:b/>
          <w:sz w:val="18"/>
          <w:szCs w:val="18"/>
        </w:rPr>
        <w:t>Open Value Subscription (OVS) =</w:t>
      </w:r>
      <w:r w:rsidRPr="00AD1F35">
        <w:rPr>
          <w:rFonts w:ascii="Tahoma" w:hAnsi="Tahoma" w:cs="Tahoma"/>
          <w:sz w:val="18"/>
          <w:szCs w:val="18"/>
        </w:rPr>
        <w:t xml:space="preserve"> Open Value Subscription inclui Open Value Subscription e Open</w:t>
      </w:r>
      <w:r w:rsidR="008F208B" w:rsidRPr="00AD1F35">
        <w:rPr>
          <w:rFonts w:ascii="Tahoma" w:hAnsi="Tahoma" w:cs="Tahoma"/>
          <w:sz w:val="18"/>
          <w:szCs w:val="18"/>
        </w:rPr>
        <w:t> </w:t>
      </w:r>
      <w:r w:rsidRPr="00AD1F35">
        <w:rPr>
          <w:rFonts w:ascii="Tahoma" w:hAnsi="Tahoma" w:cs="Tahoma"/>
          <w:sz w:val="18"/>
          <w:szCs w:val="18"/>
        </w:rPr>
        <w:t>Value</w:t>
      </w:r>
      <w:r w:rsidR="008F208B" w:rsidRPr="00AD1F35">
        <w:rPr>
          <w:rFonts w:ascii="Tahoma" w:hAnsi="Tahoma" w:cs="Tahoma"/>
          <w:sz w:val="18"/>
          <w:szCs w:val="18"/>
        </w:rPr>
        <w:t> </w:t>
      </w:r>
      <w:r w:rsidRPr="00AD1F35">
        <w:rPr>
          <w:rFonts w:ascii="Tahoma" w:hAnsi="Tahoma" w:cs="Tahoma"/>
          <w:sz w:val="18"/>
          <w:szCs w:val="18"/>
        </w:rPr>
        <w:t xml:space="preserve">Subecription for Government. </w:t>
      </w:r>
    </w:p>
    <w:p w:rsidR="00456002" w:rsidRPr="00AD1F35" w:rsidRDefault="00456002" w:rsidP="00456002">
      <w:pPr>
        <w:pStyle w:val="Bodywithspace"/>
        <w:spacing w:before="0" w:after="0" w:line="276" w:lineRule="auto"/>
        <w:ind w:right="-180"/>
        <w:rPr>
          <w:rFonts w:ascii="Tahoma" w:hAnsi="Tahoma" w:cs="Tahoma"/>
          <w:sz w:val="18"/>
          <w:szCs w:val="18"/>
        </w:rPr>
      </w:pPr>
      <w:r w:rsidRPr="00AD1F35">
        <w:rPr>
          <w:rStyle w:val="BodyChar"/>
          <w:rFonts w:ascii="Tahoma" w:hAnsi="Tahoma" w:cs="Tahoma"/>
          <w:b/>
          <w:sz w:val="18"/>
          <w:szCs w:val="18"/>
        </w:rPr>
        <w:t>EES/OVS-ES =</w:t>
      </w:r>
      <w:r w:rsidRPr="00AD1F35">
        <w:rPr>
          <w:rStyle w:val="BodyChar"/>
          <w:rFonts w:ascii="Tahoma" w:hAnsi="Tahoma" w:cs="Tahoma"/>
          <w:sz w:val="18"/>
          <w:szCs w:val="18"/>
        </w:rPr>
        <w:t xml:space="preserve"> Enrollment for Education Solutions/Open Value Subscription – Education Solutions</w:t>
      </w:r>
    </w:p>
    <w:p w:rsidR="00456002" w:rsidRPr="002E114F" w:rsidRDefault="00456002" w:rsidP="00456002">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Promoções e Migrações =</w:t>
      </w:r>
      <w:r w:rsidRPr="002E114F">
        <w:rPr>
          <w:rFonts w:ascii="Tahoma" w:hAnsi="Tahoma" w:cs="Tahoma"/>
          <w:sz w:val="18"/>
          <w:szCs w:val="18"/>
          <w:lang w:val="pt-BR"/>
        </w:rPr>
        <w:t xml:space="preserve"> Há uma promoção ou migração de software disponível.</w:t>
      </w:r>
    </w:p>
    <w:p w:rsidR="00456002" w:rsidRPr="002E114F" w:rsidRDefault="00456002" w:rsidP="00456002">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SAB =</w:t>
      </w:r>
      <w:r w:rsidRPr="002E114F">
        <w:rPr>
          <w:rFonts w:ascii="Tahoma" w:hAnsi="Tahoma" w:cs="Tahoma"/>
          <w:sz w:val="18"/>
          <w:szCs w:val="18"/>
          <w:lang w:val="pt-BR"/>
        </w:rPr>
        <w:t xml:space="preserve"> Existem Benefícios do Software Assurance para clientes qualificados deste software.</w:t>
      </w:r>
    </w:p>
    <w:p w:rsidR="00456002" w:rsidRPr="002E114F" w:rsidRDefault="00456002" w:rsidP="00456002">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Select =</w:t>
      </w:r>
      <w:r w:rsidRPr="002E114F">
        <w:rPr>
          <w:rFonts w:ascii="Tahoma" w:hAnsi="Tahoma" w:cs="Tahoma"/>
          <w:sz w:val="18"/>
          <w:szCs w:val="18"/>
          <w:lang w:val="pt-BR"/>
        </w:rPr>
        <w:t xml:space="preserve"> Select 20xx. Também inclui Select para Academic e Select para Government.</w:t>
      </w:r>
    </w:p>
    <w:p w:rsidR="00456002" w:rsidRPr="002E114F" w:rsidRDefault="00456002" w:rsidP="00456002">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fr-FR"/>
        </w:rPr>
        <w:t>Select Plus</w:t>
      </w:r>
      <w:r w:rsidRPr="002E114F">
        <w:rPr>
          <w:rStyle w:val="BodyChar"/>
          <w:rFonts w:ascii="Tahoma" w:hAnsi="Tahoma" w:cs="Tahoma"/>
          <w:sz w:val="18"/>
          <w:szCs w:val="18"/>
          <w:lang w:val="fr-FR"/>
        </w:rPr>
        <w:t xml:space="preserve"> = Select Plus 20xx.</w:t>
      </w:r>
      <w:r w:rsidR="00FB5496" w:rsidRPr="002E114F">
        <w:rPr>
          <w:rStyle w:val="BodyChar"/>
          <w:rFonts w:ascii="Tahoma" w:hAnsi="Tahoma" w:cs="Tahoma"/>
          <w:sz w:val="18"/>
          <w:szCs w:val="18"/>
          <w:lang w:val="fr-FR"/>
        </w:rPr>
        <w:t xml:space="preserve"> </w:t>
      </w:r>
      <w:r w:rsidRPr="002E114F">
        <w:rPr>
          <w:rStyle w:val="BodyChar"/>
          <w:rFonts w:ascii="Tahoma" w:hAnsi="Tahoma" w:cs="Tahoma"/>
          <w:sz w:val="18"/>
          <w:szCs w:val="18"/>
          <w:lang w:val="pt-BR"/>
        </w:rPr>
        <w:t>Também inclui Select Plus para Academic e Select Plus para Government.</w:t>
      </w:r>
    </w:p>
    <w:p w:rsidR="00023FE7" w:rsidRPr="002E114F" w:rsidRDefault="00023FE7">
      <w:pPr>
        <w:pStyle w:val="Bodywithspace"/>
        <w:spacing w:before="0" w:after="0"/>
        <w:ind w:right="-180"/>
        <w:rPr>
          <w:rFonts w:ascii="Tahoma" w:hAnsi="Tahoma" w:cs="Tahoma"/>
          <w:sz w:val="18"/>
          <w:szCs w:val="18"/>
          <w:lang w:val="pt-BR"/>
        </w:rPr>
      </w:pPr>
    </w:p>
    <w:p w:rsidR="00023FE7" w:rsidRPr="002E114F" w:rsidRDefault="00023FE7">
      <w:pPr>
        <w:pStyle w:val="ChartKeyHeadings"/>
        <w:ind w:right="-180"/>
        <w:rPr>
          <w:rFonts w:ascii="Tahoma" w:hAnsi="Tahoma" w:cs="Tahoma"/>
          <w:lang w:val="pt-BR"/>
        </w:rPr>
      </w:pPr>
      <w:r w:rsidRPr="002E114F">
        <w:rPr>
          <w:rFonts w:ascii="Tahoma" w:hAnsi="Tahoma" w:cs="Tahoma"/>
          <w:szCs w:val="28"/>
          <w:lang w:val="pt-BR"/>
        </w:rPr>
        <w:t>Valores das colunas</w:t>
      </w:r>
    </w:p>
    <w:p w:rsidR="00023FE7" w:rsidRPr="002E114F" w:rsidRDefault="00023FE7">
      <w:pPr>
        <w:pStyle w:val="ChartKeyHeadings"/>
        <w:ind w:right="-180"/>
        <w:rPr>
          <w:rFonts w:ascii="Tahoma" w:hAnsi="Tahoma" w:cs="Tahoma"/>
          <w:sz w:val="18"/>
          <w:szCs w:val="18"/>
          <w:lang w:val="pt-BR"/>
        </w:rPr>
      </w:pPr>
    </w:p>
    <w:p w:rsidR="00023FE7" w:rsidRPr="002E114F" w:rsidRDefault="00023FE7" w:rsidP="00416070">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1An =</w:t>
      </w:r>
      <w:r w:rsidRPr="002E114F">
        <w:rPr>
          <w:rStyle w:val="BodyChar"/>
          <w:rFonts w:ascii="Tahoma" w:hAnsi="Tahoma" w:cs="Tahoma"/>
          <w:sz w:val="18"/>
          <w:szCs w:val="18"/>
          <w:lang w:val="pt-BR"/>
        </w:rPr>
        <w:t xml:space="preserve"> </w:t>
      </w:r>
      <w:r w:rsidRPr="002E114F">
        <w:rPr>
          <w:rFonts w:ascii="Tahoma" w:hAnsi="Tahoma" w:cs="Tahoma"/>
          <w:sz w:val="18"/>
          <w:szCs w:val="18"/>
          <w:lang w:val="pt-BR"/>
        </w:rPr>
        <w:t>(resta 1 ano do prazo do contrato).</w:t>
      </w:r>
    </w:p>
    <w:p w:rsidR="00023FE7" w:rsidRPr="002E114F" w:rsidRDefault="00023FE7" w:rsidP="00416070">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2An =</w:t>
      </w:r>
      <w:r w:rsidRPr="002E114F">
        <w:rPr>
          <w:rFonts w:ascii="Tahoma" w:hAnsi="Tahoma" w:cs="Tahoma"/>
          <w:sz w:val="18"/>
          <w:szCs w:val="18"/>
          <w:lang w:val="pt-BR"/>
        </w:rPr>
        <w:t xml:space="preserve"> (restam 2 anos do prazo do contrato).</w:t>
      </w:r>
    </w:p>
    <w:p w:rsidR="00023FE7" w:rsidRPr="002E114F" w:rsidRDefault="00023FE7" w:rsidP="00416070">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3An =</w:t>
      </w:r>
      <w:r w:rsidRPr="002E114F">
        <w:rPr>
          <w:rFonts w:ascii="Tahoma" w:hAnsi="Tahoma" w:cs="Tahoma"/>
          <w:sz w:val="18"/>
          <w:szCs w:val="18"/>
          <w:lang w:val="pt-BR"/>
        </w:rPr>
        <w:t xml:space="preserve"> (restam 3 anos do prazo do contrato).</w:t>
      </w:r>
    </w:p>
    <w:p w:rsidR="00023FE7" w:rsidRPr="002E114F" w:rsidRDefault="00023FE7" w:rsidP="00416070">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A =</w:t>
      </w:r>
      <w:r w:rsidRPr="002E114F">
        <w:rPr>
          <w:rFonts w:ascii="Tahoma" w:hAnsi="Tahoma" w:cs="Tahoma"/>
          <w:sz w:val="18"/>
          <w:szCs w:val="18"/>
          <w:lang w:val="pt-BR"/>
        </w:rPr>
        <w:t xml:space="preserve"> Indica que o software é oferecido como um produto adicional.</w:t>
      </w:r>
    </w:p>
    <w:p w:rsidR="009E22D0" w:rsidRPr="002E114F" w:rsidRDefault="009E22D0" w:rsidP="00416070">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AO</w:t>
      </w:r>
      <w:r w:rsidR="00FB5496" w:rsidRPr="002E114F">
        <w:rPr>
          <w:rStyle w:val="BodyChar"/>
          <w:rFonts w:ascii="Tahoma" w:hAnsi="Tahoma" w:cs="Tahoma"/>
          <w:sz w:val="18"/>
          <w:szCs w:val="18"/>
          <w:lang w:val="pt-BR"/>
        </w:rPr>
        <w:t xml:space="preserve"> </w:t>
      </w:r>
      <w:r w:rsidRPr="002E114F">
        <w:rPr>
          <w:rStyle w:val="BodyChar"/>
          <w:rFonts w:ascii="Tahoma" w:hAnsi="Tahoma" w:cs="Tahoma"/>
          <w:b/>
          <w:sz w:val="18"/>
          <w:szCs w:val="18"/>
          <w:lang w:val="pt-BR"/>
        </w:rPr>
        <w:t>=</w:t>
      </w:r>
      <w:r w:rsidRPr="002E114F">
        <w:rPr>
          <w:rStyle w:val="BodyChar"/>
          <w:rFonts w:ascii="Tahoma" w:hAnsi="Tahoma" w:cs="Tahoma"/>
          <w:sz w:val="18"/>
          <w:szCs w:val="18"/>
          <w:lang w:val="pt-BR"/>
        </w:rPr>
        <w:t xml:space="preserve"> </w:t>
      </w:r>
      <w:r w:rsidRPr="002E114F">
        <w:rPr>
          <w:rFonts w:ascii="Tahoma" w:hAnsi="Tahoma" w:cs="Tahoma"/>
          <w:sz w:val="18"/>
          <w:szCs w:val="18"/>
          <w:lang w:val="pt-BR"/>
        </w:rPr>
        <w:t>Indica o software oferecido como um produto adicional solicitado em toda a organização.</w:t>
      </w:r>
    </w:p>
    <w:p w:rsidR="009F5F37" w:rsidRPr="002E114F" w:rsidRDefault="009F5F37" w:rsidP="00416070">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C =</w:t>
      </w:r>
      <w:r w:rsidRPr="002E114F">
        <w:rPr>
          <w:rStyle w:val="BodyChar"/>
          <w:rFonts w:ascii="Tahoma" w:hAnsi="Tahoma" w:cs="Tahoma"/>
          <w:sz w:val="18"/>
          <w:szCs w:val="18"/>
          <w:lang w:val="pt-BR"/>
        </w:rPr>
        <w:t xml:space="preserve"> </w:t>
      </w:r>
      <w:r w:rsidRPr="002E114F">
        <w:rPr>
          <w:rFonts w:ascii="Tahoma" w:hAnsi="Tahoma" w:cs="Tahoma"/>
          <w:sz w:val="18"/>
          <w:szCs w:val="18"/>
          <w:lang w:val="pt-BR"/>
        </w:rPr>
        <w:t>Indica que o software é oferecido como um produto Core Infrastructure.</w:t>
      </w:r>
    </w:p>
    <w:p w:rsidR="009F5F37" w:rsidRPr="00AD1F35" w:rsidRDefault="009F5F37" w:rsidP="00416070">
      <w:pPr>
        <w:pStyle w:val="ListParagraph"/>
        <w:rPr>
          <w:rFonts w:ascii="Tahoma" w:hAnsi="Tahoma" w:cs="Tahoma"/>
          <w:sz w:val="18"/>
          <w:szCs w:val="18"/>
        </w:rPr>
      </w:pPr>
      <w:r w:rsidRPr="002E114F">
        <w:rPr>
          <w:rStyle w:val="BodyChar"/>
          <w:rFonts w:ascii="Tahoma" w:hAnsi="Tahoma" w:cs="Tahoma"/>
          <w:b/>
          <w:sz w:val="18"/>
          <w:szCs w:val="18"/>
          <w:lang w:val="pt-BR"/>
        </w:rPr>
        <w:t>D =</w:t>
      </w:r>
      <w:r w:rsidRPr="002E114F">
        <w:rPr>
          <w:rStyle w:val="BodyChar"/>
          <w:rFonts w:ascii="Tahoma" w:hAnsi="Tahoma" w:cs="Tahoma"/>
          <w:sz w:val="18"/>
          <w:szCs w:val="18"/>
          <w:lang w:val="pt-BR"/>
        </w:rPr>
        <w:t xml:space="preserve"> </w:t>
      </w:r>
      <w:r w:rsidRPr="00AD1F35">
        <w:rPr>
          <w:rFonts w:ascii="Tahoma" w:hAnsi="Tahoma" w:cs="Tahoma"/>
          <w:sz w:val="18"/>
          <w:szCs w:val="18"/>
        </w:rPr>
        <w:t>Indica que o software é oferecido como um produto de programa Industry Device.</w:t>
      </w:r>
    </w:p>
    <w:p w:rsidR="00023FE7" w:rsidRPr="002E114F" w:rsidRDefault="00023FE7" w:rsidP="00416070">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DT =</w:t>
      </w:r>
      <w:r w:rsidRPr="002E114F">
        <w:rPr>
          <w:rFonts w:ascii="Tahoma" w:hAnsi="Tahoma" w:cs="Tahoma"/>
          <w:sz w:val="18"/>
          <w:szCs w:val="18"/>
          <w:lang w:val="pt-BR"/>
        </w:rPr>
        <w:t xml:space="preserve"> Benefícios do Software Assur</w:t>
      </w:r>
      <w:r w:rsidR="00AD1F35" w:rsidRPr="002E114F">
        <w:rPr>
          <w:rFonts w:ascii="Tahoma" w:hAnsi="Tahoma" w:cs="Tahoma"/>
          <w:sz w:val="18"/>
          <w:szCs w:val="18"/>
          <w:lang w:val="pt-BR"/>
        </w:rPr>
        <w:t>ance para Ofertas para Desktop.</w:t>
      </w:r>
    </w:p>
    <w:p w:rsidR="00F90F21" w:rsidRPr="002E114F" w:rsidRDefault="009055B7" w:rsidP="00416070">
      <w:pPr>
        <w:pStyle w:val="Bodywithspace"/>
        <w:spacing w:before="0" w:after="0" w:line="276" w:lineRule="auto"/>
        <w:rPr>
          <w:rFonts w:ascii="Tahoma" w:hAnsi="Tahoma" w:cs="Tahoma"/>
          <w:sz w:val="18"/>
          <w:szCs w:val="18"/>
          <w:lang w:val="pt-BR"/>
        </w:rPr>
      </w:pPr>
      <w:r w:rsidRPr="002E114F">
        <w:rPr>
          <w:rFonts w:ascii="Tahoma" w:hAnsi="Tahoma" w:cs="Tahoma"/>
          <w:b/>
          <w:color w:val="000000"/>
          <w:sz w:val="18"/>
          <w:szCs w:val="18"/>
          <w:lang w:val="pt-BR"/>
        </w:rPr>
        <w:t>E</w:t>
      </w:r>
      <w:r w:rsidRPr="002E114F">
        <w:rPr>
          <w:rFonts w:ascii="Tahoma" w:hAnsi="Tahoma" w:cs="Tahoma"/>
          <w:color w:val="000000"/>
          <w:sz w:val="18"/>
          <w:szCs w:val="18"/>
          <w:lang w:val="pt-BR"/>
        </w:rPr>
        <w:t xml:space="preserve"> = Indica que o produto é oferecido como um produto Enterprise ou da plataforma desktop.</w:t>
      </w:r>
    </w:p>
    <w:p w:rsidR="00B23BE6" w:rsidRPr="002E114F" w:rsidRDefault="00B23BE6" w:rsidP="00416070">
      <w:pPr>
        <w:spacing w:line="276" w:lineRule="auto"/>
        <w:ind w:left="720"/>
        <w:rPr>
          <w:rFonts w:cs="Tahoma"/>
          <w:szCs w:val="18"/>
          <w:lang w:val="pt-BR"/>
        </w:rPr>
      </w:pPr>
      <w:r w:rsidRPr="002E114F">
        <w:rPr>
          <w:rFonts w:cs="Tahoma"/>
          <w:b/>
          <w:color w:val="000000"/>
          <w:szCs w:val="18"/>
          <w:lang w:val="pt-BR"/>
        </w:rPr>
        <w:t>EOLS =</w:t>
      </w:r>
      <w:r w:rsidRPr="002E114F">
        <w:rPr>
          <w:rFonts w:cs="Tahoma"/>
          <w:color w:val="000000"/>
          <w:szCs w:val="18"/>
          <w:lang w:val="pt-BR"/>
        </w:rPr>
        <w:t xml:space="preserve"> Indica que o produto é oferecido como um serviço online Enterprise ou serviço online da</w:t>
      </w:r>
      <w:r w:rsidR="00416070" w:rsidRPr="002E114F">
        <w:rPr>
          <w:rFonts w:cs="Tahoma"/>
          <w:color w:val="000000"/>
          <w:szCs w:val="18"/>
          <w:lang w:val="pt-BR"/>
        </w:rPr>
        <w:t> </w:t>
      </w:r>
      <w:r w:rsidRPr="002E114F">
        <w:rPr>
          <w:rFonts w:cs="Tahoma"/>
          <w:color w:val="000000"/>
          <w:szCs w:val="18"/>
          <w:lang w:val="pt-BR"/>
        </w:rPr>
        <w:t>plataforma.</w:t>
      </w:r>
    </w:p>
    <w:p w:rsidR="00E97819" w:rsidRPr="002E114F" w:rsidRDefault="00E97819" w:rsidP="00416070">
      <w:pPr>
        <w:pStyle w:val="Bodywithspace"/>
        <w:spacing w:before="0" w:after="0" w:line="276" w:lineRule="auto"/>
        <w:rPr>
          <w:rFonts w:ascii="Tahoma" w:hAnsi="Tahoma" w:cs="Tahoma"/>
          <w:sz w:val="18"/>
          <w:szCs w:val="18"/>
          <w:lang w:val="pt-BR"/>
        </w:rPr>
      </w:pPr>
      <w:r w:rsidRPr="002E114F">
        <w:rPr>
          <w:rFonts w:ascii="Tahoma" w:hAnsi="Tahoma" w:cs="Tahoma"/>
          <w:b/>
          <w:color w:val="000000"/>
          <w:sz w:val="18"/>
          <w:szCs w:val="18"/>
          <w:lang w:val="pt-BR"/>
        </w:rPr>
        <w:t xml:space="preserve">ST = </w:t>
      </w:r>
      <w:r w:rsidRPr="002E114F">
        <w:rPr>
          <w:rFonts w:ascii="Tahoma" w:hAnsi="Tahoma" w:cs="Tahoma"/>
          <w:color w:val="000000"/>
          <w:sz w:val="18"/>
          <w:szCs w:val="18"/>
          <w:lang w:val="pt-BR"/>
        </w:rPr>
        <w:t>Indica se o software será oferecido como Oferta ao Aluno e deverá ser solicitado para a Contagem de</w:t>
      </w:r>
      <w:r w:rsidR="00416070" w:rsidRPr="002E114F">
        <w:rPr>
          <w:rFonts w:ascii="Tahoma" w:hAnsi="Tahoma" w:cs="Tahoma"/>
          <w:color w:val="000000"/>
          <w:sz w:val="18"/>
          <w:szCs w:val="18"/>
          <w:lang w:val="pt-BR"/>
        </w:rPr>
        <w:t> </w:t>
      </w:r>
      <w:r w:rsidRPr="002E114F">
        <w:rPr>
          <w:rFonts w:ascii="Tahoma" w:hAnsi="Tahoma" w:cs="Tahoma"/>
          <w:color w:val="000000"/>
          <w:sz w:val="18"/>
          <w:szCs w:val="18"/>
          <w:lang w:val="pt-BR"/>
        </w:rPr>
        <w:t>Alunos integral.</w:t>
      </w:r>
    </w:p>
    <w:p w:rsidR="00023FE7" w:rsidRPr="002E114F" w:rsidRDefault="00023FE7" w:rsidP="00416070">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L (Licença) =</w:t>
      </w:r>
      <w:r w:rsidRPr="002E114F">
        <w:rPr>
          <w:rFonts w:ascii="Tahoma" w:hAnsi="Tahoma" w:cs="Tahoma"/>
          <w:sz w:val="18"/>
          <w:szCs w:val="18"/>
          <w:lang w:val="pt-BR"/>
        </w:rPr>
        <w:t xml:space="preserve"> Valor em pontos designado quando uma Licença Padrão é oferecida para o</w:t>
      </w:r>
      <w:r w:rsidR="00416070" w:rsidRPr="002E114F">
        <w:rPr>
          <w:rFonts w:ascii="Tahoma" w:hAnsi="Tahoma" w:cs="Tahoma"/>
          <w:sz w:val="18"/>
          <w:szCs w:val="18"/>
          <w:lang w:val="pt-BR"/>
        </w:rPr>
        <w:t> </w:t>
      </w:r>
      <w:r w:rsidRPr="002E114F">
        <w:rPr>
          <w:rFonts w:ascii="Tahoma" w:hAnsi="Tahoma" w:cs="Tahoma"/>
          <w:sz w:val="18"/>
          <w:szCs w:val="18"/>
          <w:lang w:val="pt-BR"/>
        </w:rPr>
        <w:t>software</w:t>
      </w:r>
      <w:r w:rsidR="00416070" w:rsidRPr="002E114F">
        <w:rPr>
          <w:rFonts w:ascii="Tahoma" w:hAnsi="Tahoma" w:cs="Tahoma"/>
          <w:sz w:val="18"/>
          <w:szCs w:val="18"/>
          <w:lang w:val="pt-BR"/>
        </w:rPr>
        <w:t> </w:t>
      </w:r>
      <w:r w:rsidRPr="002E114F">
        <w:rPr>
          <w:rFonts w:ascii="Tahoma" w:hAnsi="Tahoma" w:cs="Tahoma"/>
          <w:sz w:val="18"/>
          <w:szCs w:val="18"/>
          <w:lang w:val="pt-BR"/>
        </w:rPr>
        <w:t>indicado.</w:t>
      </w:r>
    </w:p>
    <w:p w:rsidR="00023FE7" w:rsidRPr="002E114F" w:rsidRDefault="00023FE7" w:rsidP="00416070">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L&amp;SA (Licença e Software Assurance) =</w:t>
      </w:r>
      <w:r w:rsidRPr="002E114F">
        <w:rPr>
          <w:rFonts w:ascii="Tahoma" w:hAnsi="Tahoma" w:cs="Tahoma"/>
          <w:sz w:val="18"/>
          <w:szCs w:val="18"/>
          <w:lang w:val="pt-BR"/>
        </w:rPr>
        <w:t xml:space="preserve"> Valor em pontos designado quando uma instância </w:t>
      </w:r>
      <w:r w:rsidR="00416070" w:rsidRPr="002E114F">
        <w:rPr>
          <w:rFonts w:ascii="Tahoma" w:hAnsi="Tahoma" w:cs="Tahoma"/>
          <w:sz w:val="18"/>
          <w:szCs w:val="18"/>
          <w:lang w:val="pt-BR"/>
        </w:rPr>
        <w:br/>
      </w:r>
      <w:r w:rsidRPr="002E114F">
        <w:rPr>
          <w:rFonts w:ascii="Tahoma" w:hAnsi="Tahoma" w:cs="Tahoma"/>
          <w:sz w:val="18"/>
          <w:szCs w:val="18"/>
          <w:lang w:val="pt-BR"/>
        </w:rPr>
        <w:t>de Licença e</w:t>
      </w:r>
      <w:r w:rsidR="006608B5" w:rsidRPr="002E114F">
        <w:rPr>
          <w:rFonts w:ascii="Tahoma" w:hAnsi="Tahoma" w:cs="Tahoma"/>
          <w:sz w:val="18"/>
          <w:szCs w:val="18"/>
          <w:lang w:val="pt-BR"/>
        </w:rPr>
        <w:t> </w:t>
      </w:r>
      <w:r w:rsidRPr="002E114F">
        <w:rPr>
          <w:rFonts w:ascii="Tahoma" w:hAnsi="Tahoma" w:cs="Tahoma"/>
          <w:sz w:val="18"/>
          <w:szCs w:val="18"/>
          <w:lang w:val="pt-BR"/>
        </w:rPr>
        <w:t>Software Assurance é oferecida para o software indicado.</w:t>
      </w:r>
    </w:p>
    <w:p w:rsidR="00023FE7" w:rsidRPr="002E114F" w:rsidRDefault="00023FE7" w:rsidP="00416070">
      <w:pPr>
        <w:pStyle w:val="Bodywithspace"/>
        <w:spacing w:before="0" w:after="0" w:line="276" w:lineRule="auto"/>
        <w:rPr>
          <w:rFonts w:ascii="Tahoma" w:hAnsi="Tahoma" w:cs="Tahoma"/>
          <w:sz w:val="18"/>
          <w:szCs w:val="18"/>
          <w:lang w:val="pt-BR"/>
        </w:rPr>
      </w:pPr>
      <w:r w:rsidRPr="002E114F">
        <w:rPr>
          <w:rStyle w:val="BodyChar"/>
          <w:rFonts w:ascii="Tahoma" w:hAnsi="Tahoma" w:cs="Tahoma"/>
          <w:b/>
          <w:bCs/>
          <w:color w:val="000000"/>
          <w:sz w:val="18"/>
          <w:szCs w:val="18"/>
          <w:lang w:val="pt-BR"/>
        </w:rPr>
        <w:t>LO =</w:t>
      </w:r>
      <w:r w:rsidRPr="002E114F">
        <w:rPr>
          <w:rFonts w:ascii="Tahoma" w:hAnsi="Tahoma" w:cs="Tahoma"/>
          <w:color w:val="000000"/>
          <w:sz w:val="18"/>
          <w:szCs w:val="18"/>
          <w:lang w:val="pt-BR"/>
        </w:rPr>
        <w:t xml:space="preserve"> Disponível na Licença Open.</w:t>
      </w:r>
    </w:p>
    <w:p w:rsidR="00623C76" w:rsidRPr="002E114F" w:rsidRDefault="00623C76" w:rsidP="001D3F04">
      <w:pPr>
        <w:pStyle w:val="Bodywithspace"/>
        <w:spacing w:before="0" w:after="0" w:line="276" w:lineRule="auto"/>
        <w:ind w:right="-180"/>
        <w:rPr>
          <w:rStyle w:val="BodyChar"/>
          <w:rFonts w:ascii="Tahoma" w:hAnsi="Tahoma" w:cs="Tahoma"/>
          <w:b/>
          <w:sz w:val="18"/>
          <w:szCs w:val="18"/>
          <w:lang w:val="pt-BR"/>
        </w:rPr>
      </w:pPr>
    </w:p>
    <w:p w:rsidR="00623C76" w:rsidRPr="002E114F" w:rsidRDefault="00623C76" w:rsidP="001D3F04">
      <w:pPr>
        <w:pStyle w:val="Bodywithspace"/>
        <w:spacing w:before="0" w:after="0" w:line="276" w:lineRule="auto"/>
        <w:ind w:right="-180"/>
        <w:rPr>
          <w:rStyle w:val="BodyChar"/>
          <w:rFonts w:ascii="Tahoma" w:hAnsi="Tahoma" w:cs="Tahoma"/>
          <w:b/>
          <w:sz w:val="18"/>
          <w:szCs w:val="18"/>
          <w:lang w:val="pt-BR"/>
        </w:rPr>
      </w:pPr>
    </w:p>
    <w:p w:rsidR="001D3F04" w:rsidRPr="002E114F" w:rsidRDefault="001D3F04" w:rsidP="001D3F04">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lastRenderedPageBreak/>
        <w:t>OSB =</w:t>
      </w:r>
      <w:r w:rsidRPr="002E114F">
        <w:rPr>
          <w:rStyle w:val="BodyChar"/>
          <w:rFonts w:ascii="Tahoma" w:hAnsi="Tahoma" w:cs="Tahoma"/>
          <w:sz w:val="18"/>
          <w:szCs w:val="18"/>
          <w:lang w:val="pt-BR"/>
        </w:rPr>
        <w:t xml:space="preserve"> Benefícios de Serviços Online para clientes qualificados.</w:t>
      </w:r>
      <w:r w:rsidR="00FB5496" w:rsidRPr="002E114F">
        <w:rPr>
          <w:rStyle w:val="BodyChar"/>
          <w:rFonts w:ascii="Tahoma" w:hAnsi="Tahoma" w:cs="Tahoma"/>
          <w:sz w:val="18"/>
          <w:szCs w:val="18"/>
          <w:lang w:val="pt-BR"/>
        </w:rPr>
        <w:t xml:space="preserve"> </w:t>
      </w:r>
      <w:r w:rsidRPr="002E114F">
        <w:rPr>
          <w:rStyle w:val="BodyChar"/>
          <w:rFonts w:ascii="Tahoma" w:hAnsi="Tahoma" w:cs="Tahoma"/>
          <w:sz w:val="18"/>
          <w:szCs w:val="18"/>
          <w:lang w:val="pt-BR"/>
        </w:rPr>
        <w:t xml:space="preserve">Observe que </w:t>
      </w:r>
      <w:r w:rsidRPr="002E114F">
        <w:rPr>
          <w:rFonts w:ascii="Tahoma" w:hAnsi="Tahoma" w:cs="Tahoma"/>
          <w:sz w:val="18"/>
          <w:szCs w:val="18"/>
          <w:lang w:val="pt-BR"/>
        </w:rPr>
        <w:t>os produtos qualificados para os</w:t>
      </w:r>
      <w:r w:rsidR="006608B5" w:rsidRPr="002E114F">
        <w:rPr>
          <w:rFonts w:ascii="Tahoma" w:hAnsi="Tahoma" w:cs="Tahoma"/>
          <w:sz w:val="18"/>
          <w:szCs w:val="18"/>
          <w:lang w:val="pt-BR"/>
        </w:rPr>
        <w:t> </w:t>
      </w:r>
      <w:r w:rsidRPr="002E114F">
        <w:rPr>
          <w:rFonts w:ascii="Tahoma" w:hAnsi="Tahoma" w:cs="Tahoma"/>
          <w:sz w:val="18"/>
          <w:szCs w:val="18"/>
          <w:lang w:val="pt-BR"/>
        </w:rPr>
        <w:t>benefícios de Serviços Online poderão aparecer em mais de uma tabela de pools de produtos.</w:t>
      </w:r>
      <w:r w:rsidR="00FB5496" w:rsidRPr="002E114F">
        <w:rPr>
          <w:rFonts w:ascii="Tahoma" w:hAnsi="Tahoma" w:cs="Tahoma"/>
          <w:sz w:val="18"/>
          <w:szCs w:val="18"/>
          <w:lang w:val="pt-BR"/>
        </w:rPr>
        <w:t xml:space="preserve"> </w:t>
      </w:r>
      <w:r w:rsidRPr="002E114F">
        <w:rPr>
          <w:rFonts w:ascii="Tahoma" w:hAnsi="Tahoma" w:cs="Tahoma"/>
          <w:sz w:val="18"/>
          <w:szCs w:val="18"/>
          <w:lang w:val="pt-BR"/>
        </w:rPr>
        <w:t>A razão disso</w:t>
      </w:r>
      <w:r w:rsidR="006608B5" w:rsidRPr="002E114F">
        <w:rPr>
          <w:rFonts w:ascii="Tahoma" w:hAnsi="Tahoma" w:cs="Tahoma"/>
          <w:sz w:val="18"/>
          <w:szCs w:val="18"/>
          <w:lang w:val="pt-BR"/>
        </w:rPr>
        <w:t> </w:t>
      </w:r>
      <w:r w:rsidRPr="002E114F">
        <w:rPr>
          <w:rFonts w:ascii="Tahoma" w:hAnsi="Tahoma" w:cs="Tahoma"/>
          <w:sz w:val="18"/>
          <w:szCs w:val="18"/>
          <w:lang w:val="pt-BR"/>
        </w:rPr>
        <w:t>é simplesmente demonstrar que essas ofertas podem ser qualificadas para benefícios de software assurance associados a mais do que um pool de produtos e não é necessário escolher entre os benefícios de</w:t>
      </w:r>
      <w:r w:rsidR="006608B5" w:rsidRPr="002E114F">
        <w:rPr>
          <w:rFonts w:ascii="Tahoma" w:hAnsi="Tahoma" w:cs="Tahoma"/>
          <w:sz w:val="18"/>
          <w:szCs w:val="18"/>
          <w:lang w:val="pt-BR"/>
        </w:rPr>
        <w:t> </w:t>
      </w:r>
      <w:r w:rsidRPr="002E114F">
        <w:rPr>
          <w:rFonts w:ascii="Tahoma" w:hAnsi="Tahoma" w:cs="Tahoma"/>
          <w:sz w:val="18"/>
          <w:szCs w:val="18"/>
          <w:lang w:val="pt-BR"/>
        </w:rPr>
        <w:t>um pool ou de outro.</w:t>
      </w:r>
    </w:p>
    <w:p w:rsidR="00023FE7" w:rsidRPr="002E114F" w:rsidRDefault="00023FE7">
      <w:pPr>
        <w:pStyle w:val="Bodywithspace"/>
        <w:spacing w:before="0" w:after="0" w:line="276" w:lineRule="auto"/>
        <w:rPr>
          <w:rFonts w:ascii="Tahoma" w:hAnsi="Tahoma" w:cs="Tahoma"/>
          <w:sz w:val="18"/>
          <w:szCs w:val="18"/>
          <w:lang w:val="pt-BR"/>
        </w:rPr>
      </w:pPr>
      <w:r w:rsidRPr="002E114F">
        <w:rPr>
          <w:rStyle w:val="BodyChar"/>
          <w:rFonts w:ascii="Tahoma" w:hAnsi="Tahoma" w:cs="Tahoma"/>
          <w:b/>
          <w:bCs/>
          <w:color w:val="000000"/>
          <w:sz w:val="18"/>
          <w:szCs w:val="18"/>
          <w:lang w:val="pt-BR"/>
        </w:rPr>
        <w:t>OL/SA =</w:t>
      </w:r>
      <w:r w:rsidRPr="002E114F">
        <w:rPr>
          <w:rStyle w:val="BodyChar"/>
          <w:rFonts w:ascii="Tahoma" w:hAnsi="Tahoma" w:cs="Tahoma"/>
          <w:bCs/>
          <w:color w:val="000000"/>
          <w:sz w:val="18"/>
          <w:szCs w:val="18"/>
          <w:lang w:val="pt-BR"/>
        </w:rPr>
        <w:t xml:space="preserve"> </w:t>
      </w:r>
      <w:r w:rsidRPr="002E114F">
        <w:rPr>
          <w:rStyle w:val="BodyChar"/>
          <w:rFonts w:ascii="Tahoma" w:hAnsi="Tahoma" w:cs="Tahoma"/>
          <w:color w:val="000000"/>
          <w:sz w:val="18"/>
          <w:szCs w:val="18"/>
          <w:lang w:val="pt-BR"/>
        </w:rPr>
        <w:t>Disponível na Licença Open apenas para L&amp;SA e SA.</w:t>
      </w:r>
    </w:p>
    <w:p w:rsidR="00023FE7" w:rsidRPr="002E114F" w:rsidRDefault="00023FE7">
      <w:pPr>
        <w:pStyle w:val="Bodywithspace"/>
        <w:spacing w:before="0" w:after="0" w:line="276" w:lineRule="auto"/>
        <w:rPr>
          <w:rFonts w:ascii="Tahoma" w:hAnsi="Tahoma" w:cs="Tahoma"/>
          <w:sz w:val="18"/>
          <w:szCs w:val="18"/>
          <w:lang w:val="pt-BR"/>
        </w:rPr>
      </w:pPr>
      <w:r w:rsidRPr="002E114F">
        <w:rPr>
          <w:rStyle w:val="BodyChar"/>
          <w:rFonts w:ascii="Tahoma" w:hAnsi="Tahoma" w:cs="Tahoma"/>
          <w:b/>
          <w:bCs/>
          <w:color w:val="000000"/>
          <w:sz w:val="18"/>
          <w:szCs w:val="18"/>
          <w:lang w:val="pt-BR"/>
        </w:rPr>
        <w:t xml:space="preserve">POS = </w:t>
      </w:r>
      <w:r w:rsidRPr="002E114F">
        <w:rPr>
          <w:rStyle w:val="BodyChar"/>
          <w:rFonts w:ascii="Tahoma" w:hAnsi="Tahoma" w:cs="Tahoma"/>
          <w:bCs/>
          <w:color w:val="000000"/>
          <w:sz w:val="18"/>
          <w:szCs w:val="18"/>
          <w:lang w:val="pt-BR"/>
        </w:rPr>
        <w:t>Disponível no programa Licença Online Subscription.</w:t>
      </w:r>
    </w:p>
    <w:p w:rsidR="00023FE7" w:rsidRPr="002E114F" w:rsidRDefault="00023FE7">
      <w:pPr>
        <w:pStyle w:val="Bodywithspace"/>
        <w:spacing w:before="0" w:after="0" w:line="276" w:lineRule="auto"/>
        <w:rPr>
          <w:rFonts w:ascii="Tahoma" w:hAnsi="Tahoma" w:cs="Tahoma"/>
          <w:sz w:val="18"/>
          <w:szCs w:val="18"/>
          <w:lang w:val="pt-BR"/>
        </w:rPr>
      </w:pPr>
      <w:r w:rsidRPr="002E114F">
        <w:rPr>
          <w:rStyle w:val="BodyChar"/>
          <w:rFonts w:ascii="Tahoma" w:hAnsi="Tahoma" w:cs="Tahoma"/>
          <w:b/>
          <w:bCs/>
          <w:color w:val="000000"/>
          <w:sz w:val="18"/>
          <w:szCs w:val="18"/>
          <w:lang w:val="pt-BR"/>
        </w:rPr>
        <w:t>OV/OVS =</w:t>
      </w:r>
      <w:r w:rsidRPr="002E114F">
        <w:rPr>
          <w:rFonts w:ascii="Tahoma" w:hAnsi="Tahoma" w:cs="Tahoma"/>
          <w:color w:val="000000"/>
          <w:sz w:val="18"/>
          <w:szCs w:val="18"/>
          <w:lang w:val="pt-BR"/>
        </w:rPr>
        <w:t xml:space="preserve"> Disponível no programa Open Value e Open Value Subscription.</w:t>
      </w:r>
    </w:p>
    <w:p w:rsidR="00023FE7" w:rsidRPr="002E114F" w:rsidRDefault="00023FE7">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P =</w:t>
      </w:r>
      <w:r w:rsidRPr="002E114F">
        <w:rPr>
          <w:rFonts w:ascii="Tahoma" w:hAnsi="Tahoma" w:cs="Tahoma"/>
          <w:sz w:val="18"/>
          <w:szCs w:val="18"/>
          <w:lang w:val="pt-BR"/>
        </w:rPr>
        <w:t xml:space="preserve"> Indica software oferecido como opção de licença não extensiva </w:t>
      </w:r>
      <w:r w:rsidR="0017152F" w:rsidRPr="002E114F">
        <w:rPr>
          <w:rFonts w:ascii="Tahoma" w:hAnsi="Tahoma" w:cs="Tahoma"/>
          <w:sz w:val="18"/>
          <w:szCs w:val="18"/>
          <w:lang w:val="pt-BR"/>
        </w:rPr>
        <w:t>a toda a empresa no Open Value.</w:t>
      </w:r>
    </w:p>
    <w:p w:rsidR="009F5F37" w:rsidRPr="002E114F" w:rsidRDefault="009F5F37">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S =</w:t>
      </w:r>
      <w:r w:rsidRPr="002E114F">
        <w:rPr>
          <w:rStyle w:val="BodyChar"/>
          <w:rFonts w:ascii="Tahoma" w:hAnsi="Tahoma" w:cs="Tahoma"/>
          <w:sz w:val="18"/>
          <w:szCs w:val="18"/>
          <w:lang w:val="pt-BR"/>
        </w:rPr>
        <w:t xml:space="preserve"> </w:t>
      </w:r>
      <w:r w:rsidRPr="002E114F">
        <w:rPr>
          <w:rFonts w:ascii="Tahoma" w:hAnsi="Tahoma" w:cs="Tahoma"/>
          <w:sz w:val="18"/>
          <w:szCs w:val="18"/>
          <w:lang w:val="pt-BR"/>
        </w:rPr>
        <w:t>Indica que o software é oferecido como um produto da plataforma desktop de aplicativos.</w:t>
      </w:r>
    </w:p>
    <w:p w:rsidR="00023FE7" w:rsidRPr="002E114F" w:rsidRDefault="00023FE7">
      <w:pPr>
        <w:pStyle w:val="Bodywithspace"/>
        <w:spacing w:before="0" w:after="0" w:line="276" w:lineRule="auto"/>
        <w:rPr>
          <w:rFonts w:ascii="Tahoma" w:hAnsi="Tahoma" w:cs="Tahoma"/>
          <w:sz w:val="18"/>
          <w:szCs w:val="18"/>
          <w:lang w:val="pt-BR"/>
        </w:rPr>
      </w:pPr>
      <w:r w:rsidRPr="002E114F">
        <w:rPr>
          <w:rStyle w:val="BodyChar"/>
          <w:rFonts w:ascii="Tahoma" w:hAnsi="Tahoma" w:cs="Tahoma"/>
          <w:b/>
          <w:sz w:val="18"/>
          <w:szCs w:val="18"/>
          <w:lang w:val="pt-BR"/>
        </w:rPr>
        <w:t>SA (Software Assurance) =</w:t>
      </w:r>
      <w:r w:rsidRPr="002E114F">
        <w:rPr>
          <w:rFonts w:ascii="Tahoma" w:hAnsi="Tahoma" w:cs="Tahoma"/>
          <w:sz w:val="18"/>
          <w:szCs w:val="18"/>
          <w:lang w:val="pt-BR"/>
        </w:rPr>
        <w:t xml:space="preserve"> Valor em pontos designado quando o Software Assurance é oferecido para</w:t>
      </w:r>
      <w:r w:rsidR="00416070" w:rsidRPr="002E114F">
        <w:rPr>
          <w:rFonts w:ascii="Tahoma" w:hAnsi="Tahoma" w:cs="Tahoma"/>
          <w:sz w:val="18"/>
          <w:szCs w:val="18"/>
          <w:lang w:val="pt-BR"/>
        </w:rPr>
        <w:t> </w:t>
      </w:r>
      <w:r w:rsidRPr="002E114F">
        <w:rPr>
          <w:rFonts w:ascii="Tahoma" w:hAnsi="Tahoma" w:cs="Tahoma"/>
          <w:sz w:val="18"/>
          <w:szCs w:val="18"/>
          <w:lang w:val="pt-BR"/>
        </w:rPr>
        <w:t>o</w:t>
      </w:r>
      <w:r w:rsidR="006608B5" w:rsidRPr="002E114F">
        <w:rPr>
          <w:rFonts w:ascii="Tahoma" w:hAnsi="Tahoma" w:cs="Tahoma"/>
          <w:sz w:val="18"/>
          <w:szCs w:val="18"/>
          <w:lang w:val="pt-BR"/>
        </w:rPr>
        <w:t> </w:t>
      </w:r>
      <w:r w:rsidRPr="002E114F">
        <w:rPr>
          <w:rFonts w:ascii="Tahoma" w:hAnsi="Tahoma" w:cs="Tahoma"/>
          <w:sz w:val="18"/>
          <w:szCs w:val="18"/>
          <w:lang w:val="pt-BR"/>
        </w:rPr>
        <w:t xml:space="preserve">software indicado. </w:t>
      </w:r>
    </w:p>
    <w:p w:rsidR="00023FE7" w:rsidRPr="002E114F" w:rsidRDefault="00023FE7">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SRV =</w:t>
      </w:r>
      <w:r w:rsidRPr="002E114F">
        <w:rPr>
          <w:rFonts w:ascii="Tahoma" w:hAnsi="Tahoma" w:cs="Tahoma"/>
          <w:sz w:val="18"/>
          <w:szCs w:val="18"/>
          <w:lang w:val="pt-BR"/>
        </w:rPr>
        <w:t xml:space="preserve"> Benefícios do Software Assurance para Ofertas para Pool de Servidores. </w:t>
      </w:r>
    </w:p>
    <w:p w:rsidR="00023FE7" w:rsidRPr="002E114F" w:rsidRDefault="00023FE7">
      <w:pPr>
        <w:pStyle w:val="Bodywithspace"/>
        <w:tabs>
          <w:tab w:val="left" w:pos="9360"/>
        </w:tabs>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U (Licença de Atualização) =</w:t>
      </w:r>
      <w:r w:rsidRPr="002E114F">
        <w:rPr>
          <w:rFonts w:ascii="Tahoma" w:hAnsi="Tahoma" w:cs="Tahoma"/>
          <w:sz w:val="18"/>
          <w:szCs w:val="18"/>
          <w:lang w:val="pt-BR"/>
        </w:rPr>
        <w:t xml:space="preserve"> Valor em pontos designado quando uma atualização é oferecida para o</w:t>
      </w:r>
      <w:r w:rsidR="006608B5" w:rsidRPr="002E114F">
        <w:rPr>
          <w:rFonts w:ascii="Tahoma" w:hAnsi="Tahoma" w:cs="Tahoma"/>
          <w:sz w:val="18"/>
          <w:szCs w:val="18"/>
          <w:lang w:val="pt-BR"/>
        </w:rPr>
        <w:t> </w:t>
      </w:r>
      <w:r w:rsidRPr="002E114F">
        <w:rPr>
          <w:rFonts w:ascii="Tahoma" w:hAnsi="Tahoma" w:cs="Tahoma"/>
          <w:sz w:val="18"/>
          <w:szCs w:val="18"/>
          <w:lang w:val="pt-BR"/>
        </w:rPr>
        <w:t>software indicado.</w:t>
      </w:r>
    </w:p>
    <w:p w:rsidR="00023FE7" w:rsidRPr="002E114F" w:rsidRDefault="00023FE7">
      <w:pPr>
        <w:pStyle w:val="Bodywithspace"/>
        <w:spacing w:before="0" w:after="0" w:line="276" w:lineRule="auto"/>
        <w:ind w:right="-180"/>
        <w:rPr>
          <w:rFonts w:ascii="Tahoma" w:hAnsi="Tahoma" w:cs="Tahoma"/>
          <w:sz w:val="18"/>
          <w:szCs w:val="18"/>
          <w:lang w:val="pt-BR"/>
        </w:rPr>
      </w:pPr>
      <w:r w:rsidRPr="002E114F">
        <w:rPr>
          <w:rStyle w:val="BodyChar"/>
          <w:rFonts w:ascii="Tahoma" w:hAnsi="Tahoma" w:cs="Tahoma"/>
          <w:b/>
          <w:sz w:val="18"/>
          <w:szCs w:val="18"/>
          <w:lang w:val="pt-BR"/>
        </w:rPr>
        <w:t>U &amp; SA (Atualização e Software Assurance)</w:t>
      </w:r>
      <w:r w:rsidRPr="002E114F">
        <w:rPr>
          <w:rFonts w:ascii="Tahoma" w:hAnsi="Tahoma" w:cs="Tahoma"/>
          <w:sz w:val="18"/>
          <w:szCs w:val="18"/>
          <w:lang w:val="pt-BR"/>
        </w:rPr>
        <w:t xml:space="preserve"> </w:t>
      </w:r>
      <w:r w:rsidRPr="002E114F">
        <w:rPr>
          <w:rFonts w:ascii="Tahoma" w:hAnsi="Tahoma" w:cs="Tahoma"/>
          <w:b/>
          <w:sz w:val="18"/>
          <w:szCs w:val="18"/>
          <w:lang w:val="pt-BR"/>
        </w:rPr>
        <w:t>=</w:t>
      </w:r>
      <w:r w:rsidRPr="002E114F">
        <w:rPr>
          <w:rFonts w:ascii="Tahoma" w:hAnsi="Tahoma" w:cs="Tahoma"/>
          <w:sz w:val="18"/>
          <w:szCs w:val="18"/>
          <w:lang w:val="pt-BR"/>
        </w:rPr>
        <w:t xml:space="preserve"> Valor em pontos designado quando uma instância de</w:t>
      </w:r>
      <w:r w:rsidR="006608B5" w:rsidRPr="002E114F">
        <w:rPr>
          <w:rFonts w:ascii="Tahoma" w:hAnsi="Tahoma" w:cs="Tahoma"/>
          <w:sz w:val="18"/>
          <w:szCs w:val="18"/>
          <w:lang w:val="pt-BR"/>
        </w:rPr>
        <w:t> </w:t>
      </w:r>
      <w:r w:rsidRPr="002E114F">
        <w:rPr>
          <w:rFonts w:ascii="Tahoma" w:hAnsi="Tahoma" w:cs="Tahoma"/>
          <w:sz w:val="18"/>
          <w:szCs w:val="18"/>
          <w:lang w:val="pt-BR"/>
        </w:rPr>
        <w:t>atualização e Software Assurance é oferecida para o software indicado.</w:t>
      </w:r>
    </w:p>
    <w:p w:rsidR="00023FE7" w:rsidRPr="00416070" w:rsidRDefault="00023FE7" w:rsidP="000C2842">
      <w:pPr>
        <w:pStyle w:val="Heading1"/>
      </w:pPr>
      <w:r w:rsidRPr="00416070">
        <w:br w:type="page"/>
      </w:r>
      <w:bookmarkStart w:id="12" w:name="_Toc336337841"/>
      <w:bookmarkStart w:id="13" w:name="_Toc352233918"/>
      <w:r w:rsidRPr="00416070">
        <w:lastRenderedPageBreak/>
        <w:t>LISTA de Produtos</w:t>
      </w:r>
      <w:bookmarkEnd w:id="12"/>
      <w:bookmarkEnd w:id="13"/>
    </w:p>
    <w:p w:rsidR="000E5145" w:rsidRPr="00416070" w:rsidRDefault="000E5145" w:rsidP="004E292A">
      <w:pPr>
        <w:pStyle w:val="Heading3"/>
      </w:pPr>
      <w:bookmarkStart w:id="14" w:name="_Toc300391149"/>
      <w:bookmarkStart w:id="15" w:name="_Toc312398873"/>
      <w:bookmarkStart w:id="16" w:name="_Toc336337842"/>
    </w:p>
    <w:p w:rsidR="00F70479" w:rsidRPr="002E114F" w:rsidRDefault="00F70479" w:rsidP="00F70479">
      <w:pPr>
        <w:rPr>
          <w:lang w:val="pt-BR"/>
        </w:rPr>
      </w:pPr>
    </w:p>
    <w:p w:rsidR="00023FE7" w:rsidRPr="00416070" w:rsidRDefault="00023FE7" w:rsidP="004E292A">
      <w:pPr>
        <w:pStyle w:val="Heading3"/>
      </w:pPr>
      <w:bookmarkStart w:id="17" w:name="_Toc352233919"/>
      <w:r w:rsidRPr="00416070">
        <w:rPr>
          <w:rFonts w:ascii="Tahoma" w:hAnsi="Tahoma" w:cs="Tahoma"/>
          <w:sz w:val="22"/>
          <w:szCs w:val="22"/>
        </w:rPr>
        <w:t>POOL DE APLICATIVOS</w:t>
      </w:r>
      <w:bookmarkEnd w:id="14"/>
      <w:bookmarkEnd w:id="15"/>
      <w:bookmarkEnd w:id="16"/>
      <w:bookmarkEnd w:id="17"/>
    </w:p>
    <w:p w:rsidR="006949F0" w:rsidRPr="002E114F" w:rsidRDefault="006949F0" w:rsidP="006949F0">
      <w:pPr>
        <w:rPr>
          <w:lang w:val="pt-BR"/>
        </w:rPr>
      </w:pPr>
    </w:p>
    <w:tbl>
      <w:tblPr>
        <w:tblW w:w="10685"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643"/>
        <w:gridCol w:w="540"/>
      </w:tblGrid>
      <w:tr w:rsidR="00B27742" w:rsidRPr="00416070" w:rsidTr="00CE54BA">
        <w:trPr>
          <w:cantSplit/>
          <w:trHeight w:val="1295"/>
          <w:tblHeader/>
        </w:trPr>
        <w:tc>
          <w:tcPr>
            <w:tcW w:w="2638" w:type="dxa"/>
            <w:tcBorders>
              <w:top w:val="single" w:sz="4" w:space="0" w:color="FFFFFF"/>
              <w:left w:val="nil"/>
              <w:bottom w:val="nil"/>
            </w:tcBorders>
          </w:tcPr>
          <w:p w:rsidR="00B27742" w:rsidRPr="002E114F" w:rsidRDefault="00B27742" w:rsidP="00CE54BA">
            <w:pPr>
              <w:widowControl w:val="0"/>
              <w:spacing w:before="20" w:after="20"/>
              <w:ind w:left="-360"/>
              <w:rPr>
                <w:rFonts w:cs="Tahoma"/>
                <w:lang w:val="pt-BR"/>
              </w:rPr>
            </w:pPr>
          </w:p>
        </w:tc>
        <w:tc>
          <w:tcPr>
            <w:tcW w:w="429" w:type="dxa"/>
            <w:textDirection w:val="btLr"/>
            <w:vAlign w:val="center"/>
          </w:tcPr>
          <w:p w:rsidR="00B27742" w:rsidRPr="00416070" w:rsidRDefault="00F17536" w:rsidP="00F17536">
            <w:pPr>
              <w:pStyle w:val="TableVerticalText"/>
              <w:widowControl w:val="0"/>
              <w:spacing w:before="20" w:after="20"/>
              <w:rPr>
                <w:rFonts w:ascii="Tahoma" w:hAnsi="Tahoma" w:cs="Tahoma"/>
              </w:rPr>
            </w:pPr>
            <w:r w:rsidRPr="00CE4828">
              <w:rPr>
                <w:rFonts w:ascii="Tahoma" w:hAnsi="Tahoma" w:cs="Tahoma"/>
              </w:rPr>
              <w:t>Notas do Produto</w:t>
            </w:r>
          </w:p>
        </w:tc>
        <w:tc>
          <w:tcPr>
            <w:tcW w:w="429" w:type="dxa"/>
            <w:textDirection w:val="btLr"/>
            <w:vAlign w:val="center"/>
          </w:tcPr>
          <w:p w:rsidR="00B27742" w:rsidRPr="00416070" w:rsidRDefault="00B27742" w:rsidP="00CE54BA">
            <w:pPr>
              <w:pStyle w:val="TableVerticalText"/>
              <w:widowControl w:val="0"/>
              <w:spacing w:before="20" w:after="20"/>
              <w:rPr>
                <w:rFonts w:ascii="Tahoma" w:hAnsi="Tahoma" w:cs="Tahoma"/>
              </w:rPr>
            </w:pPr>
            <w:r w:rsidRPr="00416070">
              <w:rPr>
                <w:rFonts w:ascii="Tahoma" w:hAnsi="Tahoma" w:cs="Tahoma"/>
              </w:rPr>
              <w:t>Data disponível</w:t>
            </w:r>
          </w:p>
        </w:tc>
        <w:tc>
          <w:tcPr>
            <w:tcW w:w="429" w:type="dxa"/>
            <w:tcBorders>
              <w:right w:val="single" w:sz="18" w:space="0" w:color="auto"/>
            </w:tcBorders>
            <w:textDirection w:val="btLr"/>
            <w:vAlign w:val="center"/>
          </w:tcPr>
          <w:p w:rsidR="00B27742" w:rsidRPr="00416070" w:rsidRDefault="00B27742" w:rsidP="00CE54BA">
            <w:pPr>
              <w:pStyle w:val="TableVerticalText"/>
              <w:widowControl w:val="0"/>
              <w:spacing w:before="20" w:after="20"/>
              <w:rPr>
                <w:rFonts w:ascii="Tahoma" w:hAnsi="Tahoma" w:cs="Tahoma"/>
              </w:rPr>
            </w:pPr>
            <w:r w:rsidRPr="00416070">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416070" w:rsidRDefault="00B27742" w:rsidP="00CE54BA">
            <w:pPr>
              <w:pStyle w:val="TableHeadingsBlack"/>
              <w:widowControl w:val="0"/>
              <w:spacing w:before="20" w:after="20"/>
              <w:rPr>
                <w:rFonts w:ascii="Tahoma" w:hAnsi="Tahoma" w:cs="Tahoma"/>
              </w:rPr>
            </w:pPr>
            <w:r w:rsidRPr="00416070">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416070" w:rsidRDefault="00B27742" w:rsidP="00CE54BA">
            <w:pPr>
              <w:pStyle w:val="TableHeadingsBlack"/>
              <w:widowControl w:val="0"/>
              <w:spacing w:before="20" w:after="20"/>
              <w:rPr>
                <w:rFonts w:ascii="Tahoma" w:hAnsi="Tahoma" w:cs="Tahoma"/>
              </w:rPr>
            </w:pPr>
            <w:r w:rsidRPr="00416070">
              <w:rPr>
                <w:rFonts w:ascii="Tahoma" w:hAnsi="Tahoma" w:cs="Tahoma"/>
              </w:rPr>
              <w:t>Licença Open</w:t>
            </w:r>
          </w:p>
        </w:tc>
        <w:tc>
          <w:tcPr>
            <w:tcW w:w="429" w:type="dxa"/>
            <w:tcBorders>
              <w:left w:val="single" w:sz="18" w:space="0" w:color="auto"/>
            </w:tcBorders>
            <w:textDirection w:val="btLr"/>
            <w:vAlign w:val="center"/>
          </w:tcPr>
          <w:p w:rsidR="00B27742" w:rsidRPr="00416070" w:rsidRDefault="00B27742" w:rsidP="00CE54BA">
            <w:pPr>
              <w:pStyle w:val="TableVerticalText"/>
              <w:widowControl w:val="0"/>
              <w:spacing w:before="20" w:after="20"/>
              <w:rPr>
                <w:rFonts w:ascii="Tahoma" w:hAnsi="Tahoma" w:cs="Tahoma"/>
              </w:rPr>
            </w:pPr>
            <w:r w:rsidRPr="00416070">
              <w:rPr>
                <w:rFonts w:ascii="Tahoma" w:hAnsi="Tahoma" w:cs="Tahoma"/>
              </w:rPr>
              <w:t>Unidades Campus e School</w:t>
            </w:r>
          </w:p>
        </w:tc>
        <w:tc>
          <w:tcPr>
            <w:tcW w:w="429" w:type="dxa"/>
            <w:tcBorders>
              <w:right w:val="single" w:sz="18" w:space="0" w:color="auto"/>
            </w:tcBorders>
            <w:textDirection w:val="btLr"/>
            <w:vAlign w:val="center"/>
          </w:tcPr>
          <w:p w:rsidR="00B27742" w:rsidRPr="00416070" w:rsidRDefault="00B27742" w:rsidP="00CE54BA">
            <w:pPr>
              <w:pStyle w:val="TableVerticalText"/>
              <w:widowControl w:val="0"/>
              <w:spacing w:before="20" w:after="20"/>
              <w:rPr>
                <w:rFonts w:ascii="Tahoma" w:hAnsi="Tahoma" w:cs="Tahoma"/>
              </w:rPr>
            </w:pPr>
            <w:r w:rsidRPr="00416070">
              <w:rPr>
                <w:rFonts w:ascii="Tahoma" w:hAnsi="Tahoma" w:cs="Tahoma"/>
              </w:rPr>
              <w:t>EA e EA Sub</w:t>
            </w:r>
          </w:p>
        </w:tc>
        <w:tc>
          <w:tcPr>
            <w:tcW w:w="429" w:type="dxa"/>
            <w:tcBorders>
              <w:left w:val="single" w:sz="18" w:space="0" w:color="auto"/>
              <w:right w:val="single" w:sz="18" w:space="0" w:color="auto"/>
            </w:tcBorders>
            <w:textDirection w:val="btLr"/>
            <w:vAlign w:val="center"/>
          </w:tcPr>
          <w:p w:rsidR="00B27742" w:rsidRPr="00416070" w:rsidRDefault="00B27742" w:rsidP="00CE54BA">
            <w:pPr>
              <w:pStyle w:val="TableVerticalText"/>
              <w:widowControl w:val="0"/>
              <w:spacing w:before="20" w:after="20"/>
              <w:rPr>
                <w:rFonts w:ascii="Tahoma" w:hAnsi="Tahoma" w:cs="Tahoma"/>
              </w:rPr>
            </w:pPr>
            <w:r w:rsidRPr="00416070">
              <w:rPr>
                <w:rFonts w:ascii="Tahoma" w:hAnsi="Tahoma" w:cs="Tahoma"/>
              </w:rPr>
              <w:t>OV / OVS</w:t>
            </w:r>
          </w:p>
        </w:tc>
        <w:tc>
          <w:tcPr>
            <w:tcW w:w="643" w:type="dxa"/>
            <w:textDirection w:val="btLr"/>
            <w:vAlign w:val="center"/>
          </w:tcPr>
          <w:p w:rsidR="00B27742" w:rsidRPr="00416070" w:rsidRDefault="00B0036E" w:rsidP="00CE54BA">
            <w:pPr>
              <w:pStyle w:val="TableVerticalText"/>
              <w:widowControl w:val="0"/>
              <w:spacing w:before="20" w:after="20"/>
              <w:rPr>
                <w:rFonts w:ascii="Tahoma" w:hAnsi="Tahoma" w:cs="Tahoma"/>
              </w:rPr>
            </w:pPr>
            <w:r w:rsidRPr="00416070">
              <w:rPr>
                <w:rFonts w:ascii="Tahoma" w:hAnsi="Tahoma" w:cs="Tahoma"/>
              </w:rPr>
              <w:t>EES / OVS -ES</w:t>
            </w:r>
          </w:p>
        </w:tc>
        <w:tc>
          <w:tcPr>
            <w:tcW w:w="540" w:type="dxa"/>
            <w:textDirection w:val="btLr"/>
            <w:vAlign w:val="center"/>
          </w:tcPr>
          <w:p w:rsidR="00B27742" w:rsidRPr="00416070" w:rsidRDefault="00B27742" w:rsidP="00CE54BA">
            <w:pPr>
              <w:pStyle w:val="TableVerticalText"/>
              <w:widowControl w:val="0"/>
              <w:spacing w:before="20" w:after="20"/>
              <w:rPr>
                <w:rFonts w:ascii="Tahoma" w:hAnsi="Tahoma" w:cs="Tahoma"/>
              </w:rPr>
            </w:pPr>
            <w:r w:rsidRPr="00416070">
              <w:rPr>
                <w:rFonts w:ascii="Tahoma" w:hAnsi="Tahoma" w:cs="Tahoma"/>
              </w:rPr>
              <w:t>Mínimo de Licenças Open</w:t>
            </w:r>
          </w:p>
        </w:tc>
      </w:tr>
      <w:tr w:rsidR="00B27742" w:rsidRPr="00416070" w:rsidTr="00CE54BA">
        <w:trPr>
          <w:cantSplit/>
          <w:trHeight w:val="271"/>
          <w:tblHeader/>
        </w:trPr>
        <w:tc>
          <w:tcPr>
            <w:tcW w:w="2638" w:type="dxa"/>
            <w:vMerge w:val="restart"/>
            <w:tcBorders>
              <w:top w:val="nil"/>
              <w:left w:val="nil"/>
            </w:tcBorders>
          </w:tcPr>
          <w:p w:rsidR="00B27742" w:rsidRPr="00416070" w:rsidRDefault="00B27742" w:rsidP="00CE54BA">
            <w:pPr>
              <w:widowControl w:val="0"/>
              <w:spacing w:before="20" w:after="20"/>
              <w:rPr>
                <w:rFonts w:cs="Tahoma"/>
                <w:b/>
              </w:rPr>
            </w:pPr>
          </w:p>
        </w:tc>
        <w:tc>
          <w:tcPr>
            <w:tcW w:w="429" w:type="dxa"/>
            <w:vMerge w:val="restart"/>
            <w:vAlign w:val="center"/>
          </w:tcPr>
          <w:p w:rsidR="00B27742" w:rsidRPr="00416070" w:rsidRDefault="00B27742" w:rsidP="00CE54BA">
            <w:pPr>
              <w:keepNext/>
              <w:widowControl w:val="0"/>
              <w:spacing w:before="20" w:after="20"/>
              <w:jc w:val="center"/>
              <w:outlineLvl w:val="0"/>
              <w:rPr>
                <w:rFonts w:cs="Tahoma"/>
                <w:b/>
                <w:color w:val="0000FF"/>
                <w:sz w:val="10"/>
              </w:rPr>
            </w:pPr>
            <w:r w:rsidRPr="00416070">
              <w:rPr>
                <w:rFonts w:cs="Tahoma"/>
                <w:b/>
                <w:color w:val="0000FF"/>
                <w:sz w:val="10"/>
              </w:rPr>
              <w:t>(Ctrl + clique)</w:t>
            </w:r>
          </w:p>
        </w:tc>
        <w:tc>
          <w:tcPr>
            <w:tcW w:w="429" w:type="dxa"/>
            <w:vMerge w:val="restart"/>
            <w:vAlign w:val="center"/>
          </w:tcPr>
          <w:p w:rsidR="00B27742" w:rsidRPr="00416070" w:rsidRDefault="00B27742" w:rsidP="00CE54BA">
            <w:pPr>
              <w:widowControl w:val="0"/>
              <w:spacing w:before="20" w:after="20"/>
              <w:jc w:val="center"/>
              <w:rPr>
                <w:rFonts w:cs="Tahoma"/>
              </w:rPr>
            </w:pPr>
          </w:p>
        </w:tc>
        <w:tc>
          <w:tcPr>
            <w:tcW w:w="429" w:type="dxa"/>
            <w:vMerge w:val="restart"/>
            <w:tcBorders>
              <w:right w:val="single" w:sz="18" w:space="0" w:color="auto"/>
            </w:tcBorders>
            <w:vAlign w:val="center"/>
          </w:tcPr>
          <w:p w:rsidR="00B27742" w:rsidRPr="00416070" w:rsidRDefault="00B27742" w:rsidP="00CE54BA">
            <w:pPr>
              <w:widowControl w:val="0"/>
              <w:spacing w:before="20" w:after="20"/>
              <w:jc w:val="center"/>
              <w:rPr>
                <w:rFonts w:cs="Tahoma"/>
              </w:rPr>
            </w:pPr>
          </w:p>
        </w:tc>
        <w:tc>
          <w:tcPr>
            <w:tcW w:w="429" w:type="dxa"/>
            <w:vMerge w:val="restart"/>
            <w:tcBorders>
              <w:left w:val="single" w:sz="18" w:space="0" w:color="auto"/>
            </w:tcBorders>
            <w:vAlign w:val="center"/>
          </w:tcPr>
          <w:p w:rsidR="00B27742" w:rsidRPr="00416070" w:rsidRDefault="00B27742" w:rsidP="00CE54BA">
            <w:pPr>
              <w:pStyle w:val="TableHeadingsRed"/>
              <w:widowControl w:val="0"/>
              <w:spacing w:before="20" w:after="20"/>
              <w:rPr>
                <w:rFonts w:ascii="Tahoma" w:hAnsi="Tahoma" w:cs="Tahoma"/>
              </w:rPr>
            </w:pPr>
            <w:r w:rsidRPr="00416070">
              <w:rPr>
                <w:rFonts w:ascii="Tahoma" w:hAnsi="Tahoma" w:cs="Tahoma"/>
              </w:rPr>
              <w:t>L</w:t>
            </w:r>
          </w:p>
        </w:tc>
        <w:tc>
          <w:tcPr>
            <w:tcW w:w="1287" w:type="dxa"/>
            <w:gridSpan w:val="3"/>
            <w:vAlign w:val="center"/>
          </w:tcPr>
          <w:p w:rsidR="00B27742" w:rsidRPr="00416070" w:rsidRDefault="00B27742" w:rsidP="00CE54BA">
            <w:pPr>
              <w:pStyle w:val="TableHeadingsGreen"/>
              <w:widowControl w:val="0"/>
              <w:spacing w:before="20" w:after="20"/>
              <w:rPr>
                <w:rFonts w:ascii="Tahoma" w:hAnsi="Tahoma" w:cs="Tahoma"/>
              </w:rPr>
            </w:pPr>
            <w:r w:rsidRPr="00416070">
              <w:rPr>
                <w:rFonts w:ascii="Tahoma" w:hAnsi="Tahoma" w:cs="Tahoma"/>
              </w:rPr>
              <w:t>L&amp;SA</w:t>
            </w:r>
          </w:p>
        </w:tc>
        <w:tc>
          <w:tcPr>
            <w:tcW w:w="1287" w:type="dxa"/>
            <w:gridSpan w:val="3"/>
            <w:tcBorders>
              <w:right w:val="single" w:sz="18" w:space="0" w:color="auto"/>
            </w:tcBorders>
            <w:vAlign w:val="center"/>
          </w:tcPr>
          <w:p w:rsidR="00B27742" w:rsidRPr="00416070" w:rsidRDefault="00B27742" w:rsidP="00CE54BA">
            <w:pPr>
              <w:pStyle w:val="TableHeadingsBlue"/>
              <w:widowControl w:val="0"/>
              <w:spacing w:before="20" w:after="20"/>
              <w:rPr>
                <w:rFonts w:ascii="Tahoma" w:hAnsi="Tahoma" w:cs="Tahoma"/>
              </w:rPr>
            </w:pPr>
            <w:r w:rsidRPr="00416070">
              <w:rPr>
                <w:rFonts w:ascii="Tahoma" w:hAnsi="Tahoma" w:cs="Tahoma"/>
              </w:rPr>
              <w:t>SA</w:t>
            </w:r>
          </w:p>
        </w:tc>
        <w:tc>
          <w:tcPr>
            <w:tcW w:w="429" w:type="dxa"/>
            <w:vMerge w:val="restart"/>
            <w:tcBorders>
              <w:left w:val="single" w:sz="18" w:space="0" w:color="auto"/>
            </w:tcBorders>
            <w:vAlign w:val="center"/>
          </w:tcPr>
          <w:p w:rsidR="00B27742" w:rsidRPr="00416070" w:rsidRDefault="00B27742" w:rsidP="00CE54BA">
            <w:pPr>
              <w:pStyle w:val="TableHeadingsRed"/>
              <w:widowControl w:val="0"/>
              <w:spacing w:before="20" w:after="20"/>
              <w:rPr>
                <w:rFonts w:ascii="Tahoma" w:hAnsi="Tahoma" w:cs="Tahoma"/>
              </w:rPr>
            </w:pPr>
            <w:r w:rsidRPr="00416070">
              <w:rPr>
                <w:rFonts w:ascii="Tahoma" w:hAnsi="Tahoma" w:cs="Tahoma"/>
              </w:rPr>
              <w:t>L</w:t>
            </w:r>
          </w:p>
        </w:tc>
        <w:tc>
          <w:tcPr>
            <w:tcW w:w="429" w:type="dxa"/>
            <w:vAlign w:val="center"/>
          </w:tcPr>
          <w:p w:rsidR="00B27742" w:rsidRPr="00416070" w:rsidRDefault="00B27742" w:rsidP="00CE54BA">
            <w:pPr>
              <w:pStyle w:val="TableHeadingsGreen"/>
              <w:widowControl w:val="0"/>
              <w:spacing w:before="20" w:after="20"/>
              <w:rPr>
                <w:rFonts w:ascii="Tahoma" w:hAnsi="Tahoma" w:cs="Tahoma"/>
              </w:rPr>
            </w:pPr>
            <w:r w:rsidRPr="00416070">
              <w:rPr>
                <w:rFonts w:ascii="Tahoma" w:hAnsi="Tahoma" w:cs="Tahoma"/>
              </w:rPr>
              <w:t>L&amp;SA</w:t>
            </w:r>
          </w:p>
        </w:tc>
        <w:tc>
          <w:tcPr>
            <w:tcW w:w="429" w:type="dxa"/>
            <w:vMerge w:val="restart"/>
            <w:tcBorders>
              <w:right w:val="single" w:sz="18" w:space="0" w:color="auto"/>
            </w:tcBorders>
            <w:vAlign w:val="center"/>
          </w:tcPr>
          <w:p w:rsidR="00B27742" w:rsidRPr="00416070" w:rsidRDefault="00B27742" w:rsidP="00CE54BA">
            <w:pPr>
              <w:pStyle w:val="TableHeadingsBlue"/>
              <w:widowControl w:val="0"/>
              <w:spacing w:before="20" w:after="20"/>
              <w:rPr>
                <w:rFonts w:ascii="Tahoma" w:hAnsi="Tahoma" w:cs="Tahoma"/>
              </w:rPr>
            </w:pPr>
            <w:r w:rsidRPr="00416070">
              <w:rPr>
                <w:rFonts w:ascii="Tahoma" w:hAnsi="Tahoma" w:cs="Tahoma"/>
              </w:rPr>
              <w:t>SA</w:t>
            </w:r>
          </w:p>
        </w:tc>
        <w:tc>
          <w:tcPr>
            <w:tcW w:w="429" w:type="dxa"/>
            <w:vMerge w:val="restart"/>
            <w:tcBorders>
              <w:left w:val="single" w:sz="18" w:space="0" w:color="auto"/>
            </w:tcBorders>
            <w:vAlign w:val="center"/>
          </w:tcPr>
          <w:p w:rsidR="00B27742" w:rsidRPr="00416070" w:rsidRDefault="00B27742" w:rsidP="00CE54BA">
            <w:pPr>
              <w:widowControl w:val="0"/>
              <w:spacing w:before="20" w:after="20"/>
              <w:jc w:val="center"/>
              <w:rPr>
                <w:rFonts w:cs="Tahoma"/>
              </w:rPr>
            </w:pPr>
          </w:p>
        </w:tc>
        <w:tc>
          <w:tcPr>
            <w:tcW w:w="429" w:type="dxa"/>
            <w:vMerge w:val="restart"/>
            <w:tcBorders>
              <w:right w:val="single" w:sz="18" w:space="0" w:color="auto"/>
            </w:tcBorders>
            <w:vAlign w:val="center"/>
          </w:tcPr>
          <w:p w:rsidR="00B27742" w:rsidRPr="00416070" w:rsidRDefault="00B27742" w:rsidP="00CE54BA">
            <w:pPr>
              <w:widowControl w:val="0"/>
              <w:spacing w:before="20" w:after="20"/>
              <w:jc w:val="center"/>
              <w:rPr>
                <w:rFonts w:cs="Tahoma"/>
              </w:rPr>
            </w:pPr>
          </w:p>
        </w:tc>
        <w:tc>
          <w:tcPr>
            <w:tcW w:w="429" w:type="dxa"/>
            <w:vMerge w:val="restart"/>
            <w:tcBorders>
              <w:left w:val="single" w:sz="18" w:space="0" w:color="auto"/>
              <w:right w:val="single" w:sz="18" w:space="0" w:color="auto"/>
            </w:tcBorders>
            <w:vAlign w:val="center"/>
          </w:tcPr>
          <w:p w:rsidR="00B27742" w:rsidRPr="00416070" w:rsidRDefault="00B27742" w:rsidP="00CE54BA">
            <w:pPr>
              <w:widowControl w:val="0"/>
              <w:spacing w:before="20" w:after="20"/>
              <w:jc w:val="center"/>
              <w:rPr>
                <w:rFonts w:cs="Tahoma"/>
              </w:rPr>
            </w:pPr>
          </w:p>
        </w:tc>
        <w:tc>
          <w:tcPr>
            <w:tcW w:w="643" w:type="dxa"/>
            <w:vMerge w:val="restart"/>
            <w:vAlign w:val="center"/>
          </w:tcPr>
          <w:p w:rsidR="00B27742" w:rsidRPr="00416070" w:rsidRDefault="00B27742" w:rsidP="00CE54BA">
            <w:pPr>
              <w:widowControl w:val="0"/>
              <w:spacing w:before="20" w:after="20"/>
              <w:jc w:val="center"/>
              <w:rPr>
                <w:rFonts w:cs="Tahoma"/>
              </w:rPr>
            </w:pPr>
          </w:p>
        </w:tc>
        <w:tc>
          <w:tcPr>
            <w:tcW w:w="540" w:type="dxa"/>
            <w:vMerge w:val="restart"/>
            <w:vAlign w:val="center"/>
          </w:tcPr>
          <w:p w:rsidR="00B27742" w:rsidRPr="00416070" w:rsidRDefault="00B27742" w:rsidP="00CE54BA">
            <w:pPr>
              <w:widowControl w:val="0"/>
              <w:spacing w:before="20" w:after="20"/>
              <w:jc w:val="center"/>
              <w:rPr>
                <w:rFonts w:cs="Tahoma"/>
              </w:rPr>
            </w:pPr>
          </w:p>
        </w:tc>
      </w:tr>
      <w:tr w:rsidR="00B27742" w:rsidRPr="00416070" w:rsidTr="00CE54BA">
        <w:trPr>
          <w:cantSplit/>
          <w:trHeight w:val="262"/>
          <w:tblHeader/>
        </w:trPr>
        <w:tc>
          <w:tcPr>
            <w:tcW w:w="2638" w:type="dxa"/>
            <w:vMerge/>
            <w:tcBorders>
              <w:top w:val="single" w:sz="4" w:space="0" w:color="auto"/>
              <w:left w:val="nil"/>
              <w:bottom w:val="single" w:sz="4" w:space="0" w:color="auto"/>
            </w:tcBorders>
          </w:tcPr>
          <w:p w:rsidR="00B27742" w:rsidRPr="00416070" w:rsidRDefault="00B27742" w:rsidP="00CE54BA">
            <w:pPr>
              <w:widowControl w:val="0"/>
              <w:spacing w:before="20" w:after="20"/>
              <w:rPr>
                <w:rFonts w:cs="Tahoma"/>
              </w:rPr>
            </w:pPr>
          </w:p>
        </w:tc>
        <w:tc>
          <w:tcPr>
            <w:tcW w:w="429" w:type="dxa"/>
            <w:vMerge/>
            <w:tcBorders>
              <w:bottom w:val="single" w:sz="4" w:space="0" w:color="auto"/>
            </w:tcBorders>
            <w:vAlign w:val="center"/>
          </w:tcPr>
          <w:p w:rsidR="00B27742" w:rsidRPr="00416070" w:rsidRDefault="00B27742" w:rsidP="00CE54BA">
            <w:pPr>
              <w:keepNext/>
              <w:widowControl w:val="0"/>
              <w:spacing w:before="20" w:after="20"/>
              <w:jc w:val="center"/>
              <w:outlineLvl w:val="0"/>
              <w:rPr>
                <w:rFonts w:cs="Tahoma"/>
                <w:b/>
              </w:rPr>
            </w:pPr>
          </w:p>
        </w:tc>
        <w:tc>
          <w:tcPr>
            <w:tcW w:w="429" w:type="dxa"/>
            <w:vMerge/>
            <w:tcBorders>
              <w:bottom w:val="single" w:sz="4" w:space="0" w:color="auto"/>
            </w:tcBorders>
            <w:vAlign w:val="center"/>
          </w:tcPr>
          <w:p w:rsidR="00B27742" w:rsidRPr="00416070" w:rsidRDefault="00B27742" w:rsidP="00CE54BA">
            <w:pPr>
              <w:widowControl w:val="0"/>
              <w:spacing w:before="20" w:after="20"/>
              <w:jc w:val="center"/>
              <w:rPr>
                <w:rFonts w:cs="Tahoma"/>
              </w:rPr>
            </w:pPr>
          </w:p>
        </w:tc>
        <w:tc>
          <w:tcPr>
            <w:tcW w:w="429" w:type="dxa"/>
            <w:vMerge/>
            <w:tcBorders>
              <w:bottom w:val="single" w:sz="4" w:space="0" w:color="auto"/>
              <w:right w:val="single" w:sz="18" w:space="0" w:color="auto"/>
            </w:tcBorders>
            <w:vAlign w:val="center"/>
          </w:tcPr>
          <w:p w:rsidR="00B27742" w:rsidRPr="00416070" w:rsidRDefault="00B27742" w:rsidP="00CE54BA">
            <w:pPr>
              <w:widowControl w:val="0"/>
              <w:spacing w:before="20" w:after="20"/>
              <w:jc w:val="center"/>
              <w:rPr>
                <w:rFonts w:cs="Tahoma"/>
              </w:rPr>
            </w:pPr>
          </w:p>
        </w:tc>
        <w:tc>
          <w:tcPr>
            <w:tcW w:w="429" w:type="dxa"/>
            <w:vMerge/>
            <w:tcBorders>
              <w:left w:val="single" w:sz="18" w:space="0" w:color="auto"/>
              <w:bottom w:val="single" w:sz="4" w:space="0" w:color="auto"/>
            </w:tcBorders>
            <w:vAlign w:val="center"/>
          </w:tcPr>
          <w:p w:rsidR="00B27742" w:rsidRPr="00416070" w:rsidRDefault="00B27742" w:rsidP="00CE54BA">
            <w:pPr>
              <w:widowControl w:val="0"/>
              <w:spacing w:before="20" w:after="20"/>
              <w:jc w:val="center"/>
              <w:rPr>
                <w:rFonts w:cs="Tahoma"/>
              </w:rPr>
            </w:pPr>
          </w:p>
        </w:tc>
        <w:tc>
          <w:tcPr>
            <w:tcW w:w="429" w:type="dxa"/>
            <w:tcBorders>
              <w:bottom w:val="single" w:sz="4" w:space="0" w:color="auto"/>
            </w:tcBorders>
            <w:vAlign w:val="center"/>
          </w:tcPr>
          <w:p w:rsidR="00B27742" w:rsidRPr="00416070" w:rsidRDefault="00B27742" w:rsidP="00CE54BA">
            <w:pPr>
              <w:pStyle w:val="TableHeadingsGreen"/>
              <w:widowControl w:val="0"/>
              <w:spacing w:before="20" w:after="20"/>
              <w:rPr>
                <w:rFonts w:ascii="Tahoma" w:hAnsi="Tahoma" w:cs="Tahoma"/>
              </w:rPr>
            </w:pPr>
            <w:r w:rsidRPr="00416070">
              <w:rPr>
                <w:rFonts w:ascii="Tahoma" w:hAnsi="Tahoma" w:cs="Tahoma"/>
              </w:rPr>
              <w:t>3An</w:t>
            </w:r>
          </w:p>
        </w:tc>
        <w:tc>
          <w:tcPr>
            <w:tcW w:w="429" w:type="dxa"/>
            <w:tcBorders>
              <w:bottom w:val="single" w:sz="4" w:space="0" w:color="auto"/>
            </w:tcBorders>
            <w:vAlign w:val="center"/>
          </w:tcPr>
          <w:p w:rsidR="00B27742" w:rsidRPr="00416070" w:rsidRDefault="00B27742" w:rsidP="00CE54BA">
            <w:pPr>
              <w:pStyle w:val="TableHeadingsGreen"/>
              <w:widowControl w:val="0"/>
              <w:spacing w:before="20" w:after="20"/>
              <w:rPr>
                <w:rFonts w:ascii="Tahoma" w:hAnsi="Tahoma" w:cs="Tahoma"/>
              </w:rPr>
            </w:pPr>
            <w:r w:rsidRPr="00416070">
              <w:rPr>
                <w:rFonts w:ascii="Tahoma" w:hAnsi="Tahoma" w:cs="Tahoma"/>
              </w:rPr>
              <w:t>2An</w:t>
            </w:r>
          </w:p>
        </w:tc>
        <w:tc>
          <w:tcPr>
            <w:tcW w:w="429" w:type="dxa"/>
            <w:tcBorders>
              <w:bottom w:val="single" w:sz="4" w:space="0" w:color="auto"/>
            </w:tcBorders>
            <w:vAlign w:val="center"/>
          </w:tcPr>
          <w:p w:rsidR="00B27742" w:rsidRPr="00416070" w:rsidRDefault="00B27742" w:rsidP="00CE54BA">
            <w:pPr>
              <w:pStyle w:val="TableHeadingsGreen"/>
              <w:widowControl w:val="0"/>
              <w:spacing w:before="20" w:after="20"/>
              <w:rPr>
                <w:rFonts w:ascii="Tahoma" w:hAnsi="Tahoma" w:cs="Tahoma"/>
              </w:rPr>
            </w:pPr>
            <w:r w:rsidRPr="00416070">
              <w:rPr>
                <w:rFonts w:ascii="Tahoma" w:hAnsi="Tahoma" w:cs="Tahoma"/>
              </w:rPr>
              <w:t>1An</w:t>
            </w:r>
          </w:p>
        </w:tc>
        <w:tc>
          <w:tcPr>
            <w:tcW w:w="429" w:type="dxa"/>
            <w:tcBorders>
              <w:bottom w:val="single" w:sz="4" w:space="0" w:color="auto"/>
            </w:tcBorders>
            <w:vAlign w:val="center"/>
          </w:tcPr>
          <w:p w:rsidR="00B27742" w:rsidRPr="00416070" w:rsidRDefault="00B27742" w:rsidP="00CE54BA">
            <w:pPr>
              <w:pStyle w:val="TableHeadingsBlue"/>
              <w:widowControl w:val="0"/>
              <w:spacing w:before="20" w:after="20"/>
              <w:rPr>
                <w:rFonts w:ascii="Tahoma" w:hAnsi="Tahoma" w:cs="Tahoma"/>
              </w:rPr>
            </w:pPr>
            <w:r w:rsidRPr="00416070">
              <w:rPr>
                <w:rFonts w:ascii="Tahoma" w:hAnsi="Tahoma" w:cs="Tahoma"/>
              </w:rPr>
              <w:t>3An</w:t>
            </w:r>
          </w:p>
        </w:tc>
        <w:tc>
          <w:tcPr>
            <w:tcW w:w="429" w:type="dxa"/>
            <w:tcBorders>
              <w:bottom w:val="single" w:sz="4" w:space="0" w:color="auto"/>
            </w:tcBorders>
            <w:vAlign w:val="center"/>
          </w:tcPr>
          <w:p w:rsidR="00B27742" w:rsidRPr="00416070" w:rsidRDefault="00B27742" w:rsidP="00CE54BA">
            <w:pPr>
              <w:pStyle w:val="TableHeadingsBlue"/>
              <w:widowControl w:val="0"/>
              <w:spacing w:before="20" w:after="20"/>
              <w:rPr>
                <w:rFonts w:ascii="Tahoma" w:hAnsi="Tahoma" w:cs="Tahoma"/>
              </w:rPr>
            </w:pPr>
            <w:r w:rsidRPr="00416070">
              <w:rPr>
                <w:rFonts w:ascii="Tahoma" w:hAnsi="Tahoma" w:cs="Tahoma"/>
              </w:rPr>
              <w:t>2An</w:t>
            </w:r>
          </w:p>
        </w:tc>
        <w:tc>
          <w:tcPr>
            <w:tcW w:w="429" w:type="dxa"/>
            <w:tcBorders>
              <w:bottom w:val="single" w:sz="4" w:space="0" w:color="auto"/>
              <w:right w:val="single" w:sz="18" w:space="0" w:color="auto"/>
            </w:tcBorders>
            <w:vAlign w:val="center"/>
          </w:tcPr>
          <w:p w:rsidR="00B27742" w:rsidRPr="00416070" w:rsidRDefault="00B27742" w:rsidP="00CE54BA">
            <w:pPr>
              <w:pStyle w:val="TableHeadingsBlue"/>
              <w:widowControl w:val="0"/>
              <w:spacing w:before="20" w:after="20"/>
              <w:rPr>
                <w:rFonts w:ascii="Tahoma" w:hAnsi="Tahoma" w:cs="Tahoma"/>
              </w:rPr>
            </w:pPr>
            <w:r w:rsidRPr="00416070">
              <w:rPr>
                <w:rFonts w:ascii="Tahoma" w:hAnsi="Tahoma" w:cs="Tahoma"/>
              </w:rPr>
              <w:t>1An</w:t>
            </w:r>
          </w:p>
        </w:tc>
        <w:tc>
          <w:tcPr>
            <w:tcW w:w="429" w:type="dxa"/>
            <w:vMerge/>
            <w:tcBorders>
              <w:left w:val="single" w:sz="18" w:space="0" w:color="auto"/>
              <w:bottom w:val="single" w:sz="4" w:space="0" w:color="auto"/>
            </w:tcBorders>
            <w:vAlign w:val="center"/>
          </w:tcPr>
          <w:p w:rsidR="00B27742" w:rsidRPr="00416070" w:rsidRDefault="00B27742" w:rsidP="00CE54BA">
            <w:pPr>
              <w:widowControl w:val="0"/>
              <w:spacing w:before="20" w:after="20"/>
              <w:jc w:val="center"/>
              <w:rPr>
                <w:rFonts w:cs="Tahoma"/>
              </w:rPr>
            </w:pPr>
          </w:p>
        </w:tc>
        <w:tc>
          <w:tcPr>
            <w:tcW w:w="429" w:type="dxa"/>
            <w:tcBorders>
              <w:bottom w:val="single" w:sz="4" w:space="0" w:color="auto"/>
            </w:tcBorders>
            <w:vAlign w:val="center"/>
          </w:tcPr>
          <w:p w:rsidR="00B27742" w:rsidRPr="00416070" w:rsidRDefault="00B27742" w:rsidP="00CE54BA">
            <w:pPr>
              <w:pStyle w:val="TableHeadingsGreen"/>
              <w:widowControl w:val="0"/>
              <w:spacing w:before="20" w:after="20"/>
              <w:rPr>
                <w:rFonts w:ascii="Tahoma" w:hAnsi="Tahoma" w:cs="Tahoma"/>
              </w:rPr>
            </w:pPr>
            <w:r w:rsidRPr="00416070">
              <w:rPr>
                <w:rFonts w:ascii="Tahoma" w:hAnsi="Tahoma" w:cs="Tahoma"/>
              </w:rPr>
              <w:t>P</w:t>
            </w:r>
          </w:p>
        </w:tc>
        <w:tc>
          <w:tcPr>
            <w:tcW w:w="429" w:type="dxa"/>
            <w:vMerge/>
            <w:tcBorders>
              <w:bottom w:val="single" w:sz="4" w:space="0" w:color="auto"/>
              <w:right w:val="single" w:sz="18" w:space="0" w:color="auto"/>
            </w:tcBorders>
            <w:vAlign w:val="center"/>
          </w:tcPr>
          <w:p w:rsidR="00B27742" w:rsidRPr="00416070" w:rsidRDefault="00B27742" w:rsidP="00CE54BA">
            <w:pPr>
              <w:widowControl w:val="0"/>
              <w:spacing w:before="20" w:after="20"/>
              <w:jc w:val="center"/>
              <w:rPr>
                <w:rFonts w:cs="Tahoma"/>
              </w:rPr>
            </w:pPr>
          </w:p>
        </w:tc>
        <w:tc>
          <w:tcPr>
            <w:tcW w:w="429" w:type="dxa"/>
            <w:vMerge/>
            <w:tcBorders>
              <w:left w:val="single" w:sz="18" w:space="0" w:color="auto"/>
              <w:bottom w:val="single" w:sz="4" w:space="0" w:color="auto"/>
            </w:tcBorders>
            <w:vAlign w:val="center"/>
          </w:tcPr>
          <w:p w:rsidR="00B27742" w:rsidRPr="00416070" w:rsidRDefault="00B27742" w:rsidP="00CE54BA">
            <w:pPr>
              <w:widowControl w:val="0"/>
              <w:spacing w:before="20" w:after="20"/>
              <w:jc w:val="center"/>
              <w:rPr>
                <w:rFonts w:cs="Tahoma"/>
              </w:rPr>
            </w:pPr>
          </w:p>
        </w:tc>
        <w:tc>
          <w:tcPr>
            <w:tcW w:w="429" w:type="dxa"/>
            <w:vMerge/>
            <w:tcBorders>
              <w:bottom w:val="single" w:sz="4" w:space="0" w:color="auto"/>
              <w:right w:val="single" w:sz="18" w:space="0" w:color="auto"/>
            </w:tcBorders>
            <w:vAlign w:val="center"/>
          </w:tcPr>
          <w:p w:rsidR="00B27742" w:rsidRPr="00416070" w:rsidRDefault="00B27742" w:rsidP="00CE54BA">
            <w:pPr>
              <w:widowControl w:val="0"/>
              <w:spacing w:before="20" w:after="20"/>
              <w:jc w:val="center"/>
              <w:rPr>
                <w:rFonts w:cs="Tahoma"/>
              </w:rPr>
            </w:pPr>
          </w:p>
        </w:tc>
        <w:tc>
          <w:tcPr>
            <w:tcW w:w="429" w:type="dxa"/>
            <w:vMerge/>
            <w:tcBorders>
              <w:left w:val="single" w:sz="18" w:space="0" w:color="auto"/>
              <w:bottom w:val="single" w:sz="4" w:space="0" w:color="auto"/>
              <w:right w:val="single" w:sz="18" w:space="0" w:color="auto"/>
            </w:tcBorders>
            <w:vAlign w:val="center"/>
          </w:tcPr>
          <w:p w:rsidR="00B27742" w:rsidRPr="00416070" w:rsidRDefault="00B27742" w:rsidP="00CE54BA">
            <w:pPr>
              <w:widowControl w:val="0"/>
              <w:spacing w:before="20" w:after="20"/>
              <w:jc w:val="center"/>
              <w:rPr>
                <w:rFonts w:cs="Tahoma"/>
              </w:rPr>
            </w:pPr>
          </w:p>
        </w:tc>
        <w:tc>
          <w:tcPr>
            <w:tcW w:w="643" w:type="dxa"/>
            <w:vMerge/>
            <w:tcBorders>
              <w:bottom w:val="single" w:sz="4" w:space="0" w:color="auto"/>
            </w:tcBorders>
            <w:vAlign w:val="center"/>
          </w:tcPr>
          <w:p w:rsidR="00B27742" w:rsidRPr="00416070" w:rsidRDefault="00B27742" w:rsidP="00CE54BA">
            <w:pPr>
              <w:widowControl w:val="0"/>
              <w:spacing w:before="20" w:after="20"/>
              <w:jc w:val="center"/>
              <w:rPr>
                <w:rFonts w:cs="Tahoma"/>
              </w:rPr>
            </w:pPr>
          </w:p>
        </w:tc>
        <w:tc>
          <w:tcPr>
            <w:tcW w:w="540" w:type="dxa"/>
            <w:vMerge/>
            <w:tcBorders>
              <w:bottom w:val="single" w:sz="4" w:space="0" w:color="auto"/>
            </w:tcBorders>
            <w:vAlign w:val="center"/>
          </w:tcPr>
          <w:p w:rsidR="00B27742" w:rsidRPr="00416070" w:rsidRDefault="00B27742" w:rsidP="00CE54BA">
            <w:pPr>
              <w:widowControl w:val="0"/>
              <w:spacing w:before="20" w:after="20"/>
              <w:jc w:val="center"/>
              <w:rPr>
                <w:rFonts w:cs="Tahoma"/>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B27742" w:rsidRPr="00416070" w:rsidRDefault="00B27742" w:rsidP="005C0614">
            <w:pPr>
              <w:pStyle w:val="ProductNames"/>
              <w:spacing w:beforeLines="20" w:before="48" w:afterLines="20" w:after="48"/>
              <w:rPr>
                <w:rFonts w:ascii="Tahoma" w:hAnsi="Tahoma" w:cs="Tahoma"/>
                <w:sz w:val="14"/>
              </w:rPr>
            </w:pPr>
            <w:bookmarkStart w:id="18" w:name="_Toc336337843"/>
            <w:bookmarkStart w:id="19" w:name="_Toc352233920"/>
            <w:r w:rsidRPr="00416070">
              <w:rPr>
                <w:rFonts w:ascii="Tahoma" w:hAnsi="Tahoma" w:cs="Tahoma"/>
                <w:sz w:val="14"/>
              </w:rPr>
              <w:t xml:space="preserve">Access </w:t>
            </w:r>
            <w:bookmarkEnd w:id="18"/>
            <w:r w:rsidRPr="00416070">
              <w:rPr>
                <w:rFonts w:ascii="Tahoma" w:hAnsi="Tahoma" w:cs="Tahoma"/>
                <w:sz w:val="14"/>
              </w:rPr>
              <w:t>2013</w:t>
            </w:r>
            <w:bookmarkEnd w:id="19"/>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FABF8F"/>
            <w:vAlign w:val="center"/>
          </w:tcPr>
          <w:p w:rsidR="00B27742" w:rsidRPr="00416070" w:rsidRDefault="00014EAD"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FFFFF"/>
            <w:vAlign w:val="center"/>
          </w:tcPr>
          <w:p w:rsidR="00B27742" w:rsidRPr="00416070" w:rsidRDefault="00B27742" w:rsidP="005C0614">
            <w:pPr>
              <w:pStyle w:val="ProductNames"/>
              <w:spacing w:beforeLines="20" w:before="48" w:afterLines="20" w:after="48"/>
              <w:rPr>
                <w:rFonts w:ascii="Tahoma" w:hAnsi="Tahoma" w:cs="Tahoma"/>
                <w:sz w:val="14"/>
              </w:rPr>
            </w:pPr>
            <w:bookmarkStart w:id="20" w:name="_Toc336337844"/>
            <w:bookmarkStart w:id="21" w:name="_Toc352233921"/>
            <w:r w:rsidRPr="00416070">
              <w:rPr>
                <w:rFonts w:ascii="Tahoma" w:hAnsi="Tahoma" w:cs="Tahoma"/>
                <w:sz w:val="14"/>
              </w:rPr>
              <w:t>AutoRoute 2013</w:t>
            </w:r>
            <w:bookmarkEnd w:id="20"/>
            <w:bookmarkEnd w:id="21"/>
          </w:p>
        </w:tc>
        <w:tc>
          <w:tcPr>
            <w:tcW w:w="429" w:type="dxa"/>
            <w:tcBorders>
              <w:bottom w:val="single" w:sz="4" w:space="0" w:color="auto"/>
            </w:tcBorders>
            <w:shd w:val="clear" w:color="auto" w:fill="FFFFFF"/>
            <w:vAlign w:val="center"/>
          </w:tcPr>
          <w:p w:rsidR="00B27742" w:rsidRPr="00416070" w:rsidRDefault="00B27742" w:rsidP="00CE54BA">
            <w:pPr>
              <w:pStyle w:val="TableText"/>
              <w:widowControl w:val="0"/>
              <w:spacing w:before="20" w:after="20"/>
              <w:rPr>
                <w:rFonts w:cs="Tahoma"/>
                <w:b/>
                <w:color w:val="0000FF"/>
                <w:sz w:val="13"/>
                <w:szCs w:val="13"/>
                <w:u w:val="single"/>
              </w:rPr>
            </w:pPr>
          </w:p>
        </w:tc>
        <w:tc>
          <w:tcPr>
            <w:tcW w:w="429" w:type="dxa"/>
            <w:tcBorders>
              <w:bottom w:val="single" w:sz="4" w:space="0" w:color="auto"/>
            </w:tcBorders>
            <w:shd w:val="clear" w:color="auto" w:fill="FFFFFF"/>
            <w:vAlign w:val="center"/>
          </w:tcPr>
          <w:p w:rsidR="00B27742" w:rsidRPr="00416070" w:rsidRDefault="00E64830" w:rsidP="00CE54BA">
            <w:pPr>
              <w:pStyle w:val="TableText"/>
              <w:widowControl w:val="0"/>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FFFFF"/>
            <w:vAlign w:val="center"/>
          </w:tcPr>
          <w:p w:rsidR="00B27742" w:rsidRPr="00416070" w:rsidRDefault="00F440F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FFFFFF"/>
            <w:vAlign w:val="center"/>
          </w:tcPr>
          <w:p w:rsidR="00B27742" w:rsidRPr="00416070" w:rsidRDefault="00B27742"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B27742" w:rsidRPr="00416070" w:rsidRDefault="00B27742" w:rsidP="005C0614">
            <w:pPr>
              <w:pStyle w:val="ProductNames"/>
              <w:spacing w:beforeLines="20" w:before="48" w:afterLines="20" w:after="48"/>
              <w:rPr>
                <w:rFonts w:ascii="Tahoma" w:hAnsi="Tahoma" w:cs="Tahoma"/>
                <w:sz w:val="14"/>
              </w:rPr>
            </w:pPr>
            <w:bookmarkStart w:id="22" w:name="_Toc336337846"/>
            <w:bookmarkStart w:id="23" w:name="_Toc352233922"/>
            <w:r w:rsidRPr="00416070">
              <w:rPr>
                <w:rFonts w:ascii="Tahoma" w:hAnsi="Tahoma" w:cs="Tahoma"/>
                <w:sz w:val="14"/>
              </w:rPr>
              <w:t xml:space="preserve">Excel </w:t>
            </w:r>
            <w:bookmarkEnd w:id="22"/>
            <w:r w:rsidRPr="00416070">
              <w:rPr>
                <w:rFonts w:ascii="Tahoma" w:hAnsi="Tahoma" w:cs="Tahoma"/>
                <w:sz w:val="14"/>
              </w:rPr>
              <w:t>2013</w:t>
            </w:r>
            <w:bookmarkEnd w:id="23"/>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416070" w:rsidRDefault="00014EAD"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r>
      <w:tr w:rsidR="00B33D0E" w:rsidRPr="00416070" w:rsidTr="005C0614">
        <w:trPr>
          <w:cantSplit/>
          <w:trHeight w:val="278"/>
        </w:trPr>
        <w:tc>
          <w:tcPr>
            <w:tcW w:w="2638" w:type="dxa"/>
            <w:tcBorders>
              <w:bottom w:val="single" w:sz="4" w:space="0" w:color="auto"/>
            </w:tcBorders>
            <w:shd w:val="clear" w:color="auto" w:fill="auto"/>
            <w:vAlign w:val="center"/>
          </w:tcPr>
          <w:p w:rsidR="00B27742" w:rsidRPr="00416070" w:rsidRDefault="00B27742" w:rsidP="005C0614">
            <w:pPr>
              <w:pStyle w:val="ProductNames"/>
              <w:spacing w:beforeLines="20" w:before="48" w:afterLines="20" w:after="48"/>
              <w:rPr>
                <w:rFonts w:ascii="Tahoma" w:hAnsi="Tahoma" w:cs="Tahoma"/>
                <w:sz w:val="14"/>
              </w:rPr>
            </w:pPr>
            <w:bookmarkStart w:id="24" w:name="_Toc336337847"/>
            <w:bookmarkStart w:id="25" w:name="_Toc352233923"/>
            <w:r w:rsidRPr="00416070">
              <w:rPr>
                <w:rFonts w:ascii="Tahoma" w:hAnsi="Tahoma" w:cs="Tahoma"/>
                <w:sz w:val="14"/>
              </w:rPr>
              <w:t>Excel para Mac 2011</w:t>
            </w:r>
            <w:bookmarkEnd w:id="24"/>
            <w:bookmarkEnd w:id="25"/>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B27742" w:rsidRPr="00416070" w:rsidRDefault="00B27742" w:rsidP="005C0614">
            <w:pPr>
              <w:pStyle w:val="Heading2"/>
              <w:spacing w:beforeLines="20" w:before="48" w:afterLines="20" w:after="48"/>
              <w:ind w:left="0"/>
              <w:rPr>
                <w:rFonts w:ascii="Tahoma" w:hAnsi="Tahoma" w:cs="Tahoma"/>
                <w:b w:val="0"/>
                <w:sz w:val="14"/>
              </w:rPr>
            </w:pPr>
            <w:bookmarkStart w:id="26" w:name="_Toc336337850"/>
            <w:bookmarkStart w:id="27" w:name="_Toc352233924"/>
            <w:r w:rsidRPr="00416070">
              <w:rPr>
                <w:rFonts w:ascii="Tahoma" w:hAnsi="Tahoma" w:cs="Tahoma"/>
                <w:b w:val="0"/>
                <w:sz w:val="14"/>
              </w:rPr>
              <w:t>Expression Encoder Pro 4</w:t>
            </w:r>
            <w:bookmarkEnd w:id="26"/>
            <w:bookmarkEnd w:id="27"/>
          </w:p>
        </w:tc>
        <w:tc>
          <w:tcPr>
            <w:tcW w:w="429" w:type="dxa"/>
            <w:tcBorders>
              <w:bottom w:val="single" w:sz="4" w:space="0" w:color="auto"/>
            </w:tcBorders>
            <w:shd w:val="clear" w:color="auto" w:fill="FABF8F"/>
            <w:vAlign w:val="center"/>
          </w:tcPr>
          <w:p w:rsidR="00B27742" w:rsidRPr="00416070" w:rsidRDefault="008719E7" w:rsidP="00CE54BA">
            <w:pPr>
              <w:pStyle w:val="TableText"/>
              <w:widowControl w:val="0"/>
              <w:spacing w:before="20" w:after="20"/>
              <w:rPr>
                <w:rStyle w:val="EndnoteReference"/>
                <w:rFonts w:cs="Tahoma"/>
                <w:color w:val="0000FF"/>
                <w:sz w:val="13"/>
                <w:szCs w:val="13"/>
                <w:u w:val="single"/>
              </w:rPr>
            </w:pPr>
            <w:hyperlink w:anchor="_1_Expression_Encoder" w:history="1">
              <w:r w:rsidR="005B0EC7" w:rsidRPr="00416070">
                <w:rPr>
                  <w:rStyle w:val="Hyperlink"/>
                </w:rPr>
                <w:t>1</w:t>
              </w:r>
            </w:hyperlink>
          </w:p>
        </w:tc>
        <w:tc>
          <w:tcPr>
            <w:tcW w:w="429" w:type="dxa"/>
            <w:tcBorders>
              <w:bottom w:val="single" w:sz="4" w:space="0" w:color="auto"/>
            </w:tcBorders>
            <w:shd w:val="clear" w:color="auto" w:fill="FABF8F"/>
            <w:vAlign w:val="center"/>
          </w:tcPr>
          <w:p w:rsidR="00B27742" w:rsidRPr="00416070" w:rsidRDefault="00913F3F" w:rsidP="00CE54BA">
            <w:pPr>
              <w:pStyle w:val="TableText"/>
              <w:widowControl w:val="0"/>
              <w:spacing w:before="20" w:after="20"/>
              <w:rPr>
                <w:rFonts w:ascii="Tahoma" w:hAnsi="Tahoma" w:cs="Tahoma"/>
                <w:sz w:val="13"/>
              </w:rPr>
            </w:pPr>
            <w:r w:rsidRPr="00416070">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r>
      <w:tr w:rsidR="00B33D0E" w:rsidRPr="00416070" w:rsidTr="005C0614">
        <w:trPr>
          <w:cantSplit/>
          <w:trHeight w:val="287"/>
        </w:trPr>
        <w:tc>
          <w:tcPr>
            <w:tcW w:w="2638" w:type="dxa"/>
            <w:tcBorders>
              <w:bottom w:val="single" w:sz="4" w:space="0" w:color="auto"/>
            </w:tcBorders>
            <w:shd w:val="clear" w:color="auto" w:fill="auto"/>
            <w:vAlign w:val="center"/>
          </w:tcPr>
          <w:p w:rsidR="00B27742" w:rsidRPr="00416070" w:rsidRDefault="00B27742" w:rsidP="005C0614">
            <w:pPr>
              <w:pStyle w:val="Heading2"/>
              <w:spacing w:beforeLines="20" w:before="48" w:afterLines="20" w:after="48"/>
              <w:ind w:left="0"/>
              <w:rPr>
                <w:rFonts w:ascii="Tahoma" w:hAnsi="Tahoma" w:cs="Tahoma"/>
                <w:b w:val="0"/>
                <w:sz w:val="14"/>
              </w:rPr>
            </w:pPr>
            <w:bookmarkStart w:id="28" w:name="_Toc336337851"/>
            <w:bookmarkStart w:id="29" w:name="_Toc352233925"/>
            <w:r w:rsidRPr="00416070">
              <w:rPr>
                <w:rFonts w:ascii="Tahoma" w:hAnsi="Tahoma" w:cs="Tahoma"/>
                <w:b w:val="0"/>
                <w:sz w:val="14"/>
              </w:rPr>
              <w:t>GeoSynther 3.0</w:t>
            </w:r>
            <w:bookmarkEnd w:id="28"/>
            <w:bookmarkEnd w:id="29"/>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auto"/>
            <w:vAlign w:val="center"/>
          </w:tcPr>
          <w:p w:rsidR="00B27742" w:rsidRPr="00416070" w:rsidRDefault="00F440F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B27742" w:rsidRPr="00416070" w:rsidRDefault="00B27742" w:rsidP="005C0614">
            <w:pPr>
              <w:pStyle w:val="Heading2"/>
              <w:spacing w:beforeLines="20" w:before="48" w:afterLines="20" w:after="48"/>
              <w:ind w:left="0"/>
              <w:rPr>
                <w:rFonts w:ascii="Tahoma" w:hAnsi="Tahoma" w:cs="Tahoma"/>
                <w:b w:val="0"/>
                <w:sz w:val="14"/>
              </w:rPr>
            </w:pPr>
            <w:bookmarkStart w:id="30" w:name="_Toc336337852"/>
            <w:bookmarkStart w:id="31" w:name="_Toc352233926"/>
            <w:r w:rsidRPr="00416070">
              <w:rPr>
                <w:rFonts w:ascii="Tahoma" w:hAnsi="Tahoma" w:cs="Tahoma"/>
                <w:b w:val="0"/>
                <w:sz w:val="14"/>
              </w:rPr>
              <w:t>GeoSynth Viewer 3.0</w:t>
            </w:r>
            <w:bookmarkEnd w:id="30"/>
            <w:bookmarkEnd w:id="31"/>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FABF8F"/>
            <w:vAlign w:val="center"/>
          </w:tcPr>
          <w:p w:rsidR="00B27742" w:rsidRPr="00416070" w:rsidRDefault="006A33F3" w:rsidP="00CE54BA">
            <w:pPr>
              <w:pStyle w:val="TableText"/>
              <w:widowControl w:val="0"/>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r>
      <w:tr w:rsidR="00B33D0E" w:rsidRPr="00416070" w:rsidTr="005C0614">
        <w:trPr>
          <w:cantSplit/>
          <w:trHeight w:val="287"/>
        </w:trPr>
        <w:tc>
          <w:tcPr>
            <w:tcW w:w="2638" w:type="dxa"/>
            <w:tcBorders>
              <w:bottom w:val="single" w:sz="4" w:space="0" w:color="auto"/>
            </w:tcBorders>
            <w:shd w:val="clear" w:color="auto" w:fill="auto"/>
            <w:vAlign w:val="center"/>
          </w:tcPr>
          <w:p w:rsidR="00B27742" w:rsidRPr="00416070" w:rsidRDefault="00B27742" w:rsidP="005C0614">
            <w:pPr>
              <w:pStyle w:val="Heading2"/>
              <w:spacing w:beforeLines="20" w:before="48" w:afterLines="20" w:after="48"/>
              <w:ind w:left="0"/>
              <w:rPr>
                <w:rFonts w:ascii="Tahoma" w:hAnsi="Tahoma" w:cs="Tahoma"/>
                <w:b w:val="0"/>
                <w:sz w:val="14"/>
              </w:rPr>
            </w:pPr>
            <w:bookmarkStart w:id="32" w:name="_Toc336337853"/>
            <w:bookmarkStart w:id="33" w:name="_Toc352233927"/>
            <w:r w:rsidRPr="00416070">
              <w:rPr>
                <w:rFonts w:ascii="Tahoma" w:hAnsi="Tahoma" w:cs="Tahoma"/>
                <w:b w:val="0"/>
                <w:sz w:val="14"/>
              </w:rPr>
              <w:t>InfoPath</w:t>
            </w:r>
            <w:r w:rsidR="00510A6E" w:rsidRPr="00416070">
              <w:rPr>
                <w:rFonts w:ascii="Tahoma" w:hAnsi="Tahoma" w:cs="Tahoma"/>
                <w:b w:val="0"/>
                <w:sz w:val="14"/>
                <w:vertAlign w:val="superscript"/>
              </w:rPr>
              <w:t>®</w:t>
            </w:r>
            <w:r w:rsidRPr="00416070">
              <w:rPr>
                <w:rFonts w:ascii="Tahoma" w:hAnsi="Tahoma" w:cs="Tahoma"/>
                <w:b w:val="0"/>
                <w:sz w:val="14"/>
              </w:rPr>
              <w:t xml:space="preserve"> </w:t>
            </w:r>
            <w:bookmarkEnd w:id="32"/>
            <w:r w:rsidRPr="00416070">
              <w:rPr>
                <w:rFonts w:ascii="Tahoma" w:hAnsi="Tahoma" w:cs="Tahoma"/>
                <w:b w:val="0"/>
                <w:sz w:val="14"/>
              </w:rPr>
              <w:t>2013</w:t>
            </w:r>
            <w:bookmarkEnd w:id="33"/>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B27742" w:rsidRPr="00416070" w:rsidRDefault="00B27742" w:rsidP="005C0614">
            <w:pPr>
              <w:pStyle w:val="Heading2"/>
              <w:spacing w:beforeLines="20" w:before="48" w:afterLines="20" w:after="48"/>
              <w:ind w:left="0"/>
              <w:rPr>
                <w:rFonts w:ascii="Tahoma" w:hAnsi="Tahoma" w:cs="Tahoma"/>
                <w:b w:val="0"/>
                <w:sz w:val="14"/>
              </w:rPr>
            </w:pPr>
            <w:bookmarkStart w:id="34" w:name="_Toc336337854"/>
            <w:bookmarkStart w:id="35" w:name="_Toc352233928"/>
            <w:r w:rsidRPr="00416070">
              <w:rPr>
                <w:rFonts w:ascii="Tahoma" w:hAnsi="Tahoma" w:cs="Tahoma"/>
                <w:b w:val="0"/>
                <w:sz w:val="14"/>
              </w:rPr>
              <w:t xml:space="preserve">Lync </w:t>
            </w:r>
            <w:bookmarkEnd w:id="34"/>
            <w:r w:rsidRPr="00416070">
              <w:rPr>
                <w:rFonts w:ascii="Tahoma" w:hAnsi="Tahoma" w:cs="Tahoma"/>
                <w:b w:val="0"/>
                <w:sz w:val="14"/>
              </w:rPr>
              <w:t>2013</w:t>
            </w:r>
            <w:bookmarkEnd w:id="35"/>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Style w:val="EndnoteReference"/>
                <w:color w:val="0000FF"/>
                <w:sz w:val="13"/>
                <w:szCs w:val="13"/>
                <w:u w:val="single"/>
              </w:rPr>
            </w:pPr>
            <w:bookmarkStart w:id="36" w:name="_Hlt301882262"/>
            <w:bookmarkStart w:id="37" w:name="_Hlt336250688"/>
          </w:p>
        </w:tc>
        <w:bookmarkEnd w:id="36"/>
        <w:bookmarkEnd w:id="37"/>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B27742" w:rsidRPr="00416070" w:rsidRDefault="00F440FF"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540"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r>
      <w:tr w:rsidR="00B33D0E" w:rsidRPr="00416070" w:rsidTr="005C0614">
        <w:trPr>
          <w:cantSplit/>
          <w:trHeight w:val="287"/>
        </w:trPr>
        <w:tc>
          <w:tcPr>
            <w:tcW w:w="2638" w:type="dxa"/>
            <w:tcBorders>
              <w:bottom w:val="single" w:sz="4" w:space="0" w:color="auto"/>
            </w:tcBorders>
            <w:shd w:val="clear" w:color="auto" w:fill="auto"/>
            <w:vAlign w:val="center"/>
          </w:tcPr>
          <w:p w:rsidR="00CA606E" w:rsidRPr="00416070" w:rsidRDefault="00CA606E" w:rsidP="005C0614">
            <w:pPr>
              <w:pStyle w:val="Heading2"/>
              <w:spacing w:beforeLines="20" w:before="48" w:afterLines="20" w:after="48"/>
              <w:ind w:left="0"/>
              <w:rPr>
                <w:rFonts w:ascii="Tahoma" w:hAnsi="Tahoma" w:cs="Tahoma"/>
                <w:b w:val="0"/>
                <w:sz w:val="14"/>
              </w:rPr>
            </w:pPr>
            <w:bookmarkStart w:id="38" w:name="_Toc336337855"/>
            <w:bookmarkStart w:id="39" w:name="_Toc352233929"/>
            <w:r w:rsidRPr="00416070">
              <w:rPr>
                <w:rFonts w:ascii="Tahoma" w:hAnsi="Tahoma" w:cs="Tahoma"/>
                <w:b w:val="0"/>
                <w:sz w:val="14"/>
              </w:rPr>
              <w:t>Lync para Mac 2011</w:t>
            </w:r>
            <w:bookmarkEnd w:id="38"/>
            <w:bookmarkEnd w:id="39"/>
          </w:p>
        </w:tc>
        <w:tc>
          <w:tcPr>
            <w:tcW w:w="429" w:type="dxa"/>
            <w:tcBorders>
              <w:bottom w:val="single" w:sz="4" w:space="0" w:color="auto"/>
            </w:tcBorders>
            <w:shd w:val="clear" w:color="auto" w:fill="auto"/>
            <w:vAlign w:val="center"/>
          </w:tcPr>
          <w:p w:rsidR="00CA606E" w:rsidRPr="00416070" w:rsidRDefault="008719E7" w:rsidP="00CE54BA">
            <w:pPr>
              <w:pStyle w:val="TableText"/>
              <w:widowControl w:val="0"/>
              <w:spacing w:before="20" w:after="20"/>
              <w:rPr>
                <w:rStyle w:val="EndnoteReference"/>
                <w:color w:val="0000FF"/>
                <w:sz w:val="13"/>
                <w:szCs w:val="13"/>
                <w:u w:val="single"/>
              </w:rPr>
            </w:pPr>
            <w:hyperlink w:anchor="_23_Lync_for" w:history="1">
              <w:r w:rsidR="005B0EC7" w:rsidRPr="00416070">
                <w:rPr>
                  <w:rStyle w:val="Hyperlink"/>
                </w:rPr>
                <w:t>2</w:t>
              </w:r>
            </w:hyperlink>
          </w:p>
        </w:tc>
        <w:tc>
          <w:tcPr>
            <w:tcW w:w="429" w:type="dxa"/>
            <w:tcBorders>
              <w:bottom w:val="single" w:sz="4" w:space="0" w:color="auto"/>
            </w:tcBorders>
            <w:shd w:val="clear" w:color="auto" w:fill="auto"/>
            <w:vAlign w:val="center"/>
          </w:tcPr>
          <w:p w:rsidR="00CA606E" w:rsidRPr="00416070" w:rsidRDefault="00C4684B" w:rsidP="00CE54BA">
            <w:pPr>
              <w:pStyle w:val="TableText"/>
              <w:widowControl w:val="0"/>
              <w:spacing w:before="20" w:after="20"/>
              <w:rPr>
                <w:rFonts w:ascii="Tahoma" w:hAnsi="Tahoma" w:cs="Tahoma"/>
                <w:sz w:val="13"/>
              </w:rPr>
            </w:pPr>
            <w:r w:rsidRPr="00416070">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CA606E" w:rsidRPr="00416070" w:rsidRDefault="00CA606E"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B27742" w:rsidRPr="00416070" w:rsidRDefault="00B27742" w:rsidP="005C0614">
            <w:pPr>
              <w:pStyle w:val="Heading2"/>
              <w:spacing w:beforeLines="20" w:before="48" w:afterLines="20" w:after="48"/>
              <w:ind w:left="0"/>
              <w:rPr>
                <w:rFonts w:ascii="Tahoma" w:hAnsi="Tahoma" w:cs="Tahoma"/>
                <w:b w:val="0"/>
                <w:sz w:val="14"/>
              </w:rPr>
            </w:pPr>
            <w:bookmarkStart w:id="40" w:name="_Toc235859737"/>
            <w:bookmarkStart w:id="41" w:name="_Toc336337856"/>
            <w:bookmarkStart w:id="42" w:name="_Toc352233930"/>
            <w:r w:rsidRPr="00416070">
              <w:rPr>
                <w:rFonts w:ascii="Tahoma" w:hAnsi="Tahoma" w:cs="Tahoma"/>
                <w:b w:val="0"/>
                <w:sz w:val="14"/>
              </w:rPr>
              <w:t>MapPoint</w:t>
            </w:r>
            <w:r w:rsidR="00510A6E" w:rsidRPr="00416070">
              <w:rPr>
                <w:rFonts w:ascii="Tahoma" w:hAnsi="Tahoma" w:cs="Tahoma"/>
                <w:b w:val="0"/>
                <w:sz w:val="14"/>
                <w:vertAlign w:val="superscript"/>
              </w:rPr>
              <w:t>®</w:t>
            </w:r>
            <w:r w:rsidRPr="00416070">
              <w:rPr>
                <w:rFonts w:ascii="Tahoma" w:hAnsi="Tahoma" w:cs="Tahoma"/>
                <w:b w:val="0"/>
                <w:sz w:val="14"/>
              </w:rPr>
              <w:t xml:space="preserve"> Fleet Edition </w:t>
            </w:r>
            <w:bookmarkEnd w:id="40"/>
            <w:r w:rsidRPr="00416070">
              <w:rPr>
                <w:rFonts w:ascii="Tahoma" w:hAnsi="Tahoma" w:cs="Tahoma"/>
                <w:b w:val="0"/>
                <w:sz w:val="14"/>
              </w:rPr>
              <w:t>2013</w:t>
            </w:r>
            <w:bookmarkEnd w:id="41"/>
            <w:bookmarkEnd w:id="42"/>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FABF8F"/>
            <w:vAlign w:val="center"/>
          </w:tcPr>
          <w:p w:rsidR="00B27742" w:rsidRPr="00416070" w:rsidRDefault="00097B90" w:rsidP="00CE54BA">
            <w:pPr>
              <w:pStyle w:val="TableText"/>
              <w:widowControl w:val="0"/>
              <w:spacing w:before="20" w:after="20"/>
              <w:rPr>
                <w:rFonts w:ascii="Tahoma" w:hAnsi="Tahoma" w:cs="Tahoma"/>
                <w:sz w:val="13"/>
              </w:rPr>
            </w:pPr>
            <w:r w:rsidRPr="00416070">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8</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6</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6</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FABF8F"/>
            <w:vAlign w:val="center"/>
          </w:tcPr>
          <w:p w:rsidR="00B27742" w:rsidRPr="00416070" w:rsidRDefault="00B27742" w:rsidP="00CE54BA">
            <w:pPr>
              <w:pStyle w:val="TableText"/>
              <w:widowControl w:val="0"/>
              <w:spacing w:before="20" w:after="20"/>
              <w:rPr>
                <w:rFonts w:ascii="Tahoma" w:hAnsi="Tahoma" w:cs="Tahoma"/>
                <w:sz w:val="13"/>
              </w:rPr>
            </w:pPr>
          </w:p>
        </w:tc>
      </w:tr>
      <w:tr w:rsidR="00B33D0E" w:rsidRPr="00416070" w:rsidTr="005C0614">
        <w:trPr>
          <w:cantSplit/>
          <w:trHeight w:val="323"/>
        </w:trPr>
        <w:tc>
          <w:tcPr>
            <w:tcW w:w="2638" w:type="dxa"/>
            <w:tcBorders>
              <w:bottom w:val="single" w:sz="4" w:space="0" w:color="auto"/>
            </w:tcBorders>
            <w:shd w:val="clear" w:color="auto" w:fill="auto"/>
            <w:vAlign w:val="center"/>
          </w:tcPr>
          <w:p w:rsidR="00B27742" w:rsidRPr="00416070" w:rsidRDefault="00B27742" w:rsidP="005C0614">
            <w:pPr>
              <w:pStyle w:val="Heading2"/>
              <w:spacing w:beforeLines="20" w:before="48" w:afterLines="20" w:after="48"/>
              <w:ind w:left="0"/>
              <w:rPr>
                <w:rFonts w:ascii="Tahoma" w:hAnsi="Tahoma" w:cs="Tahoma"/>
                <w:b w:val="0"/>
                <w:sz w:val="14"/>
              </w:rPr>
            </w:pPr>
            <w:bookmarkStart w:id="43" w:name="_Toc235859738"/>
            <w:bookmarkStart w:id="44" w:name="_Toc336337857"/>
            <w:bookmarkStart w:id="45" w:name="_Toc352233931"/>
            <w:r w:rsidRPr="00416070">
              <w:rPr>
                <w:rFonts w:ascii="Tahoma" w:hAnsi="Tahoma" w:cs="Tahoma"/>
                <w:b w:val="0"/>
                <w:sz w:val="14"/>
              </w:rPr>
              <w:t>MapPoint</w:t>
            </w:r>
            <w:r w:rsidR="00510A6E" w:rsidRPr="00416070">
              <w:rPr>
                <w:rFonts w:ascii="Tahoma" w:hAnsi="Tahoma" w:cs="Tahoma"/>
                <w:b w:val="0"/>
                <w:sz w:val="14"/>
                <w:vertAlign w:val="superscript"/>
              </w:rPr>
              <w:t>®</w:t>
            </w:r>
            <w:r w:rsidRPr="00416070">
              <w:rPr>
                <w:rFonts w:ascii="Tahoma" w:hAnsi="Tahoma" w:cs="Tahoma"/>
                <w:b w:val="0"/>
                <w:sz w:val="14"/>
              </w:rPr>
              <w:t xml:space="preserve"> 2013 para Windows</w:t>
            </w:r>
            <w:bookmarkEnd w:id="43"/>
            <w:bookmarkEnd w:id="44"/>
            <w:bookmarkEnd w:id="45"/>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auto"/>
            <w:vAlign w:val="center"/>
          </w:tcPr>
          <w:p w:rsidR="00B27742" w:rsidRPr="00416070" w:rsidRDefault="00097B90"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B27742" w:rsidRPr="00416070" w:rsidRDefault="00F440FF" w:rsidP="00CE54BA">
            <w:pPr>
              <w:pStyle w:val="TableText"/>
              <w:widowControl w:val="0"/>
              <w:spacing w:before="20" w:after="20"/>
              <w:rPr>
                <w:rFonts w:ascii="Tahoma" w:hAnsi="Tahoma" w:cs="Tahoma"/>
                <w:sz w:val="13"/>
              </w:rPr>
            </w:pPr>
            <w:r w:rsidRPr="00416070">
              <w:rPr>
                <w:rFonts w:ascii="Tahoma" w:hAnsi="Tahoma" w:cs="Tahoma"/>
                <w:sz w:val="13"/>
              </w:rPr>
              <w:t xml:space="preserve">A, AO, </w:t>
            </w:r>
            <w:r w:rsidR="005C0614">
              <w:rPr>
                <w:rFonts w:ascii="Tahoma" w:hAnsi="Tahoma" w:cs="Tahoma"/>
                <w:sz w:val="13"/>
                <w:lang w:val="en-US"/>
              </w:rPr>
              <w:br/>
            </w:r>
            <w:r w:rsidRPr="00416070">
              <w:rPr>
                <w:rFonts w:ascii="Tahoma" w:hAnsi="Tahoma" w:cs="Tahoma"/>
                <w:sz w:val="13"/>
              </w:rPr>
              <w:t>ST</w:t>
            </w:r>
          </w:p>
        </w:tc>
        <w:tc>
          <w:tcPr>
            <w:tcW w:w="540"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ABF8F"/>
            <w:vAlign w:val="center"/>
          </w:tcPr>
          <w:p w:rsidR="00B27742" w:rsidRPr="00416070" w:rsidRDefault="00B27742" w:rsidP="005C0614">
            <w:pPr>
              <w:pStyle w:val="Heading2"/>
              <w:spacing w:beforeLines="20" w:before="48" w:afterLines="20" w:after="48"/>
              <w:ind w:left="0"/>
              <w:rPr>
                <w:rFonts w:ascii="Tahoma" w:hAnsi="Tahoma" w:cs="Tahoma"/>
                <w:b w:val="0"/>
                <w:sz w:val="14"/>
              </w:rPr>
            </w:pPr>
            <w:bookmarkStart w:id="46" w:name="_Toc336337858"/>
            <w:bookmarkStart w:id="47" w:name="_Toc352233932"/>
            <w:r w:rsidRPr="00416070">
              <w:rPr>
                <w:rFonts w:ascii="Tahoma" w:hAnsi="Tahoma" w:cs="Tahoma"/>
                <w:b w:val="0"/>
                <w:sz w:val="14"/>
              </w:rPr>
              <w:t>Sistemas Operacionais MSDN</w:t>
            </w:r>
            <w:bookmarkEnd w:id="46"/>
            <w:bookmarkEnd w:id="47"/>
          </w:p>
        </w:tc>
        <w:tc>
          <w:tcPr>
            <w:tcW w:w="429" w:type="dxa"/>
            <w:tcBorders>
              <w:bottom w:val="single" w:sz="4" w:space="0" w:color="auto"/>
            </w:tcBorders>
            <w:shd w:val="clear" w:color="auto" w:fill="FABF8F"/>
            <w:vAlign w:val="center"/>
          </w:tcPr>
          <w:p w:rsidR="00B27742" w:rsidRPr="00416070" w:rsidRDefault="008719E7" w:rsidP="00CE54BA">
            <w:pPr>
              <w:pStyle w:val="TableText"/>
              <w:widowControl w:val="0"/>
              <w:spacing w:before="20" w:after="20"/>
              <w:rPr>
                <w:rStyle w:val="EndnoteReference"/>
                <w:color w:val="0000FF"/>
                <w:sz w:val="13"/>
                <w:szCs w:val="13"/>
                <w:u w:val="single"/>
              </w:rPr>
            </w:pPr>
            <w:hyperlink w:anchor="_34_MSDN_Operating" w:history="1">
              <w:r w:rsidR="005B0EC7" w:rsidRPr="00416070">
                <w:rPr>
                  <w:rStyle w:val="Hyperlink"/>
                </w:rPr>
                <w:t>3</w:t>
              </w:r>
            </w:hyperlink>
          </w:p>
        </w:tc>
        <w:tc>
          <w:tcPr>
            <w:tcW w:w="429"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5</w:t>
            </w:r>
          </w:p>
        </w:tc>
        <w:tc>
          <w:tcPr>
            <w:tcW w:w="429"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B27742" w:rsidRPr="00416070" w:rsidRDefault="00052BF4" w:rsidP="00CE54BA">
            <w:pPr>
              <w:pStyle w:val="TableText"/>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FABF8F"/>
            <w:vAlign w:val="center"/>
          </w:tcPr>
          <w:p w:rsidR="00B27742" w:rsidRPr="00416070" w:rsidRDefault="00B27742" w:rsidP="00CE54BA">
            <w:pPr>
              <w:pStyle w:val="TableText"/>
              <w:spacing w:before="20" w:after="20"/>
            </w:pPr>
            <w:r w:rsidRPr="00416070">
              <w:rPr>
                <w:rFonts w:ascii="Tahoma" w:hAnsi="Tahoma" w:cs="Tahoma"/>
                <w:sz w:val="13"/>
              </w:rPr>
              <w:t>LO/SA/</w:t>
            </w:r>
          </w:p>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OV</w:t>
            </w:r>
          </w:p>
        </w:tc>
      </w:tr>
      <w:tr w:rsidR="00B33D0E" w:rsidRPr="00416070" w:rsidTr="005C0614">
        <w:trPr>
          <w:cantSplit/>
          <w:trHeight w:val="287"/>
        </w:trPr>
        <w:tc>
          <w:tcPr>
            <w:tcW w:w="2638" w:type="dxa"/>
            <w:tcBorders>
              <w:bottom w:val="single" w:sz="4" w:space="0" w:color="auto"/>
            </w:tcBorders>
            <w:shd w:val="clear" w:color="auto" w:fill="auto"/>
            <w:vAlign w:val="center"/>
          </w:tcPr>
          <w:p w:rsidR="007B2C93" w:rsidRPr="00416070" w:rsidRDefault="007B2C93" w:rsidP="005C0614">
            <w:pPr>
              <w:pStyle w:val="Heading2"/>
              <w:spacing w:beforeLines="20" w:before="48" w:afterLines="20" w:after="48"/>
              <w:ind w:left="0"/>
              <w:rPr>
                <w:rFonts w:ascii="Tahoma" w:hAnsi="Tahoma" w:cs="Tahoma"/>
                <w:b w:val="0"/>
                <w:sz w:val="14"/>
              </w:rPr>
            </w:pPr>
            <w:bookmarkStart w:id="48" w:name="_Toc336337859"/>
            <w:bookmarkStart w:id="49" w:name="_Toc352233933"/>
            <w:r w:rsidRPr="00416070">
              <w:rPr>
                <w:rFonts w:ascii="Tahoma" w:hAnsi="Tahoma" w:cs="Tahoma"/>
                <w:b w:val="0"/>
                <w:sz w:val="14"/>
              </w:rPr>
              <w:t>Office 365 A2 (SL de Usuário)</w:t>
            </w:r>
            <w:bookmarkEnd w:id="48"/>
            <w:bookmarkEnd w:id="49"/>
          </w:p>
        </w:tc>
        <w:tc>
          <w:tcPr>
            <w:tcW w:w="429" w:type="dxa"/>
            <w:tcBorders>
              <w:bottom w:val="single" w:sz="4" w:space="0" w:color="auto"/>
            </w:tcBorders>
            <w:shd w:val="clear" w:color="auto" w:fill="auto"/>
            <w:vAlign w:val="center"/>
          </w:tcPr>
          <w:p w:rsidR="007B2C93" w:rsidRPr="00416070" w:rsidRDefault="008719E7" w:rsidP="00CE54BA">
            <w:pPr>
              <w:pStyle w:val="TableText"/>
              <w:widowControl w:val="0"/>
              <w:spacing w:before="20" w:after="20"/>
              <w:rPr>
                <w:b/>
                <w:color w:val="0000FF"/>
                <w:sz w:val="13"/>
                <w:szCs w:val="13"/>
                <w:u w:val="single"/>
              </w:rPr>
            </w:pPr>
            <w:hyperlink w:anchor="_45_Office_365" w:history="1">
              <w:r w:rsidR="005B0EC7" w:rsidRPr="00416070">
                <w:rPr>
                  <w:rStyle w:val="Hyperlink"/>
                </w:rPr>
                <w:t>4</w:t>
              </w:r>
            </w:hyperlink>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416070" w:rsidDel="000365B0" w:rsidRDefault="007B2C93"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EOLS (Somente EES)</w:t>
            </w:r>
          </w:p>
        </w:tc>
        <w:tc>
          <w:tcPr>
            <w:tcW w:w="540"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7B2C93" w:rsidRPr="00416070" w:rsidRDefault="007B2C93" w:rsidP="005C0614">
            <w:pPr>
              <w:pStyle w:val="Heading2"/>
              <w:spacing w:beforeLines="20" w:before="48" w:afterLines="20" w:after="48"/>
              <w:ind w:left="0"/>
              <w:rPr>
                <w:rFonts w:ascii="Tahoma" w:hAnsi="Tahoma" w:cs="Tahoma"/>
                <w:b w:val="0"/>
                <w:sz w:val="14"/>
              </w:rPr>
            </w:pPr>
            <w:bookmarkStart w:id="50" w:name="_Toc336337860"/>
            <w:bookmarkStart w:id="51" w:name="_Toc352233934"/>
            <w:r w:rsidRPr="00416070">
              <w:rPr>
                <w:rFonts w:ascii="Tahoma" w:hAnsi="Tahoma" w:cs="Tahoma"/>
                <w:b w:val="0"/>
                <w:sz w:val="14"/>
              </w:rPr>
              <w:t>Office 365 A3 (SL de Usuário)</w:t>
            </w:r>
            <w:bookmarkEnd w:id="50"/>
            <w:bookmarkEnd w:id="51"/>
          </w:p>
        </w:tc>
        <w:tc>
          <w:tcPr>
            <w:tcW w:w="429" w:type="dxa"/>
            <w:tcBorders>
              <w:bottom w:val="single" w:sz="4" w:space="0" w:color="auto"/>
            </w:tcBorders>
            <w:shd w:val="clear" w:color="auto" w:fill="FABF8F"/>
            <w:vAlign w:val="center"/>
          </w:tcPr>
          <w:p w:rsidR="007B2C93" w:rsidRPr="00416070" w:rsidRDefault="008719E7" w:rsidP="00CE54BA">
            <w:pPr>
              <w:pStyle w:val="TableText"/>
              <w:widowControl w:val="0"/>
              <w:spacing w:before="20" w:after="20"/>
              <w:rPr>
                <w:b/>
                <w:color w:val="0000FF"/>
                <w:sz w:val="13"/>
                <w:szCs w:val="13"/>
                <w:u w:val="single"/>
              </w:rPr>
            </w:pPr>
            <w:hyperlink w:anchor="_45_Office_365" w:history="1">
              <w:r w:rsidR="005B0EC7" w:rsidRPr="00416070">
                <w:rPr>
                  <w:rStyle w:val="Hyperlink"/>
                </w:rPr>
                <w:t>4</w:t>
              </w:r>
            </w:hyperlink>
          </w:p>
        </w:tc>
        <w:tc>
          <w:tcPr>
            <w:tcW w:w="429" w:type="dxa"/>
            <w:tcBorders>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416070" w:rsidDel="000365B0" w:rsidRDefault="007B2C93"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EOLS (Somente EES)</w:t>
            </w:r>
          </w:p>
        </w:tc>
        <w:tc>
          <w:tcPr>
            <w:tcW w:w="540" w:type="dxa"/>
            <w:tcBorders>
              <w:bottom w:val="single" w:sz="4" w:space="0" w:color="auto"/>
            </w:tcBorders>
            <w:shd w:val="clear" w:color="auto" w:fill="FABF8F"/>
            <w:vAlign w:val="center"/>
          </w:tcPr>
          <w:p w:rsidR="007B2C93" w:rsidRPr="00416070" w:rsidRDefault="007B2C93" w:rsidP="00CE54BA">
            <w:pPr>
              <w:pStyle w:val="TableText"/>
              <w:widowControl w:val="0"/>
              <w:spacing w:before="20" w:after="20"/>
              <w:rPr>
                <w:rFonts w:ascii="Tahoma" w:hAnsi="Tahoma" w:cs="Tahoma"/>
                <w:sz w:val="13"/>
              </w:rPr>
            </w:pPr>
          </w:p>
        </w:tc>
      </w:tr>
      <w:tr w:rsidR="00B33D0E" w:rsidRPr="00416070" w:rsidTr="005C0614">
        <w:trPr>
          <w:cantSplit/>
          <w:trHeight w:val="287"/>
        </w:trPr>
        <w:tc>
          <w:tcPr>
            <w:tcW w:w="2638" w:type="dxa"/>
            <w:tcBorders>
              <w:bottom w:val="single" w:sz="4" w:space="0" w:color="auto"/>
            </w:tcBorders>
            <w:shd w:val="clear" w:color="auto" w:fill="auto"/>
            <w:vAlign w:val="center"/>
          </w:tcPr>
          <w:p w:rsidR="007B2C93" w:rsidRPr="00416070" w:rsidRDefault="007B2C93" w:rsidP="005C0614">
            <w:pPr>
              <w:pStyle w:val="Heading2"/>
              <w:spacing w:beforeLines="20" w:before="48" w:afterLines="20" w:after="48"/>
              <w:ind w:left="0"/>
              <w:rPr>
                <w:rFonts w:ascii="Tahoma" w:hAnsi="Tahoma" w:cs="Tahoma"/>
                <w:b w:val="0"/>
                <w:sz w:val="14"/>
              </w:rPr>
            </w:pPr>
            <w:bookmarkStart w:id="52" w:name="_Toc336337861"/>
            <w:bookmarkStart w:id="53" w:name="_Toc352233935"/>
            <w:r w:rsidRPr="00416070">
              <w:rPr>
                <w:rFonts w:ascii="Tahoma" w:hAnsi="Tahoma" w:cs="Tahoma"/>
                <w:b w:val="0"/>
                <w:sz w:val="14"/>
              </w:rPr>
              <w:t>Office 365 A4 (SL de Usuário)</w:t>
            </w:r>
            <w:bookmarkEnd w:id="52"/>
            <w:bookmarkEnd w:id="53"/>
          </w:p>
        </w:tc>
        <w:tc>
          <w:tcPr>
            <w:tcW w:w="429" w:type="dxa"/>
            <w:tcBorders>
              <w:bottom w:val="single" w:sz="4" w:space="0" w:color="auto"/>
            </w:tcBorders>
            <w:shd w:val="clear" w:color="auto" w:fill="auto"/>
            <w:vAlign w:val="center"/>
          </w:tcPr>
          <w:p w:rsidR="007B2C93" w:rsidRPr="00416070" w:rsidRDefault="008719E7" w:rsidP="00CE54BA">
            <w:pPr>
              <w:pStyle w:val="TableText"/>
              <w:widowControl w:val="0"/>
              <w:spacing w:before="20" w:after="20"/>
              <w:rPr>
                <w:b/>
                <w:color w:val="0000FF"/>
                <w:sz w:val="13"/>
                <w:szCs w:val="13"/>
                <w:u w:val="single"/>
              </w:rPr>
            </w:pPr>
            <w:hyperlink w:anchor="_45_Office_365" w:history="1">
              <w:r w:rsidR="005B0EC7" w:rsidRPr="00416070">
                <w:rPr>
                  <w:rStyle w:val="Hyperlink"/>
                </w:rPr>
                <w:t>4</w:t>
              </w:r>
            </w:hyperlink>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416070" w:rsidDel="000365B0" w:rsidRDefault="007B2C93"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r w:rsidRPr="00416070">
              <w:rPr>
                <w:rFonts w:ascii="Tahoma" w:hAnsi="Tahoma" w:cs="Tahoma"/>
                <w:sz w:val="13"/>
              </w:rPr>
              <w:t>EOLS (Somente EES)</w:t>
            </w:r>
          </w:p>
        </w:tc>
        <w:tc>
          <w:tcPr>
            <w:tcW w:w="540" w:type="dxa"/>
            <w:tcBorders>
              <w:bottom w:val="single" w:sz="4" w:space="0" w:color="auto"/>
            </w:tcBorders>
            <w:shd w:val="clear" w:color="auto" w:fill="auto"/>
            <w:vAlign w:val="center"/>
          </w:tcPr>
          <w:p w:rsidR="007B2C93" w:rsidRPr="00416070" w:rsidRDefault="007B2C93"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3E5902" w:rsidRPr="00416070" w:rsidRDefault="003E5902" w:rsidP="005C0614">
            <w:pPr>
              <w:pStyle w:val="Heading2"/>
              <w:spacing w:beforeLines="20" w:before="48" w:afterLines="20" w:after="48"/>
              <w:ind w:left="0"/>
              <w:rPr>
                <w:rFonts w:ascii="Tahoma" w:hAnsi="Tahoma" w:cs="Tahoma"/>
                <w:b w:val="0"/>
                <w:sz w:val="14"/>
              </w:rPr>
            </w:pPr>
            <w:bookmarkStart w:id="54" w:name="_Toc352233936"/>
            <w:r w:rsidRPr="00416070">
              <w:rPr>
                <w:rFonts w:ascii="Tahoma" w:hAnsi="Tahoma" w:cs="Tahoma"/>
                <w:b w:val="0"/>
                <w:sz w:val="14"/>
              </w:rPr>
              <w:t xml:space="preserve">Office 365 Midsize Business </w:t>
            </w:r>
            <w:r w:rsidR="00CE54BA">
              <w:rPr>
                <w:rFonts w:ascii="Tahoma" w:hAnsi="Tahoma" w:cs="Tahoma"/>
                <w:b w:val="0"/>
                <w:sz w:val="14"/>
                <w:lang w:val="en-US"/>
              </w:rPr>
              <w:br/>
            </w:r>
            <w:r w:rsidRPr="00416070">
              <w:rPr>
                <w:rFonts w:ascii="Tahoma" w:hAnsi="Tahoma" w:cs="Tahoma"/>
                <w:b w:val="0"/>
                <w:sz w:val="14"/>
              </w:rPr>
              <w:t>(SL de Usuário)</w:t>
            </w:r>
            <w:bookmarkEnd w:id="54"/>
          </w:p>
        </w:tc>
        <w:tc>
          <w:tcPr>
            <w:tcW w:w="429" w:type="dxa"/>
            <w:tcBorders>
              <w:bottom w:val="single" w:sz="4" w:space="0" w:color="auto"/>
            </w:tcBorders>
            <w:shd w:val="clear" w:color="auto" w:fill="FABF8F"/>
            <w:vAlign w:val="center"/>
          </w:tcPr>
          <w:p w:rsidR="003E5902" w:rsidRPr="00416070" w:rsidRDefault="003E5902" w:rsidP="00CE54BA">
            <w:pPr>
              <w:pStyle w:val="TableText"/>
              <w:widowControl w:val="0"/>
              <w:spacing w:before="20" w:after="20"/>
            </w:pPr>
          </w:p>
        </w:tc>
        <w:tc>
          <w:tcPr>
            <w:tcW w:w="429" w:type="dxa"/>
            <w:tcBorders>
              <w:bottom w:val="single" w:sz="4"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r w:rsidRPr="0041607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FABF8F"/>
            <w:vAlign w:val="center"/>
          </w:tcPr>
          <w:p w:rsidR="003E5902" w:rsidRPr="00416070" w:rsidRDefault="003E5902"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B33D0E" w:rsidRPr="00416070" w:rsidTr="005C0614">
        <w:trPr>
          <w:cantSplit/>
          <w:trHeight w:val="287"/>
        </w:trPr>
        <w:tc>
          <w:tcPr>
            <w:tcW w:w="2638" w:type="dxa"/>
            <w:tcBorders>
              <w:bottom w:val="single" w:sz="4" w:space="0" w:color="auto"/>
            </w:tcBorders>
            <w:shd w:val="clear" w:color="auto" w:fill="auto"/>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55" w:name="_Toc352233937"/>
            <w:r w:rsidRPr="00416070">
              <w:rPr>
                <w:rFonts w:ascii="Tahoma" w:hAnsi="Tahoma" w:cs="Tahoma"/>
                <w:b w:val="0"/>
                <w:sz w:val="14"/>
              </w:rPr>
              <w:t>Office 365 Enterprise E1 (SL de Usuário)</w:t>
            </w:r>
            <w:bookmarkEnd w:id="55"/>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56" w:name="_Toc291024473"/>
            <w:bookmarkStart w:id="57" w:name="_Toc336337862"/>
            <w:bookmarkStart w:id="58" w:name="_Toc352233938"/>
            <w:r w:rsidRPr="00416070">
              <w:rPr>
                <w:rFonts w:ascii="Tahoma" w:hAnsi="Tahoma" w:cs="Tahoma"/>
                <w:b w:val="0"/>
                <w:sz w:val="14"/>
              </w:rPr>
              <w:t>Office 365 Enterprise E2 (SL de Usuário)</w:t>
            </w:r>
            <w:bookmarkEnd w:id="56"/>
            <w:bookmarkEnd w:id="57"/>
            <w:bookmarkEnd w:id="58"/>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b/>
                <w:color w:val="0000FF"/>
                <w:sz w:val="13"/>
                <w:szCs w:val="13"/>
                <w:u w:val="single"/>
              </w:rPr>
            </w:pPr>
            <w:hyperlink w:anchor="_65_Office_365" w:history="1">
              <w:r w:rsidR="005B0EC7" w:rsidRPr="00416070">
                <w:rPr>
                  <w:rStyle w:val="Hyperlink"/>
                </w:rPr>
                <w:t>5</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r>
      <w:tr w:rsidR="00B33D0E" w:rsidRPr="00416070" w:rsidTr="005C0614">
        <w:trPr>
          <w:cantSplit/>
          <w:trHeight w:val="287"/>
        </w:trPr>
        <w:tc>
          <w:tcPr>
            <w:tcW w:w="2638" w:type="dxa"/>
            <w:tcBorders>
              <w:bottom w:val="single" w:sz="4" w:space="0" w:color="auto"/>
            </w:tcBorders>
            <w:shd w:val="clear" w:color="auto" w:fill="auto"/>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59" w:name="_Toc291024474"/>
            <w:bookmarkStart w:id="60" w:name="_Toc336337863"/>
            <w:bookmarkStart w:id="61" w:name="_Toc352233939"/>
            <w:r w:rsidRPr="00416070">
              <w:rPr>
                <w:rFonts w:ascii="Tahoma" w:hAnsi="Tahoma" w:cs="Tahoma"/>
                <w:b w:val="0"/>
                <w:sz w:val="14"/>
              </w:rPr>
              <w:t>Office 365 Enterprise E3 (SL de Usuário)</w:t>
            </w:r>
            <w:bookmarkEnd w:id="59"/>
            <w:bookmarkEnd w:id="60"/>
            <w:bookmarkEnd w:id="61"/>
          </w:p>
        </w:tc>
        <w:tc>
          <w:tcPr>
            <w:tcW w:w="429" w:type="dxa"/>
            <w:tcBorders>
              <w:bottom w:val="single" w:sz="4" w:space="0" w:color="auto"/>
            </w:tcBorders>
            <w:shd w:val="clear" w:color="auto" w:fill="auto"/>
            <w:vAlign w:val="center"/>
          </w:tcPr>
          <w:p w:rsidR="00CC19FC" w:rsidRPr="00416070" w:rsidRDefault="008719E7" w:rsidP="00CE54BA">
            <w:pPr>
              <w:pStyle w:val="TableText"/>
              <w:widowControl w:val="0"/>
              <w:spacing w:before="20" w:after="20"/>
              <w:rPr>
                <w:b/>
                <w:color w:val="0000FF"/>
                <w:sz w:val="13"/>
                <w:szCs w:val="13"/>
                <w:u w:val="single"/>
              </w:rPr>
            </w:pPr>
            <w:hyperlink w:anchor="_65_Office_365" w:history="1">
              <w:r w:rsidR="005B0EC7" w:rsidRPr="00416070">
                <w:rPr>
                  <w:rStyle w:val="Hyperlink"/>
                </w:rPr>
                <w:t>5</w:t>
              </w:r>
            </w:hyperlink>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62" w:name="_Toc291024475"/>
            <w:bookmarkStart w:id="63" w:name="_Toc336337864"/>
            <w:bookmarkStart w:id="64" w:name="_Toc352233940"/>
            <w:r w:rsidRPr="00416070">
              <w:rPr>
                <w:rFonts w:ascii="Tahoma" w:hAnsi="Tahoma" w:cs="Tahoma"/>
                <w:b w:val="0"/>
                <w:sz w:val="14"/>
              </w:rPr>
              <w:t>Office 365 Enterprise E4 (SL de Usuário)</w:t>
            </w:r>
            <w:bookmarkEnd w:id="62"/>
            <w:bookmarkEnd w:id="63"/>
            <w:bookmarkEnd w:id="64"/>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b/>
                <w:color w:val="0000FF"/>
                <w:sz w:val="13"/>
                <w:szCs w:val="13"/>
                <w:u w:val="single"/>
              </w:rPr>
            </w:pPr>
            <w:hyperlink w:anchor="_65_Office_365" w:history="1">
              <w:r w:rsidR="005B0EC7" w:rsidRPr="00416070">
                <w:rPr>
                  <w:rStyle w:val="Hyperlink"/>
                </w:rPr>
                <w:t>5</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r>
      <w:tr w:rsidR="00B33D0E" w:rsidRPr="00416070" w:rsidTr="005C0614">
        <w:trPr>
          <w:cantSplit/>
          <w:trHeight w:val="287"/>
        </w:trPr>
        <w:tc>
          <w:tcPr>
            <w:tcW w:w="2638" w:type="dxa"/>
            <w:tcBorders>
              <w:bottom w:val="single" w:sz="4" w:space="0" w:color="auto"/>
            </w:tcBorders>
            <w:shd w:val="clear" w:color="auto" w:fill="auto"/>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65" w:name="_Toc352233941"/>
            <w:r w:rsidRPr="00416070">
              <w:rPr>
                <w:rFonts w:ascii="Tahoma" w:hAnsi="Tahoma" w:cs="Tahoma"/>
                <w:b w:val="0"/>
                <w:sz w:val="14"/>
              </w:rPr>
              <w:t>Direitos de Uso Comercial do Office Home and Student RT 2013</w:t>
            </w:r>
            <w:bookmarkEnd w:id="65"/>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b/>
                <w:color w:val="0000FF"/>
                <w:sz w:val="13"/>
                <w:szCs w:val="13"/>
                <w:u w:val="single"/>
              </w:rPr>
            </w:pP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r>
      <w:tr w:rsidR="00EF228F" w:rsidRPr="00416070" w:rsidTr="005C0614">
        <w:trPr>
          <w:cantSplit/>
          <w:trHeight w:val="287"/>
        </w:trPr>
        <w:tc>
          <w:tcPr>
            <w:tcW w:w="2638" w:type="dxa"/>
            <w:tcBorders>
              <w:bottom w:val="single" w:sz="4" w:space="0" w:color="auto"/>
            </w:tcBorders>
            <w:shd w:val="clear" w:color="auto" w:fill="FABF8F"/>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66" w:name="_Toc336337865"/>
            <w:bookmarkStart w:id="67" w:name="_Toc352233942"/>
            <w:r w:rsidRPr="00416070">
              <w:rPr>
                <w:rFonts w:ascii="Tahoma" w:hAnsi="Tahoma" w:cs="Tahoma"/>
                <w:b w:val="0"/>
                <w:sz w:val="14"/>
              </w:rPr>
              <w:t>Office para Mac Standard 2011</w:t>
            </w:r>
            <w:bookmarkEnd w:id="66"/>
            <w:bookmarkEnd w:id="67"/>
            <w:r w:rsidRPr="00416070">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rStyle w:val="EndnoteReference"/>
                <w:color w:val="0000FF"/>
                <w:sz w:val="13"/>
                <w:szCs w:val="13"/>
                <w:u w:val="single"/>
              </w:rPr>
            </w:pPr>
            <w:hyperlink w:anchor="_76_Office_for" w:history="1">
              <w:r w:rsidR="005B0EC7" w:rsidRPr="00416070">
                <w:rPr>
                  <w:rStyle w:val="Hyperlink"/>
                </w:rPr>
                <w:t>6</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E</w:t>
            </w:r>
          </w:p>
        </w:tc>
        <w:tc>
          <w:tcPr>
            <w:tcW w:w="540"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r>
      <w:tr w:rsidR="00B33D0E" w:rsidRPr="00416070" w:rsidTr="005C0614">
        <w:trPr>
          <w:cantSplit/>
          <w:trHeight w:val="287"/>
        </w:trPr>
        <w:tc>
          <w:tcPr>
            <w:tcW w:w="2638" w:type="dxa"/>
            <w:tcBorders>
              <w:bottom w:val="single" w:sz="4" w:space="0" w:color="auto"/>
            </w:tcBorders>
            <w:shd w:val="clear" w:color="auto" w:fill="auto"/>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68" w:name="_Office_Multi-Language_Pack"/>
            <w:bookmarkStart w:id="69" w:name="_Toc336337866"/>
            <w:bookmarkStart w:id="70" w:name="_Toc352233943"/>
            <w:bookmarkEnd w:id="68"/>
            <w:r w:rsidRPr="00416070">
              <w:rPr>
                <w:rFonts w:ascii="Tahoma" w:hAnsi="Tahoma" w:cs="Tahoma"/>
                <w:b w:val="0"/>
                <w:sz w:val="14"/>
              </w:rPr>
              <w:t xml:space="preserve">Pacote Multilíngue do Office </w:t>
            </w:r>
            <w:bookmarkEnd w:id="69"/>
            <w:r w:rsidRPr="00416070">
              <w:rPr>
                <w:rFonts w:ascii="Tahoma" w:hAnsi="Tahoma" w:cs="Tahoma"/>
                <w:b w:val="0"/>
                <w:sz w:val="14"/>
              </w:rPr>
              <w:t>2013</w:t>
            </w:r>
            <w:bookmarkEnd w:id="70"/>
          </w:p>
        </w:tc>
        <w:tc>
          <w:tcPr>
            <w:tcW w:w="429" w:type="dxa"/>
            <w:tcBorders>
              <w:bottom w:val="single" w:sz="4" w:space="0" w:color="auto"/>
            </w:tcBorders>
            <w:shd w:val="clear" w:color="auto" w:fill="auto"/>
            <w:vAlign w:val="center"/>
          </w:tcPr>
          <w:p w:rsidR="00CC19FC" w:rsidRPr="00416070" w:rsidRDefault="008719E7" w:rsidP="00CE54BA">
            <w:pPr>
              <w:pStyle w:val="TableText"/>
              <w:widowControl w:val="0"/>
              <w:spacing w:before="20" w:after="20"/>
              <w:rPr>
                <w:rStyle w:val="EndnoteReference"/>
                <w:color w:val="0000FF"/>
                <w:sz w:val="13"/>
                <w:szCs w:val="13"/>
                <w:u w:val="single"/>
              </w:rPr>
            </w:pPr>
            <w:hyperlink w:anchor="_87_Office_Multi-Language" w:history="1">
              <w:r w:rsidR="005B0EC7" w:rsidRPr="00416070">
                <w:rPr>
                  <w:rStyle w:val="Hyperlink"/>
                </w:rPr>
                <w:t>7</w:t>
              </w:r>
            </w:hyperlink>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643"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r>
      <w:tr w:rsidR="00EF228F" w:rsidRPr="00416070" w:rsidTr="005C0614">
        <w:trPr>
          <w:cantSplit/>
          <w:trHeight w:val="422"/>
        </w:trPr>
        <w:tc>
          <w:tcPr>
            <w:tcW w:w="2638" w:type="dxa"/>
            <w:tcBorders>
              <w:bottom w:val="single" w:sz="4" w:space="0" w:color="auto"/>
            </w:tcBorders>
            <w:shd w:val="clear" w:color="auto" w:fill="FABF8F"/>
            <w:vAlign w:val="center"/>
          </w:tcPr>
          <w:p w:rsidR="00CC19FC" w:rsidRPr="00416070" w:rsidRDefault="00CC19FC" w:rsidP="005C0614">
            <w:pPr>
              <w:pStyle w:val="ProductNames"/>
              <w:spacing w:beforeLines="20" w:before="48" w:afterLines="20" w:after="48"/>
              <w:rPr>
                <w:rFonts w:ascii="Tahoma" w:hAnsi="Tahoma" w:cs="Tahoma"/>
                <w:sz w:val="14"/>
              </w:rPr>
            </w:pPr>
            <w:bookmarkStart w:id="71" w:name="_Toc336337867"/>
            <w:bookmarkStart w:id="72" w:name="_Toc352233944"/>
            <w:r w:rsidRPr="00416070">
              <w:rPr>
                <w:rFonts w:ascii="Tahoma" w:hAnsi="Tahoma" w:cs="Tahoma"/>
                <w:sz w:val="14"/>
              </w:rPr>
              <w:t xml:space="preserve">Office Professional Plus </w:t>
            </w:r>
            <w:bookmarkEnd w:id="71"/>
            <w:r w:rsidRPr="00416070">
              <w:rPr>
                <w:rFonts w:ascii="Tahoma" w:hAnsi="Tahoma" w:cs="Tahoma"/>
                <w:sz w:val="14"/>
              </w:rPr>
              <w:t>2013</w:t>
            </w:r>
            <w:bookmarkEnd w:id="72"/>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rStyle w:val="EndnoteReference"/>
                <w:color w:val="0000FF"/>
                <w:sz w:val="13"/>
                <w:szCs w:val="13"/>
                <w:u w:val="single"/>
              </w:rPr>
            </w:pPr>
            <w:hyperlink w:anchor="_98_Office_Professional" w:history="1">
              <w:r w:rsidR="005B0EC7" w:rsidRPr="00416070">
                <w:rPr>
                  <w:rStyle w:val="Hyperlink"/>
                </w:rPr>
                <w:t>8</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E, P</w:t>
            </w:r>
          </w:p>
        </w:tc>
        <w:tc>
          <w:tcPr>
            <w:tcW w:w="643"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E,ST</w:t>
            </w:r>
          </w:p>
        </w:tc>
        <w:tc>
          <w:tcPr>
            <w:tcW w:w="540"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r>
      <w:tr w:rsidR="00B33D0E" w:rsidRPr="00416070" w:rsidTr="005C0614">
        <w:trPr>
          <w:cantSplit/>
          <w:trHeight w:val="278"/>
        </w:trPr>
        <w:tc>
          <w:tcPr>
            <w:tcW w:w="2638" w:type="dxa"/>
            <w:tcBorders>
              <w:bottom w:val="single" w:sz="4" w:space="0" w:color="auto"/>
            </w:tcBorders>
            <w:shd w:val="clear" w:color="auto" w:fill="auto"/>
            <w:vAlign w:val="center"/>
          </w:tcPr>
          <w:p w:rsidR="00CC19FC" w:rsidRPr="00416070" w:rsidRDefault="00CC19FC" w:rsidP="005C0614">
            <w:pPr>
              <w:pStyle w:val="Heading3"/>
              <w:spacing w:beforeLines="20" w:before="48" w:afterLines="20" w:after="48"/>
              <w:rPr>
                <w:rFonts w:ascii="Tahoma" w:hAnsi="Tahoma" w:cs="Tahoma"/>
                <w:b w:val="0"/>
                <w:sz w:val="14"/>
              </w:rPr>
            </w:pPr>
            <w:bookmarkStart w:id="73" w:name="_Toc336337868"/>
            <w:bookmarkStart w:id="74" w:name="_Toc352233945"/>
            <w:r w:rsidRPr="00416070">
              <w:rPr>
                <w:rFonts w:ascii="Tahoma" w:hAnsi="Tahoma" w:cs="Tahoma"/>
                <w:b w:val="0"/>
                <w:sz w:val="14"/>
              </w:rPr>
              <w:t xml:space="preserve">Office Standard </w:t>
            </w:r>
            <w:bookmarkEnd w:id="73"/>
            <w:r w:rsidRPr="00416070">
              <w:rPr>
                <w:rFonts w:ascii="Tahoma" w:hAnsi="Tahoma" w:cs="Tahoma"/>
                <w:b w:val="0"/>
                <w:sz w:val="14"/>
              </w:rPr>
              <w:t>2013</w:t>
            </w:r>
            <w:bookmarkEnd w:id="74"/>
            <w:r w:rsidRPr="00416070">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416070" w:rsidRDefault="008719E7" w:rsidP="00CE54BA">
            <w:pPr>
              <w:pStyle w:val="TableText"/>
              <w:widowControl w:val="0"/>
              <w:spacing w:before="20" w:after="20"/>
              <w:rPr>
                <w:rStyle w:val="EndnoteReference"/>
                <w:color w:val="0000FF"/>
                <w:sz w:val="13"/>
                <w:szCs w:val="13"/>
                <w:u w:val="single"/>
              </w:rPr>
            </w:pPr>
            <w:hyperlink w:anchor="_109_Office_Standard" w:history="1">
              <w:r w:rsidR="005B0EC7" w:rsidRPr="00416070">
                <w:rPr>
                  <w:rStyle w:val="Hyperlink"/>
                  <w:sz w:val="13"/>
                </w:rPr>
                <w:t>9</w:t>
              </w:r>
            </w:hyperlink>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b/>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r>
      <w:tr w:rsidR="00EF228F" w:rsidRPr="00416070" w:rsidTr="005C0614">
        <w:trPr>
          <w:cantSplit/>
          <w:trHeight w:val="305"/>
        </w:trPr>
        <w:tc>
          <w:tcPr>
            <w:tcW w:w="2638" w:type="dxa"/>
            <w:tcBorders>
              <w:bottom w:val="single" w:sz="4" w:space="0" w:color="auto"/>
            </w:tcBorders>
            <w:shd w:val="clear" w:color="auto" w:fill="FABF8F"/>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75" w:name="_Toc336337869"/>
            <w:bookmarkStart w:id="76" w:name="_Toc352233946"/>
            <w:r w:rsidRPr="00416070">
              <w:rPr>
                <w:rFonts w:ascii="Tahoma" w:hAnsi="Tahoma" w:cs="Tahoma"/>
                <w:b w:val="0"/>
                <w:sz w:val="14"/>
              </w:rPr>
              <w:t>Office 365 ProPlus (SL de Usuário)</w:t>
            </w:r>
            <w:bookmarkEnd w:id="75"/>
            <w:bookmarkEnd w:id="76"/>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b/>
                <w:color w:val="0000FF"/>
                <w:sz w:val="13"/>
                <w:szCs w:val="13"/>
                <w:u w:val="single"/>
              </w:rPr>
            </w:pPr>
            <w:hyperlink w:anchor="_110_Office_365" w:history="1">
              <w:r w:rsidR="005B0EC7" w:rsidRPr="00416070">
                <w:rPr>
                  <w:rStyle w:val="Hyperlink"/>
                </w:rPr>
                <w:t>10</w:t>
              </w:r>
            </w:hyperlink>
            <w:hyperlink w:anchor="Aps_9OfficeProPlusSubUserSL" w:history="1"/>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r w:rsidR="002253A3" w:rsidRPr="00416070" w:rsidTr="005C0614">
        <w:trPr>
          <w:cantSplit/>
          <w:trHeight w:val="305"/>
        </w:trPr>
        <w:tc>
          <w:tcPr>
            <w:tcW w:w="2638" w:type="dxa"/>
            <w:tcBorders>
              <w:bottom w:val="single" w:sz="4" w:space="0" w:color="auto"/>
            </w:tcBorders>
            <w:shd w:val="clear" w:color="auto" w:fill="auto"/>
            <w:vAlign w:val="center"/>
          </w:tcPr>
          <w:p w:rsidR="003418C5" w:rsidRPr="00416070" w:rsidRDefault="003418C5" w:rsidP="005C0614">
            <w:pPr>
              <w:pStyle w:val="Heading2"/>
              <w:spacing w:beforeLines="20" w:before="48" w:afterLines="20" w:after="48"/>
              <w:ind w:left="0"/>
              <w:rPr>
                <w:rFonts w:ascii="Tahoma" w:hAnsi="Tahoma" w:cs="Tahoma"/>
                <w:b w:val="0"/>
                <w:sz w:val="14"/>
              </w:rPr>
            </w:pPr>
            <w:bookmarkStart w:id="77" w:name="_Toc352233947"/>
            <w:r w:rsidRPr="00416070">
              <w:rPr>
                <w:rFonts w:ascii="Tahoma" w:hAnsi="Tahoma" w:cs="Tahoma"/>
                <w:b w:val="0"/>
                <w:sz w:val="14"/>
              </w:rPr>
              <w:lastRenderedPageBreak/>
              <w:t xml:space="preserve">Office 365 ProPlus SA Transition </w:t>
            </w:r>
            <w:r w:rsidR="00CE54BA" w:rsidRPr="002E114F">
              <w:rPr>
                <w:rFonts w:ascii="Tahoma" w:hAnsi="Tahoma" w:cs="Tahoma"/>
                <w:b w:val="0"/>
                <w:sz w:val="14"/>
                <w:lang w:val="fr-FR"/>
              </w:rPr>
              <w:br/>
            </w:r>
            <w:r w:rsidRPr="00416070">
              <w:rPr>
                <w:rFonts w:ascii="Tahoma" w:hAnsi="Tahoma" w:cs="Tahoma"/>
                <w:b w:val="0"/>
                <w:sz w:val="14"/>
              </w:rPr>
              <w:t>(SL de Usuário)</w:t>
            </w:r>
            <w:bookmarkEnd w:id="77"/>
          </w:p>
        </w:tc>
        <w:tc>
          <w:tcPr>
            <w:tcW w:w="429" w:type="dxa"/>
            <w:tcBorders>
              <w:bottom w:val="single" w:sz="4" w:space="0" w:color="auto"/>
            </w:tcBorders>
            <w:shd w:val="clear" w:color="auto" w:fill="auto"/>
            <w:vAlign w:val="center"/>
          </w:tcPr>
          <w:p w:rsidR="003418C5" w:rsidRPr="00416070" w:rsidRDefault="008719E7" w:rsidP="00CE54BA">
            <w:pPr>
              <w:pStyle w:val="TableText"/>
              <w:widowControl w:val="0"/>
              <w:spacing w:before="20" w:after="20"/>
              <w:rPr>
                <w:b/>
                <w:color w:val="0000FF"/>
                <w:sz w:val="13"/>
                <w:szCs w:val="13"/>
                <w:u w:val="single"/>
              </w:rPr>
            </w:pPr>
            <w:hyperlink w:anchor="_110_Office_365" w:history="1">
              <w:r w:rsidR="005B0EC7" w:rsidRPr="00416070">
                <w:rPr>
                  <w:rStyle w:val="Hyperlink"/>
                </w:rPr>
                <w:t>10</w:t>
              </w:r>
            </w:hyperlink>
          </w:p>
        </w:tc>
        <w:tc>
          <w:tcPr>
            <w:tcW w:w="429" w:type="dxa"/>
            <w:tcBorders>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r w:rsidRPr="00416070">
              <w:rPr>
                <w:rFonts w:ascii="Tahoma"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r w:rsidRPr="00416070">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643" w:type="dxa"/>
            <w:tcBorders>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c>
          <w:tcPr>
            <w:tcW w:w="540" w:type="dxa"/>
            <w:tcBorders>
              <w:bottom w:val="single" w:sz="4" w:space="0" w:color="auto"/>
            </w:tcBorders>
            <w:shd w:val="clear" w:color="auto" w:fill="auto"/>
            <w:vAlign w:val="center"/>
          </w:tcPr>
          <w:p w:rsidR="003418C5" w:rsidRPr="00416070" w:rsidRDefault="003418C5" w:rsidP="00CE54BA">
            <w:pPr>
              <w:pStyle w:val="TableText"/>
              <w:spacing w:before="20" w:after="20"/>
              <w:rPr>
                <w:rFonts w:ascii="Tahoma" w:hAnsi="Tahoma" w:cs="Tahoma"/>
                <w:sz w:val="13"/>
              </w:rPr>
            </w:pPr>
          </w:p>
        </w:tc>
      </w:tr>
      <w:tr w:rsidR="00EF228F" w:rsidRPr="00416070" w:rsidTr="005C0614">
        <w:trPr>
          <w:cantSplit/>
          <w:trHeight w:val="305"/>
        </w:trPr>
        <w:tc>
          <w:tcPr>
            <w:tcW w:w="2638" w:type="dxa"/>
            <w:tcBorders>
              <w:bottom w:val="single" w:sz="4" w:space="0" w:color="auto"/>
            </w:tcBorders>
            <w:shd w:val="clear" w:color="auto" w:fill="FABF8F"/>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78" w:name="_Toc336337870"/>
            <w:bookmarkStart w:id="79" w:name="_Toc352233948"/>
            <w:r w:rsidRPr="00416070">
              <w:rPr>
                <w:rFonts w:ascii="Tahoma" w:hAnsi="Tahoma" w:cs="Tahoma"/>
                <w:b w:val="0"/>
                <w:sz w:val="14"/>
              </w:rPr>
              <w:t>Assinatura A do Office Professional Plus (SL de Usuário)</w:t>
            </w:r>
            <w:bookmarkEnd w:id="78"/>
            <w:bookmarkEnd w:id="79"/>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b/>
                <w:color w:val="0000FF"/>
                <w:sz w:val="13"/>
                <w:szCs w:val="13"/>
                <w:u w:val="single"/>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E (Somente EES)</w:t>
            </w: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r w:rsidR="00792825" w:rsidRPr="00416070" w:rsidTr="005C0614">
        <w:trPr>
          <w:cantSplit/>
          <w:trHeight w:val="305"/>
        </w:trPr>
        <w:tc>
          <w:tcPr>
            <w:tcW w:w="2638" w:type="dxa"/>
            <w:tcBorders>
              <w:bottom w:val="single" w:sz="4" w:space="0" w:color="auto"/>
            </w:tcBorders>
            <w:shd w:val="clear" w:color="auto" w:fill="auto"/>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80" w:name="_Toc336337873"/>
            <w:bookmarkStart w:id="81" w:name="_Toc352233949"/>
            <w:r w:rsidRPr="00416070">
              <w:rPr>
                <w:rFonts w:ascii="Tahoma" w:hAnsi="Tahoma" w:cs="Tahoma"/>
                <w:b w:val="0"/>
                <w:sz w:val="14"/>
              </w:rPr>
              <w:t>OneNote</w:t>
            </w:r>
            <w:r w:rsidR="00510A6E" w:rsidRPr="00416070">
              <w:rPr>
                <w:rFonts w:ascii="Tahoma" w:hAnsi="Tahoma" w:cs="Tahoma"/>
                <w:b w:val="0"/>
                <w:sz w:val="14"/>
                <w:vertAlign w:val="superscript"/>
              </w:rPr>
              <w:t>®</w:t>
            </w:r>
            <w:r w:rsidRPr="00416070">
              <w:rPr>
                <w:rFonts w:ascii="Tahoma" w:hAnsi="Tahoma" w:cs="Tahoma"/>
                <w:b w:val="0"/>
                <w:sz w:val="14"/>
              </w:rPr>
              <w:t xml:space="preserve"> </w:t>
            </w:r>
            <w:bookmarkEnd w:id="80"/>
            <w:r w:rsidRPr="00416070">
              <w:rPr>
                <w:rFonts w:ascii="Tahoma" w:hAnsi="Tahoma" w:cs="Tahoma"/>
                <w:b w:val="0"/>
                <w:sz w:val="14"/>
              </w:rPr>
              <w:t>2013</w:t>
            </w:r>
            <w:bookmarkEnd w:id="81"/>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r>
      <w:tr w:rsidR="00EF228F" w:rsidRPr="00416070" w:rsidTr="005C0614">
        <w:trPr>
          <w:cantSplit/>
          <w:trHeight w:val="350"/>
        </w:trPr>
        <w:tc>
          <w:tcPr>
            <w:tcW w:w="2638" w:type="dxa"/>
            <w:tcBorders>
              <w:bottom w:val="single" w:sz="4" w:space="0" w:color="auto"/>
            </w:tcBorders>
            <w:shd w:val="clear" w:color="auto" w:fill="FABF8F"/>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82" w:name="_Toc336337874"/>
            <w:bookmarkStart w:id="83" w:name="_Toc352233950"/>
            <w:r w:rsidRPr="00416070">
              <w:rPr>
                <w:rFonts w:ascii="Tahoma" w:hAnsi="Tahoma" w:cs="Tahoma"/>
                <w:b w:val="0"/>
                <w:sz w:val="14"/>
              </w:rPr>
              <w:t>Outlook</w:t>
            </w:r>
            <w:r w:rsidR="00510A6E" w:rsidRPr="00416070">
              <w:rPr>
                <w:rFonts w:ascii="Tahoma" w:hAnsi="Tahoma" w:cs="Tahoma"/>
                <w:b w:val="0"/>
                <w:sz w:val="14"/>
                <w:vertAlign w:val="superscript"/>
              </w:rPr>
              <w:t>®</w:t>
            </w:r>
            <w:r w:rsidRPr="00416070">
              <w:rPr>
                <w:rFonts w:ascii="Tahoma" w:hAnsi="Tahoma" w:cs="Tahoma"/>
                <w:b w:val="0"/>
                <w:sz w:val="14"/>
              </w:rPr>
              <w:t xml:space="preserve"> </w:t>
            </w:r>
            <w:bookmarkEnd w:id="82"/>
            <w:r w:rsidRPr="00416070">
              <w:rPr>
                <w:rFonts w:ascii="Tahoma" w:hAnsi="Tahoma" w:cs="Tahoma"/>
                <w:b w:val="0"/>
                <w:sz w:val="14"/>
              </w:rPr>
              <w:t>2013</w:t>
            </w:r>
            <w:bookmarkEnd w:id="83"/>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r w:rsidR="00CC19FC" w:rsidRPr="00416070" w:rsidTr="005C0614">
        <w:trPr>
          <w:cantSplit/>
          <w:trHeight w:val="305"/>
        </w:trPr>
        <w:tc>
          <w:tcPr>
            <w:tcW w:w="2638" w:type="dxa"/>
            <w:tcBorders>
              <w:bottom w:val="single" w:sz="4" w:space="0" w:color="auto"/>
            </w:tcBorders>
            <w:shd w:val="clear" w:color="auto" w:fill="auto"/>
            <w:vAlign w:val="center"/>
          </w:tcPr>
          <w:p w:rsidR="00CC19FC" w:rsidRPr="00416070" w:rsidRDefault="00CC19FC" w:rsidP="005C0614">
            <w:pPr>
              <w:pStyle w:val="Heading2"/>
              <w:spacing w:beforeLines="20" w:before="48" w:afterLines="20" w:after="48"/>
              <w:ind w:left="0"/>
              <w:rPr>
                <w:rFonts w:ascii="Tahoma" w:hAnsi="Tahoma" w:cs="Tahoma"/>
                <w:b w:val="0"/>
                <w:sz w:val="16"/>
                <w:szCs w:val="16"/>
              </w:rPr>
            </w:pPr>
            <w:bookmarkStart w:id="84" w:name="_Toc336337875"/>
            <w:bookmarkStart w:id="85" w:name="_Toc352233951"/>
            <w:r w:rsidRPr="00416070">
              <w:rPr>
                <w:rFonts w:ascii="Tahoma" w:hAnsi="Tahoma" w:cs="Tahoma"/>
                <w:b w:val="0"/>
                <w:sz w:val="14"/>
                <w:szCs w:val="16"/>
              </w:rPr>
              <w:t xml:space="preserve">Outlook </w:t>
            </w:r>
            <w:bookmarkEnd w:id="84"/>
            <w:r w:rsidRPr="00416070">
              <w:rPr>
                <w:rFonts w:ascii="Tahoma" w:hAnsi="Tahoma" w:cs="Tahoma"/>
                <w:b w:val="0"/>
                <w:sz w:val="14"/>
                <w:szCs w:val="16"/>
              </w:rPr>
              <w:t>para Mac 2011</w:t>
            </w:r>
            <w:bookmarkEnd w:id="85"/>
          </w:p>
        </w:tc>
        <w:tc>
          <w:tcPr>
            <w:tcW w:w="429" w:type="dxa"/>
            <w:tcBorders>
              <w:bottom w:val="single" w:sz="4" w:space="0" w:color="auto"/>
            </w:tcBorders>
            <w:shd w:val="clear" w:color="auto" w:fill="auto"/>
            <w:vAlign w:val="center"/>
          </w:tcPr>
          <w:p w:rsidR="00CC19FC" w:rsidRPr="00416070" w:rsidRDefault="008719E7" w:rsidP="00CE54BA">
            <w:pPr>
              <w:pStyle w:val="TableText"/>
              <w:widowControl w:val="0"/>
              <w:spacing w:before="20" w:after="20"/>
              <w:rPr>
                <w:rStyle w:val="EndnoteReference"/>
                <w:color w:val="0000FF"/>
                <w:sz w:val="13"/>
                <w:szCs w:val="13"/>
                <w:u w:val="single"/>
              </w:rPr>
            </w:pPr>
            <w:hyperlink w:anchor="_121_Outlook_for" w:history="1">
              <w:r w:rsidR="005B0EC7" w:rsidRPr="00416070">
                <w:rPr>
                  <w:rStyle w:val="Hyperlink"/>
                </w:rPr>
                <w:t>11</w:t>
              </w:r>
            </w:hyperlink>
            <w:hyperlink w:anchor="Srv_9OutlookMac2011" w:history="1"/>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Fonts w:ascii="Tahoma" w:hAnsi="Tahoma" w:cs="Tahoma"/>
                <w:sz w:val="13"/>
              </w:rPr>
            </w:pPr>
          </w:p>
        </w:tc>
      </w:tr>
      <w:tr w:rsidR="00EF228F" w:rsidRPr="00416070" w:rsidTr="005C0614">
        <w:trPr>
          <w:cantSplit/>
          <w:trHeight w:val="305"/>
        </w:trPr>
        <w:tc>
          <w:tcPr>
            <w:tcW w:w="2638" w:type="dxa"/>
            <w:tcBorders>
              <w:bottom w:val="single" w:sz="4" w:space="0" w:color="auto"/>
            </w:tcBorders>
            <w:shd w:val="clear" w:color="auto" w:fill="FABF8F"/>
            <w:vAlign w:val="center"/>
          </w:tcPr>
          <w:p w:rsidR="00CC19FC" w:rsidRPr="00416070" w:rsidRDefault="00CC19FC" w:rsidP="005C0614">
            <w:pPr>
              <w:pStyle w:val="Heading3"/>
              <w:spacing w:beforeLines="20" w:before="48" w:afterLines="20" w:after="48"/>
              <w:rPr>
                <w:rFonts w:ascii="Tahoma" w:hAnsi="Tahoma" w:cs="Tahoma"/>
                <w:b w:val="0"/>
                <w:sz w:val="14"/>
              </w:rPr>
            </w:pPr>
            <w:bookmarkStart w:id="86" w:name="_Toc352233952"/>
            <w:r w:rsidRPr="00416070">
              <w:rPr>
                <w:rFonts w:ascii="Tahoma" w:hAnsi="Tahoma" w:cs="Tahoma"/>
                <w:b w:val="0"/>
                <w:sz w:val="14"/>
              </w:rPr>
              <w:t>PowerPoint 2013</w:t>
            </w:r>
            <w:bookmarkEnd w:id="86"/>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FFFFF"/>
            <w:vAlign w:val="center"/>
          </w:tcPr>
          <w:p w:rsidR="00CC19FC" w:rsidRPr="00416070" w:rsidRDefault="00CC19FC" w:rsidP="005C0614">
            <w:pPr>
              <w:pStyle w:val="Heading3"/>
              <w:spacing w:beforeLines="20" w:before="48" w:afterLines="20" w:after="48"/>
              <w:rPr>
                <w:rFonts w:ascii="Tahoma" w:hAnsi="Tahoma" w:cs="Tahoma"/>
                <w:b w:val="0"/>
                <w:sz w:val="14"/>
              </w:rPr>
            </w:pPr>
            <w:bookmarkStart w:id="87" w:name="_Toc336337878"/>
            <w:bookmarkStart w:id="88" w:name="_Toc352233953"/>
            <w:r w:rsidRPr="00416070">
              <w:rPr>
                <w:rFonts w:ascii="Tahoma" w:hAnsi="Tahoma" w:cs="Tahoma"/>
                <w:b w:val="0"/>
                <w:sz w:val="14"/>
              </w:rPr>
              <w:t>PowerPoint para Mac 2011</w:t>
            </w:r>
            <w:bookmarkEnd w:id="87"/>
            <w:bookmarkEnd w:id="88"/>
          </w:p>
        </w:tc>
        <w:tc>
          <w:tcPr>
            <w:tcW w:w="429" w:type="dxa"/>
            <w:tcBorders>
              <w:bottom w:val="single" w:sz="4" w:space="0" w:color="auto"/>
            </w:tcBorders>
            <w:shd w:val="clear" w:color="auto" w:fill="FFFFFF"/>
            <w:vAlign w:val="center"/>
          </w:tcPr>
          <w:p w:rsidR="00CC19FC" w:rsidRPr="00416070" w:rsidRDefault="00CC19FC"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ABF8F"/>
            <w:vAlign w:val="center"/>
          </w:tcPr>
          <w:p w:rsidR="00CC19FC" w:rsidRPr="00416070" w:rsidRDefault="00CC19FC" w:rsidP="005C0614">
            <w:pPr>
              <w:pStyle w:val="Heading3"/>
              <w:spacing w:beforeLines="20" w:before="48" w:afterLines="20" w:after="48"/>
              <w:rPr>
                <w:rFonts w:ascii="Tahoma" w:hAnsi="Tahoma" w:cs="Tahoma"/>
                <w:b w:val="0"/>
                <w:sz w:val="14"/>
              </w:rPr>
            </w:pPr>
            <w:bookmarkStart w:id="89" w:name="_Toc336337879"/>
            <w:bookmarkStart w:id="90" w:name="_Toc352233954"/>
            <w:r w:rsidRPr="00416070">
              <w:rPr>
                <w:rFonts w:ascii="Tahoma" w:hAnsi="Tahoma" w:cs="Tahoma"/>
                <w:b w:val="0"/>
                <w:sz w:val="14"/>
              </w:rPr>
              <w:t>Project 2013 Standard</w:t>
            </w:r>
            <w:bookmarkEnd w:id="89"/>
            <w:bookmarkEnd w:id="90"/>
            <w:r w:rsidRPr="00416070">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5</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FFFFF"/>
            <w:vAlign w:val="center"/>
          </w:tcPr>
          <w:p w:rsidR="00CC19FC" w:rsidRPr="00416070" w:rsidRDefault="00CC19FC" w:rsidP="005C0614">
            <w:pPr>
              <w:pStyle w:val="Heading3"/>
              <w:spacing w:beforeLines="20" w:before="48" w:afterLines="20" w:after="48"/>
              <w:rPr>
                <w:rFonts w:ascii="Tahoma" w:hAnsi="Tahoma" w:cs="Tahoma"/>
                <w:b w:val="0"/>
                <w:sz w:val="14"/>
              </w:rPr>
            </w:pPr>
            <w:bookmarkStart w:id="91" w:name="_Toc336337880"/>
            <w:bookmarkStart w:id="92" w:name="_Toc352233955"/>
            <w:r w:rsidRPr="00416070">
              <w:rPr>
                <w:rFonts w:ascii="Tahoma" w:hAnsi="Tahoma" w:cs="Tahoma"/>
                <w:b w:val="0"/>
                <w:sz w:val="14"/>
              </w:rPr>
              <w:t>Project 2013 Professional</w:t>
            </w:r>
            <w:bookmarkEnd w:id="91"/>
            <w:bookmarkEnd w:id="92"/>
            <w:r w:rsidRPr="00416070">
              <w:rPr>
                <w:rFonts w:ascii="Tahoma" w:hAnsi="Tahoma" w:cs="Tahoma"/>
                <w:b w:val="0"/>
                <w:sz w:val="14"/>
              </w:rPr>
              <w:t xml:space="preserve"> </w:t>
            </w:r>
          </w:p>
        </w:tc>
        <w:tc>
          <w:tcPr>
            <w:tcW w:w="429" w:type="dxa"/>
            <w:tcBorders>
              <w:bottom w:val="single" w:sz="4" w:space="0" w:color="auto"/>
            </w:tcBorders>
            <w:shd w:val="clear" w:color="auto" w:fill="FFFFFF"/>
            <w:vAlign w:val="center"/>
          </w:tcPr>
          <w:p w:rsidR="00CC19FC" w:rsidRPr="00416070" w:rsidRDefault="008719E7" w:rsidP="00CE54BA">
            <w:pPr>
              <w:pStyle w:val="TableText"/>
              <w:widowControl w:val="0"/>
              <w:spacing w:before="20" w:after="20"/>
              <w:rPr>
                <w:rStyle w:val="EndnoteReference"/>
                <w:color w:val="0000FF"/>
                <w:sz w:val="13"/>
                <w:szCs w:val="13"/>
                <w:u w:val="single"/>
              </w:rPr>
            </w:pPr>
            <w:hyperlink w:anchor="_132_Project_2013" w:history="1">
              <w:r w:rsidR="005B0EC7" w:rsidRPr="00416070">
                <w:rPr>
                  <w:rStyle w:val="Hyperlink"/>
                  <w:b/>
                  <w:sz w:val="13"/>
                  <w:szCs w:val="13"/>
                </w:rPr>
                <w:t>12</w:t>
              </w:r>
            </w:hyperlink>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10</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8</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 xml:space="preserve">A, AO, </w:t>
            </w:r>
            <w:r w:rsidR="005C0614">
              <w:rPr>
                <w:rFonts w:ascii="Tahoma" w:hAnsi="Tahoma" w:cs="Tahoma"/>
                <w:sz w:val="13"/>
                <w:lang w:val="en-US"/>
              </w:rPr>
              <w:br/>
            </w:r>
            <w:r w:rsidRPr="00416070">
              <w:rPr>
                <w:rFonts w:ascii="Tahoma" w:hAnsi="Tahoma" w:cs="Tahoma"/>
                <w:sz w:val="13"/>
              </w:rPr>
              <w:t>ST</w:t>
            </w:r>
          </w:p>
        </w:tc>
        <w:tc>
          <w:tcPr>
            <w:tcW w:w="540" w:type="dxa"/>
            <w:tcBorders>
              <w:bottom w:val="single" w:sz="4" w:space="0" w:color="auto"/>
            </w:tcBorders>
            <w:shd w:val="clear" w:color="auto" w:fill="FFFFFF"/>
            <w:vAlign w:val="center"/>
          </w:tcPr>
          <w:p w:rsidR="00CC19FC" w:rsidRPr="00416070" w:rsidRDefault="00CC19FC" w:rsidP="00CE54BA">
            <w:pPr>
              <w:pStyle w:val="TableText"/>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ABF8F"/>
            <w:vAlign w:val="center"/>
          </w:tcPr>
          <w:p w:rsidR="00CC19FC" w:rsidRPr="00416070" w:rsidRDefault="00C24CBE" w:rsidP="005C0614">
            <w:pPr>
              <w:pStyle w:val="Heading3"/>
              <w:spacing w:beforeLines="20" w:before="48" w:afterLines="20" w:after="48"/>
              <w:rPr>
                <w:rFonts w:ascii="Tahoma" w:hAnsi="Tahoma" w:cs="Tahoma"/>
                <w:b w:val="0"/>
                <w:sz w:val="14"/>
              </w:rPr>
            </w:pPr>
            <w:bookmarkStart w:id="93" w:name="_Toc352233956"/>
            <w:r w:rsidRPr="00416070">
              <w:rPr>
                <w:rFonts w:ascii="Tahoma" w:hAnsi="Tahoma" w:cs="Tahoma"/>
                <w:b w:val="0"/>
                <w:sz w:val="14"/>
              </w:rPr>
              <w:t>Project Pro para Office 365</w:t>
            </w:r>
            <w:bookmarkEnd w:id="93"/>
            <w:r w:rsidR="00CE7FC5" w:rsidRPr="00416070">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b/>
                <w:color w:val="0000FF"/>
                <w:sz w:val="13"/>
                <w:szCs w:val="13"/>
                <w:u w:val="single"/>
              </w:rPr>
            </w:pPr>
            <w:hyperlink w:anchor="_143_Project_Pro" w:history="1">
              <w:r w:rsidR="005B0EC7" w:rsidRPr="00416070">
                <w:rPr>
                  <w:rStyle w:val="Hyperlink"/>
                  <w:b/>
                  <w:sz w:val="13"/>
                  <w:szCs w:val="13"/>
                </w:rPr>
                <w:t>13</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r w:rsidR="00CC19FC" w:rsidRPr="00416070" w:rsidTr="005C0614">
        <w:trPr>
          <w:cantSplit/>
          <w:trHeight w:val="145"/>
        </w:trPr>
        <w:tc>
          <w:tcPr>
            <w:tcW w:w="2638" w:type="dxa"/>
            <w:tcBorders>
              <w:bottom w:val="single" w:sz="4" w:space="0" w:color="auto"/>
            </w:tcBorders>
            <w:shd w:val="clear" w:color="auto" w:fill="auto"/>
            <w:vAlign w:val="center"/>
          </w:tcPr>
          <w:p w:rsidR="00CC19FC" w:rsidRPr="00416070" w:rsidRDefault="00CC19FC" w:rsidP="005C0614">
            <w:pPr>
              <w:pStyle w:val="Heading3"/>
              <w:spacing w:beforeLines="20" w:before="48" w:afterLines="20" w:after="48"/>
              <w:rPr>
                <w:rFonts w:ascii="Tahoma" w:hAnsi="Tahoma" w:cs="Tahoma"/>
                <w:b w:val="0"/>
                <w:sz w:val="14"/>
              </w:rPr>
            </w:pPr>
            <w:bookmarkStart w:id="94" w:name="_Toc352233957"/>
            <w:r w:rsidRPr="00416070">
              <w:rPr>
                <w:rFonts w:ascii="Tahoma" w:hAnsi="Tahoma" w:cs="Tahoma"/>
                <w:b w:val="0"/>
                <w:sz w:val="14"/>
              </w:rPr>
              <w:t>Project Pro para Office 365 A</w:t>
            </w:r>
            <w:bookmarkEnd w:id="94"/>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b/>
                <w:color w:val="0000FF"/>
                <w:sz w:val="13"/>
                <w:szCs w:val="13"/>
                <w:u w:val="single"/>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416070" w:rsidRDefault="00C24CBE" w:rsidP="00CE54BA">
            <w:pPr>
              <w:pStyle w:val="TableText"/>
              <w:spacing w:before="20" w:after="20"/>
              <w:rPr>
                <w:rFonts w:ascii="Tahoma" w:hAnsi="Tahoma" w:cs="Tahoma"/>
                <w:sz w:val="13"/>
                <w:szCs w:val="13"/>
              </w:rPr>
            </w:pPr>
            <w:r w:rsidRPr="00416070">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643" w:type="dxa"/>
            <w:tcBorders>
              <w:bottom w:val="single" w:sz="4" w:space="0" w:color="auto"/>
            </w:tcBorders>
            <w:shd w:val="clear" w:color="auto" w:fill="auto"/>
            <w:vAlign w:val="center"/>
          </w:tcPr>
          <w:p w:rsidR="00CC19FC" w:rsidRPr="00416070" w:rsidRDefault="00573BA8" w:rsidP="00CE54BA">
            <w:pPr>
              <w:pStyle w:val="TableText"/>
              <w:spacing w:before="20" w:after="20"/>
              <w:rPr>
                <w:rFonts w:ascii="Tahoma" w:hAnsi="Tahoma" w:cs="Tahoma"/>
                <w:sz w:val="13"/>
              </w:rPr>
            </w:pPr>
            <w:r w:rsidRPr="00416070">
              <w:rPr>
                <w:rFonts w:ascii="Tahoma" w:hAnsi="Tahoma" w:cs="Tahoma"/>
                <w:sz w:val="13"/>
              </w:rPr>
              <w:t>A, ST (Somente EES)</w:t>
            </w:r>
          </w:p>
        </w:tc>
        <w:tc>
          <w:tcPr>
            <w:tcW w:w="540"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ABF8F"/>
            <w:vAlign w:val="center"/>
          </w:tcPr>
          <w:p w:rsidR="00CC19FC" w:rsidRPr="00416070" w:rsidRDefault="00CC19FC" w:rsidP="005C0614">
            <w:pPr>
              <w:pStyle w:val="Heading3"/>
              <w:spacing w:beforeLines="20" w:before="48" w:afterLines="20" w:after="48"/>
              <w:rPr>
                <w:rFonts w:ascii="Tahoma" w:hAnsi="Tahoma" w:cs="Tahoma"/>
                <w:b w:val="0"/>
                <w:sz w:val="14"/>
              </w:rPr>
            </w:pPr>
            <w:bookmarkStart w:id="95" w:name="_Toc352233958"/>
            <w:r w:rsidRPr="00416070">
              <w:rPr>
                <w:rFonts w:ascii="Tahoma" w:hAnsi="Tahoma" w:cs="Tahoma"/>
                <w:b w:val="0"/>
                <w:sz w:val="14"/>
              </w:rPr>
              <w:t>Publisher 2013</w:t>
            </w:r>
            <w:bookmarkEnd w:id="95"/>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b/>
                <w:color w:val="0000FF"/>
                <w:sz w:val="13"/>
                <w:szCs w:val="13"/>
                <w:u w:val="single"/>
              </w:rPr>
            </w:pPr>
            <w:bookmarkStart w:id="96" w:name="_Hlt335908485"/>
          </w:p>
        </w:tc>
        <w:bookmarkEnd w:id="96"/>
        <w:tc>
          <w:tcPr>
            <w:tcW w:w="429" w:type="dxa"/>
            <w:tcBorders>
              <w:bottom w:val="single" w:sz="4" w:space="0" w:color="auto"/>
            </w:tcBorders>
            <w:shd w:val="clear" w:color="auto" w:fill="FABF8F"/>
            <w:vAlign w:val="center"/>
          </w:tcPr>
          <w:p w:rsidR="00CC19FC" w:rsidRPr="00416070" w:rsidDel="00527D48" w:rsidRDefault="00CC19FC" w:rsidP="00CE54BA">
            <w:pPr>
              <w:pStyle w:val="TableText"/>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r w:rsidRPr="00416070">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r w:rsidR="00CC19FC" w:rsidRPr="00416070" w:rsidTr="005C0614">
        <w:trPr>
          <w:cantSplit/>
          <w:trHeight w:val="145"/>
        </w:trPr>
        <w:tc>
          <w:tcPr>
            <w:tcW w:w="2638" w:type="dxa"/>
            <w:tcBorders>
              <w:bottom w:val="single" w:sz="4" w:space="0" w:color="auto"/>
            </w:tcBorders>
            <w:shd w:val="clear" w:color="auto" w:fill="auto"/>
            <w:vAlign w:val="center"/>
          </w:tcPr>
          <w:p w:rsidR="00CC19FC" w:rsidRPr="00416070" w:rsidRDefault="00CC19FC" w:rsidP="005C0614">
            <w:pPr>
              <w:pStyle w:val="Heading3"/>
              <w:spacing w:beforeLines="20" w:before="48" w:afterLines="20" w:after="48"/>
              <w:rPr>
                <w:rFonts w:ascii="Tahoma" w:hAnsi="Tahoma" w:cs="Tahoma"/>
                <w:b w:val="0"/>
                <w:sz w:val="14"/>
              </w:rPr>
            </w:pPr>
            <w:bookmarkStart w:id="97" w:name="_Toc336337882"/>
            <w:bookmarkStart w:id="98" w:name="_Toc352233959"/>
            <w:r w:rsidRPr="00416070">
              <w:rPr>
                <w:rFonts w:ascii="Tahoma" w:hAnsi="Tahoma" w:cs="Tahoma"/>
                <w:b w:val="0"/>
                <w:sz w:val="14"/>
              </w:rPr>
              <w:t xml:space="preserve">Direitos de Locação para Office </w:t>
            </w:r>
            <w:bookmarkEnd w:id="97"/>
            <w:r w:rsidRPr="00416070">
              <w:rPr>
                <w:rFonts w:ascii="Tahoma" w:hAnsi="Tahoma" w:cs="Tahoma"/>
                <w:b w:val="0"/>
                <w:sz w:val="14"/>
              </w:rPr>
              <w:t>Standard</w:t>
            </w:r>
            <w:bookmarkEnd w:id="98"/>
          </w:p>
        </w:tc>
        <w:tc>
          <w:tcPr>
            <w:tcW w:w="429" w:type="dxa"/>
            <w:tcBorders>
              <w:bottom w:val="single" w:sz="4" w:space="0" w:color="auto"/>
            </w:tcBorders>
            <w:shd w:val="clear" w:color="auto" w:fill="auto"/>
            <w:vAlign w:val="center"/>
          </w:tcPr>
          <w:p w:rsidR="00CC19FC" w:rsidRPr="00416070" w:rsidRDefault="008719E7" w:rsidP="00CE54BA">
            <w:pPr>
              <w:pStyle w:val="TableText"/>
              <w:widowControl w:val="0"/>
              <w:spacing w:before="20" w:after="20"/>
              <w:rPr>
                <w:rStyle w:val="EndnoteReference"/>
                <w:color w:val="0000FF"/>
                <w:sz w:val="13"/>
                <w:szCs w:val="13"/>
                <w:u w:val="single"/>
              </w:rPr>
            </w:pPr>
            <w:hyperlink w:anchor="_145_Rental_Rights" w:history="1">
              <w:r w:rsidR="005B0EC7" w:rsidRPr="00416070">
                <w:rPr>
                  <w:rStyle w:val="Hyperlink"/>
                </w:rPr>
                <w:t>14</w:t>
              </w:r>
            </w:hyperlink>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643"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ABF8F"/>
            <w:vAlign w:val="center"/>
          </w:tcPr>
          <w:p w:rsidR="00CC19FC" w:rsidRPr="00416070" w:rsidRDefault="00CC19FC" w:rsidP="005C0614">
            <w:pPr>
              <w:pStyle w:val="Heading3"/>
              <w:spacing w:beforeLines="20" w:before="48" w:afterLines="20" w:after="48"/>
              <w:rPr>
                <w:rFonts w:ascii="Tahoma" w:hAnsi="Tahoma" w:cs="Tahoma"/>
                <w:b w:val="0"/>
                <w:sz w:val="14"/>
              </w:rPr>
            </w:pPr>
            <w:bookmarkStart w:id="99" w:name="_Toc352233960"/>
            <w:r w:rsidRPr="00416070">
              <w:rPr>
                <w:rFonts w:ascii="Tahoma" w:hAnsi="Tahoma" w:cs="Tahoma"/>
                <w:b w:val="0"/>
                <w:sz w:val="14"/>
              </w:rPr>
              <w:t>Direitos de Locação para Office Professional Plus</w:t>
            </w:r>
            <w:bookmarkEnd w:id="99"/>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rStyle w:val="EndnoteReference"/>
                <w:color w:val="0000FF"/>
                <w:sz w:val="13"/>
                <w:szCs w:val="13"/>
                <w:u w:val="single"/>
              </w:rPr>
            </w:pPr>
            <w:hyperlink w:anchor="_145_Rental_Rights" w:history="1">
              <w:r w:rsidR="005B0EC7" w:rsidRPr="00416070">
                <w:rPr>
                  <w:rStyle w:val="Hyperlink"/>
                </w:rPr>
                <w:t>14</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r w:rsidR="00CC19FC" w:rsidRPr="00416070" w:rsidTr="005C0614">
        <w:trPr>
          <w:cantSplit/>
          <w:trHeight w:val="145"/>
        </w:trPr>
        <w:tc>
          <w:tcPr>
            <w:tcW w:w="2638" w:type="dxa"/>
            <w:tcBorders>
              <w:bottom w:val="single" w:sz="4" w:space="0" w:color="auto"/>
            </w:tcBorders>
            <w:shd w:val="clear" w:color="auto" w:fill="auto"/>
            <w:vAlign w:val="center"/>
          </w:tcPr>
          <w:p w:rsidR="00CC19FC" w:rsidRPr="00416070" w:rsidRDefault="00CC19FC" w:rsidP="005C0614">
            <w:pPr>
              <w:pStyle w:val="Heading3"/>
              <w:spacing w:beforeLines="20" w:before="48" w:afterLines="20" w:after="48"/>
              <w:rPr>
                <w:rFonts w:ascii="Tahoma" w:hAnsi="Tahoma" w:cs="Tahoma"/>
                <w:b w:val="0"/>
                <w:sz w:val="14"/>
              </w:rPr>
            </w:pPr>
            <w:bookmarkStart w:id="100" w:name="_Toc336337884"/>
            <w:bookmarkStart w:id="101" w:name="_Toc352233961"/>
            <w:r w:rsidRPr="00416070">
              <w:rPr>
                <w:rFonts w:ascii="Tahoma" w:hAnsi="Tahoma" w:cs="Tahoma"/>
                <w:b w:val="0"/>
                <w:sz w:val="14"/>
              </w:rPr>
              <w:t>Streets and Trips 2013</w:t>
            </w:r>
            <w:bookmarkEnd w:id="100"/>
            <w:bookmarkEnd w:id="101"/>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A,ST</w:t>
            </w:r>
          </w:p>
        </w:tc>
        <w:tc>
          <w:tcPr>
            <w:tcW w:w="540"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ABF8F"/>
            <w:vAlign w:val="center"/>
          </w:tcPr>
          <w:p w:rsidR="005F584F" w:rsidRPr="00416070" w:rsidRDefault="005F584F" w:rsidP="005C0614">
            <w:pPr>
              <w:pStyle w:val="Heading3"/>
              <w:spacing w:beforeLines="20" w:before="48" w:afterLines="20" w:after="48"/>
              <w:rPr>
                <w:rFonts w:ascii="Tahoma" w:hAnsi="Tahoma" w:cs="Tahoma"/>
                <w:b w:val="0"/>
                <w:sz w:val="14"/>
              </w:rPr>
            </w:pPr>
            <w:bookmarkStart w:id="102" w:name="_Toc352233962"/>
            <w:r w:rsidRPr="00416070">
              <w:rPr>
                <w:rFonts w:ascii="Tahoma" w:hAnsi="Tahoma" w:cs="Tahoma"/>
                <w:b w:val="0"/>
                <w:sz w:val="14"/>
              </w:rPr>
              <w:t>TechNet Plus Direct</w:t>
            </w:r>
            <w:bookmarkEnd w:id="102"/>
            <w:r w:rsidRPr="00416070">
              <w:rPr>
                <w:rFonts w:ascii="Tahoma" w:hAnsi="Tahoma" w:cs="Tahoma"/>
                <w:b w:val="0"/>
                <w:sz w:val="14"/>
              </w:rPr>
              <w:t xml:space="preserve"> </w:t>
            </w:r>
          </w:p>
        </w:tc>
        <w:tc>
          <w:tcPr>
            <w:tcW w:w="429" w:type="dxa"/>
            <w:tcBorders>
              <w:bottom w:val="single" w:sz="4" w:space="0" w:color="auto"/>
            </w:tcBorders>
            <w:shd w:val="clear" w:color="auto" w:fill="FABF8F"/>
            <w:vAlign w:val="center"/>
          </w:tcPr>
          <w:p w:rsidR="005F584F" w:rsidRPr="00416070" w:rsidRDefault="005F584F" w:rsidP="00CE54BA">
            <w:pPr>
              <w:pStyle w:val="TableText"/>
              <w:widowControl w:val="0"/>
              <w:spacing w:before="20" w:after="20"/>
            </w:pPr>
          </w:p>
        </w:tc>
        <w:tc>
          <w:tcPr>
            <w:tcW w:w="429" w:type="dxa"/>
            <w:tcBorders>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5</w:t>
            </w:r>
          </w:p>
        </w:tc>
        <w:tc>
          <w:tcPr>
            <w:tcW w:w="429" w:type="dxa"/>
            <w:tcBorders>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FABF8F"/>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LO</w:t>
            </w:r>
          </w:p>
        </w:tc>
      </w:tr>
      <w:tr w:rsidR="005F584F" w:rsidRPr="00416070" w:rsidTr="005C0614">
        <w:trPr>
          <w:cantSplit/>
          <w:trHeight w:val="145"/>
        </w:trPr>
        <w:tc>
          <w:tcPr>
            <w:tcW w:w="2638" w:type="dxa"/>
            <w:tcBorders>
              <w:bottom w:val="single" w:sz="4" w:space="0" w:color="auto"/>
            </w:tcBorders>
            <w:shd w:val="clear" w:color="auto" w:fill="auto"/>
            <w:vAlign w:val="center"/>
          </w:tcPr>
          <w:p w:rsidR="005F584F" w:rsidRPr="00416070" w:rsidRDefault="005F584F" w:rsidP="005C0614">
            <w:pPr>
              <w:pStyle w:val="Heading3"/>
              <w:spacing w:beforeLines="20" w:before="48" w:afterLines="20" w:after="48"/>
              <w:rPr>
                <w:rFonts w:ascii="Tahoma" w:hAnsi="Tahoma" w:cs="Tahoma"/>
                <w:b w:val="0"/>
                <w:sz w:val="14"/>
              </w:rPr>
            </w:pPr>
            <w:bookmarkStart w:id="103" w:name="_Toc352233963"/>
            <w:r w:rsidRPr="00416070">
              <w:rPr>
                <w:rFonts w:ascii="Tahoma" w:hAnsi="Tahoma" w:cs="Tahoma"/>
                <w:b w:val="0"/>
                <w:sz w:val="14"/>
              </w:rPr>
              <w:t>Vexcel Desktop com Pacote de Conteúdo Aprimorado</w:t>
            </w:r>
            <w:bookmarkEnd w:id="103"/>
          </w:p>
        </w:tc>
        <w:tc>
          <w:tcPr>
            <w:tcW w:w="429" w:type="dxa"/>
            <w:tcBorders>
              <w:bottom w:val="single" w:sz="4" w:space="0" w:color="auto"/>
            </w:tcBorders>
            <w:shd w:val="clear" w:color="auto" w:fill="auto"/>
            <w:vAlign w:val="center"/>
          </w:tcPr>
          <w:p w:rsidR="005F584F" w:rsidRPr="00416070" w:rsidRDefault="008719E7" w:rsidP="00CE54BA">
            <w:pPr>
              <w:pStyle w:val="TableText"/>
              <w:widowControl w:val="0"/>
              <w:spacing w:before="20" w:after="20"/>
            </w:pPr>
            <w:hyperlink w:anchor="_15_Visio_Professional" w:history="1">
              <w:r w:rsidR="005B0EC7" w:rsidRPr="00416070">
                <w:rPr>
                  <w:rStyle w:val="Hyperlink"/>
                  <w:b/>
                  <w:sz w:val="13"/>
                  <w:szCs w:val="13"/>
                </w:rPr>
                <w:t>15</w:t>
              </w:r>
            </w:hyperlink>
          </w:p>
        </w:tc>
        <w:tc>
          <w:tcPr>
            <w:tcW w:w="429" w:type="dxa"/>
            <w:tcBorders>
              <w:bottom w:val="single" w:sz="4"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1 ponto</w:t>
            </w:r>
          </w:p>
        </w:tc>
        <w:tc>
          <w:tcPr>
            <w:tcW w:w="429" w:type="dxa"/>
            <w:tcBorders>
              <w:left w:val="single" w:sz="18" w:space="0" w:color="auto"/>
              <w:bottom w:val="single" w:sz="4"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auto"/>
            <w:vAlign w:val="center"/>
          </w:tcPr>
          <w:p w:rsidR="005F584F" w:rsidRPr="00416070" w:rsidRDefault="005F584F" w:rsidP="00CE54BA">
            <w:pPr>
              <w:pStyle w:val="TableText"/>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ABF8F"/>
            <w:vAlign w:val="center"/>
          </w:tcPr>
          <w:p w:rsidR="00CC19FC" w:rsidRPr="00416070" w:rsidRDefault="00CC19FC" w:rsidP="005C0614">
            <w:pPr>
              <w:pStyle w:val="Heading3"/>
              <w:spacing w:beforeLines="20" w:before="48" w:afterLines="20" w:after="48"/>
              <w:rPr>
                <w:rFonts w:ascii="Tahoma" w:hAnsi="Tahoma" w:cs="Tahoma"/>
                <w:b w:val="0"/>
                <w:sz w:val="14"/>
              </w:rPr>
            </w:pPr>
            <w:bookmarkStart w:id="104" w:name="_Toc336337886"/>
            <w:bookmarkStart w:id="105" w:name="_Toc352233964"/>
            <w:r w:rsidRPr="00416070">
              <w:rPr>
                <w:rFonts w:ascii="Tahoma" w:hAnsi="Tahoma" w:cs="Tahoma"/>
                <w:b w:val="0"/>
                <w:sz w:val="14"/>
              </w:rPr>
              <w:t>Visio</w:t>
            </w:r>
            <w:r w:rsidR="00510A6E" w:rsidRPr="00416070">
              <w:rPr>
                <w:rFonts w:ascii="Tahoma" w:hAnsi="Tahoma" w:cs="Tahoma"/>
                <w:b w:val="0"/>
                <w:sz w:val="14"/>
                <w:vertAlign w:val="superscript"/>
              </w:rPr>
              <w:t>®</w:t>
            </w:r>
            <w:r w:rsidRPr="00416070">
              <w:rPr>
                <w:rFonts w:ascii="Tahoma" w:hAnsi="Tahoma" w:cs="Tahoma"/>
                <w:b w:val="0"/>
                <w:sz w:val="14"/>
              </w:rPr>
              <w:t xml:space="preserve"> 2013 Professional</w:t>
            </w:r>
            <w:bookmarkEnd w:id="104"/>
            <w:bookmarkEnd w:id="105"/>
            <w:r w:rsidR="00FB5496" w:rsidRPr="00416070">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rStyle w:val="EndnoteReference"/>
                <w:b w:val="0"/>
                <w:color w:val="0000FF"/>
                <w:sz w:val="13"/>
                <w:szCs w:val="13"/>
                <w:u w:val="single"/>
              </w:rPr>
            </w:pPr>
            <w:hyperlink w:anchor="_16_Visio_Professional" w:history="1">
              <w:r w:rsidR="005B0EC7" w:rsidRPr="00416070">
                <w:rPr>
                  <w:rStyle w:val="Hyperlink"/>
                  <w:b/>
                  <w:sz w:val="13"/>
                  <w:szCs w:val="13"/>
                </w:rPr>
                <w:t>16</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5</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r w:rsidR="00CC19FC" w:rsidRPr="00416070" w:rsidTr="005C0614">
        <w:trPr>
          <w:cantSplit/>
          <w:trHeight w:val="145"/>
        </w:trPr>
        <w:tc>
          <w:tcPr>
            <w:tcW w:w="2638" w:type="dxa"/>
            <w:tcBorders>
              <w:bottom w:val="single" w:sz="4" w:space="0" w:color="auto"/>
            </w:tcBorders>
            <w:shd w:val="clear" w:color="auto" w:fill="auto"/>
            <w:vAlign w:val="center"/>
          </w:tcPr>
          <w:p w:rsidR="00CC19FC" w:rsidRPr="00416070" w:rsidRDefault="00CC19FC" w:rsidP="005C0614">
            <w:pPr>
              <w:pStyle w:val="Heading3"/>
              <w:spacing w:beforeLines="20" w:before="48" w:afterLines="20" w:after="48"/>
              <w:rPr>
                <w:rFonts w:ascii="Tahoma" w:hAnsi="Tahoma" w:cs="Tahoma"/>
                <w:b w:val="0"/>
                <w:sz w:val="14"/>
              </w:rPr>
            </w:pPr>
            <w:bookmarkStart w:id="106" w:name="_Toc336337887"/>
            <w:bookmarkStart w:id="107" w:name="_Toc352233965"/>
            <w:r w:rsidRPr="00416070">
              <w:rPr>
                <w:rFonts w:ascii="Tahoma" w:hAnsi="Tahoma" w:cs="Tahoma"/>
                <w:b w:val="0"/>
                <w:sz w:val="14"/>
              </w:rPr>
              <w:t>Visio</w:t>
            </w:r>
            <w:r w:rsidR="00510A6E" w:rsidRPr="00416070">
              <w:rPr>
                <w:rFonts w:ascii="Tahoma" w:hAnsi="Tahoma" w:cs="Tahoma"/>
                <w:b w:val="0"/>
                <w:sz w:val="14"/>
                <w:vertAlign w:val="superscript"/>
              </w:rPr>
              <w:t>®</w:t>
            </w:r>
            <w:r w:rsidRPr="00416070">
              <w:rPr>
                <w:rFonts w:ascii="Tahoma" w:hAnsi="Tahoma" w:cs="Tahoma"/>
                <w:b w:val="0"/>
                <w:sz w:val="14"/>
              </w:rPr>
              <w:t xml:space="preserve"> 2013 Standard</w:t>
            </w:r>
            <w:bookmarkEnd w:id="106"/>
            <w:bookmarkEnd w:id="107"/>
            <w:r w:rsidRPr="00416070">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ABF8F"/>
            <w:vAlign w:val="center"/>
          </w:tcPr>
          <w:p w:rsidR="00CC19FC" w:rsidRPr="00416070" w:rsidRDefault="00C24CBE" w:rsidP="005C0614">
            <w:pPr>
              <w:pStyle w:val="ProductNames"/>
              <w:spacing w:beforeLines="20" w:before="48" w:afterLines="20" w:after="48"/>
              <w:rPr>
                <w:rFonts w:ascii="Tahoma" w:hAnsi="Tahoma" w:cs="Tahoma"/>
                <w:sz w:val="14"/>
              </w:rPr>
            </w:pPr>
            <w:bookmarkStart w:id="108" w:name="_Toc352233966"/>
            <w:r w:rsidRPr="00416070">
              <w:rPr>
                <w:rFonts w:ascii="Tahoma" w:hAnsi="Tahoma" w:cs="Tahoma"/>
                <w:sz w:val="14"/>
              </w:rPr>
              <w:t>Visio Pro para Office 365</w:t>
            </w:r>
            <w:bookmarkEnd w:id="108"/>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rStyle w:val="EndnoteReference"/>
                <w:rFonts w:cs="Tahoma"/>
                <w:b w:val="0"/>
                <w:color w:val="0000FF"/>
                <w:sz w:val="13"/>
                <w:szCs w:val="13"/>
                <w:u w:val="single"/>
              </w:rPr>
            </w:pPr>
            <w:hyperlink w:anchor="_17_Visio_Pro" w:history="1">
              <w:r w:rsidR="007C2D60" w:rsidRPr="00B01D7E">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r w:rsidR="00CC19FC" w:rsidRPr="00416070" w:rsidTr="005C0614">
        <w:trPr>
          <w:cantSplit/>
          <w:trHeight w:val="145"/>
        </w:trPr>
        <w:tc>
          <w:tcPr>
            <w:tcW w:w="2638" w:type="dxa"/>
            <w:tcBorders>
              <w:bottom w:val="single" w:sz="4" w:space="0" w:color="auto"/>
            </w:tcBorders>
            <w:shd w:val="clear" w:color="auto" w:fill="auto"/>
            <w:vAlign w:val="center"/>
          </w:tcPr>
          <w:p w:rsidR="00CC19FC" w:rsidRPr="00416070" w:rsidRDefault="00CC19FC" w:rsidP="005C0614">
            <w:pPr>
              <w:pStyle w:val="ProductNames"/>
              <w:spacing w:beforeLines="20" w:before="48" w:afterLines="20" w:after="48"/>
              <w:rPr>
                <w:rFonts w:ascii="Tahoma" w:hAnsi="Tahoma" w:cs="Tahoma"/>
                <w:sz w:val="14"/>
              </w:rPr>
            </w:pPr>
            <w:bookmarkStart w:id="109" w:name="_Toc352233967"/>
            <w:r w:rsidRPr="00416070">
              <w:rPr>
                <w:rFonts w:ascii="Tahoma" w:hAnsi="Tahoma" w:cs="Tahoma"/>
                <w:sz w:val="14"/>
              </w:rPr>
              <w:t>Visio Pro para Office 365 A</w:t>
            </w:r>
            <w:bookmarkEnd w:id="109"/>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416070" w:rsidRDefault="00C24CBE"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643" w:type="dxa"/>
            <w:tcBorders>
              <w:bottom w:val="single" w:sz="4" w:space="0" w:color="auto"/>
            </w:tcBorders>
            <w:shd w:val="clear" w:color="auto" w:fill="auto"/>
            <w:vAlign w:val="center"/>
          </w:tcPr>
          <w:p w:rsidR="00CC19FC" w:rsidRPr="00416070" w:rsidRDefault="00573BA8" w:rsidP="00CE54BA">
            <w:pPr>
              <w:pStyle w:val="TableText"/>
              <w:spacing w:before="20" w:after="20"/>
              <w:rPr>
                <w:rFonts w:ascii="Tahoma" w:hAnsi="Tahoma" w:cs="Tahoma"/>
                <w:sz w:val="13"/>
              </w:rPr>
            </w:pPr>
            <w:r w:rsidRPr="00416070">
              <w:rPr>
                <w:rFonts w:ascii="Tahoma" w:hAnsi="Tahoma" w:cs="Tahoma"/>
                <w:sz w:val="13"/>
              </w:rPr>
              <w:t>A, ST (Somente EES)</w:t>
            </w:r>
          </w:p>
        </w:tc>
        <w:tc>
          <w:tcPr>
            <w:tcW w:w="540"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r>
      <w:tr w:rsidR="00EF228F" w:rsidRPr="00416070" w:rsidTr="005C0614">
        <w:trPr>
          <w:cantSplit/>
          <w:trHeight w:val="145"/>
        </w:trPr>
        <w:tc>
          <w:tcPr>
            <w:tcW w:w="2638" w:type="dxa"/>
            <w:tcBorders>
              <w:bottom w:val="single" w:sz="4" w:space="0" w:color="auto"/>
            </w:tcBorders>
            <w:shd w:val="clear" w:color="auto" w:fill="FABF8F"/>
            <w:vAlign w:val="center"/>
          </w:tcPr>
          <w:p w:rsidR="00CC19FC" w:rsidRPr="00416070" w:rsidRDefault="00CC19FC" w:rsidP="005C0614">
            <w:pPr>
              <w:pStyle w:val="ProductNames"/>
              <w:spacing w:beforeLines="20" w:before="48" w:afterLines="20" w:after="48"/>
              <w:rPr>
                <w:rFonts w:ascii="Tahoma" w:hAnsi="Tahoma" w:cs="Tahoma"/>
                <w:sz w:val="14"/>
              </w:rPr>
            </w:pPr>
            <w:bookmarkStart w:id="110" w:name="_Toc336337889"/>
            <w:bookmarkStart w:id="111" w:name="_Toc352233968"/>
            <w:r w:rsidRPr="00416070">
              <w:rPr>
                <w:rFonts w:ascii="Tahoma" w:hAnsi="Tahoma" w:cs="Tahoma"/>
                <w:sz w:val="14"/>
              </w:rPr>
              <w:t>Visual Studio</w:t>
            </w:r>
            <w:r w:rsidR="00510A6E" w:rsidRPr="00416070">
              <w:rPr>
                <w:rFonts w:ascii="Tahoma" w:hAnsi="Tahoma" w:cs="Tahoma"/>
                <w:sz w:val="14"/>
                <w:vertAlign w:val="superscript"/>
              </w:rPr>
              <w:t>®</w:t>
            </w:r>
            <w:r w:rsidRPr="00416070">
              <w:rPr>
                <w:rFonts w:ascii="Tahoma" w:hAnsi="Tahoma" w:cs="Tahoma"/>
                <w:sz w:val="14"/>
              </w:rPr>
              <w:t xml:space="preserve"> Professional 2012</w:t>
            </w:r>
            <w:bookmarkEnd w:id="110"/>
            <w:bookmarkEnd w:id="111"/>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b/>
                <w:color w:val="0000FF"/>
                <w:sz w:val="13"/>
                <w:szCs w:val="13"/>
                <w:u w:val="single"/>
              </w:rPr>
            </w:pPr>
            <w:hyperlink w:anchor="Aps_12VS2010Professional" w:history="1">
              <w:r w:rsidR="005B0EC7" w:rsidRPr="00416070">
                <w:rPr>
                  <w:rStyle w:val="Hyperlink"/>
                  <w:b/>
                  <w:sz w:val="13"/>
                  <w:szCs w:val="13"/>
                </w:rPr>
                <w:t>18</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r w:rsidR="00B33D0E" w:rsidRPr="00416070" w:rsidTr="005C0614">
        <w:trPr>
          <w:cantSplit/>
          <w:trHeight w:val="145"/>
        </w:trPr>
        <w:tc>
          <w:tcPr>
            <w:tcW w:w="2638" w:type="dxa"/>
            <w:tcBorders>
              <w:bottom w:val="single" w:sz="4" w:space="0" w:color="auto"/>
            </w:tcBorders>
            <w:shd w:val="clear" w:color="auto" w:fill="auto"/>
            <w:vAlign w:val="center"/>
          </w:tcPr>
          <w:p w:rsidR="00CC19FC" w:rsidRPr="002E114F" w:rsidRDefault="00CC19FC" w:rsidP="005C0614">
            <w:pPr>
              <w:pStyle w:val="ProductNames"/>
              <w:spacing w:beforeLines="20" w:before="48" w:afterLines="20" w:after="48"/>
              <w:rPr>
                <w:rFonts w:ascii="Tahoma" w:hAnsi="Tahoma" w:cs="Tahoma"/>
                <w:sz w:val="14"/>
                <w:lang w:val="pt-BR"/>
              </w:rPr>
            </w:pPr>
            <w:bookmarkStart w:id="112" w:name="_Toc336337890"/>
            <w:bookmarkStart w:id="113" w:name="_Toc352233969"/>
            <w:r w:rsidRPr="002E114F">
              <w:rPr>
                <w:rFonts w:ascii="Tahoma" w:hAnsi="Tahoma" w:cs="Tahoma"/>
                <w:sz w:val="14"/>
                <w:lang w:val="pt-BR"/>
              </w:rPr>
              <w:t>Visual Studio</w:t>
            </w:r>
            <w:r w:rsidR="00510A6E" w:rsidRPr="002E114F">
              <w:rPr>
                <w:rFonts w:ascii="Tahoma" w:hAnsi="Tahoma" w:cs="Tahoma"/>
                <w:sz w:val="14"/>
                <w:vertAlign w:val="superscript"/>
                <w:lang w:val="pt-BR"/>
              </w:rPr>
              <w:t>®</w:t>
            </w:r>
            <w:r w:rsidRPr="002E114F">
              <w:rPr>
                <w:rFonts w:ascii="Tahoma" w:hAnsi="Tahoma" w:cs="Tahoma"/>
                <w:sz w:val="14"/>
                <w:lang w:val="pt-BR"/>
              </w:rPr>
              <w:t xml:space="preserve"> Professional 2012 com</w:t>
            </w:r>
            <w:r w:rsidR="005C0614" w:rsidRPr="002E114F">
              <w:rPr>
                <w:rFonts w:ascii="Tahoma" w:hAnsi="Tahoma" w:cs="Tahoma"/>
                <w:sz w:val="14"/>
                <w:lang w:val="pt-BR"/>
              </w:rPr>
              <w:t> </w:t>
            </w:r>
            <w:r w:rsidRPr="002E114F">
              <w:rPr>
                <w:rFonts w:ascii="Tahoma" w:hAnsi="Tahoma" w:cs="Tahoma"/>
                <w:sz w:val="14"/>
                <w:lang w:val="pt-BR"/>
              </w:rPr>
              <w:t>MSDN</w:t>
            </w:r>
            <w:bookmarkEnd w:id="112"/>
            <w:bookmarkEnd w:id="113"/>
            <w:r w:rsidRPr="002E114F">
              <w:rPr>
                <w:rFonts w:ascii="Tahoma" w:hAnsi="Tahoma" w:cs="Tahoma"/>
                <w:sz w:val="14"/>
                <w:lang w:val="pt-BR"/>
              </w:rPr>
              <w:t xml:space="preserve"> </w:t>
            </w:r>
          </w:p>
        </w:tc>
        <w:tc>
          <w:tcPr>
            <w:tcW w:w="429" w:type="dxa"/>
            <w:tcBorders>
              <w:bottom w:val="single" w:sz="4" w:space="0" w:color="auto"/>
            </w:tcBorders>
            <w:shd w:val="clear" w:color="auto" w:fill="auto"/>
            <w:vAlign w:val="center"/>
          </w:tcPr>
          <w:p w:rsidR="00CC19FC" w:rsidRPr="00416070" w:rsidRDefault="008719E7" w:rsidP="00CE54BA">
            <w:pPr>
              <w:pStyle w:val="TableText"/>
              <w:widowControl w:val="0"/>
              <w:spacing w:before="20" w:after="20"/>
              <w:rPr>
                <w:rStyle w:val="EndnoteReference"/>
                <w:b w:val="0"/>
                <w:color w:val="0000FF"/>
                <w:sz w:val="13"/>
                <w:szCs w:val="13"/>
                <w:u w:val="single"/>
              </w:rPr>
            </w:pPr>
            <w:hyperlink w:anchor="Aps_13VS2010ProfessionalMSDN" w:history="1">
              <w:r w:rsidR="005B0EC7" w:rsidRPr="00416070">
                <w:rPr>
                  <w:rStyle w:val="Hyperlink"/>
                  <w:b/>
                  <w:sz w:val="13"/>
                  <w:szCs w:val="13"/>
                </w:rPr>
                <w:t>19</w:t>
              </w:r>
            </w:hyperlink>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auto"/>
            <w:vAlign w:val="center"/>
          </w:tcPr>
          <w:p w:rsidR="00CC19FC" w:rsidRPr="00416070" w:rsidRDefault="00CC19FC" w:rsidP="00CE54BA">
            <w:pPr>
              <w:pStyle w:val="TableText"/>
              <w:spacing w:before="20" w:after="20"/>
            </w:pPr>
            <w:r w:rsidRPr="00416070">
              <w:rPr>
                <w:rFonts w:ascii="Tahoma" w:hAnsi="Tahoma" w:cs="Tahoma"/>
                <w:sz w:val="13"/>
              </w:rPr>
              <w:t>LO/SA/</w:t>
            </w:r>
          </w:p>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OV</w:t>
            </w:r>
          </w:p>
        </w:tc>
      </w:tr>
      <w:tr w:rsidR="00EF228F" w:rsidRPr="00416070" w:rsidTr="005C0614">
        <w:trPr>
          <w:cantSplit/>
          <w:trHeight w:val="145"/>
        </w:trPr>
        <w:tc>
          <w:tcPr>
            <w:tcW w:w="2638" w:type="dxa"/>
            <w:tcBorders>
              <w:bottom w:val="single" w:sz="4" w:space="0" w:color="auto"/>
            </w:tcBorders>
            <w:shd w:val="clear" w:color="auto" w:fill="FABF8F"/>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114" w:name="_Toc336337891"/>
            <w:bookmarkStart w:id="115" w:name="_Toc352233970"/>
            <w:r w:rsidRPr="00416070">
              <w:rPr>
                <w:rFonts w:ascii="Tahoma" w:hAnsi="Tahoma" w:cs="Tahoma"/>
                <w:b w:val="0"/>
                <w:sz w:val="14"/>
              </w:rPr>
              <w:t>Visual Studio</w:t>
            </w:r>
            <w:r w:rsidR="00510A6E" w:rsidRPr="00416070">
              <w:rPr>
                <w:rFonts w:ascii="Tahoma" w:hAnsi="Tahoma" w:cs="Tahoma"/>
                <w:sz w:val="14"/>
                <w:vertAlign w:val="superscript"/>
              </w:rPr>
              <w:t>®</w:t>
            </w:r>
            <w:r w:rsidRPr="00416070">
              <w:rPr>
                <w:rFonts w:ascii="Tahoma" w:hAnsi="Tahoma" w:cs="Tahoma"/>
                <w:b w:val="0"/>
                <w:sz w:val="14"/>
              </w:rPr>
              <w:t xml:space="preserve"> Premium 2012 com MSDN</w:t>
            </w:r>
            <w:bookmarkEnd w:id="114"/>
            <w:bookmarkEnd w:id="115"/>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b/>
                <w:sz w:val="13"/>
                <w:szCs w:val="13"/>
                <w:u w:val="single"/>
              </w:rPr>
            </w:pPr>
            <w:hyperlink w:anchor="Aps_16VS2010PremiumMSDN" w:history="1">
              <w:r w:rsidR="005B0EC7" w:rsidRPr="00416070">
                <w:rPr>
                  <w:rStyle w:val="Hyperlink"/>
                  <w:b/>
                  <w:sz w:val="13"/>
                  <w:szCs w:val="13"/>
                </w:rPr>
                <w:t>20</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38</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30</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23</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23</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15</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30</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15</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pPr>
            <w:r w:rsidRPr="00416070">
              <w:rPr>
                <w:rFonts w:ascii="Tahoma" w:hAnsi="Tahoma" w:cs="Tahoma"/>
                <w:sz w:val="13"/>
              </w:rPr>
              <w:t>LO/SA/</w:t>
            </w:r>
          </w:p>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OV</w:t>
            </w:r>
          </w:p>
        </w:tc>
      </w:tr>
      <w:tr w:rsidR="00B33D0E" w:rsidRPr="00416070" w:rsidTr="005C0614">
        <w:trPr>
          <w:cantSplit/>
          <w:trHeight w:val="145"/>
        </w:trPr>
        <w:tc>
          <w:tcPr>
            <w:tcW w:w="2638" w:type="dxa"/>
            <w:tcBorders>
              <w:bottom w:val="single" w:sz="4" w:space="0" w:color="auto"/>
            </w:tcBorders>
            <w:shd w:val="clear" w:color="auto" w:fill="auto"/>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116" w:name="_Toc336337892"/>
            <w:bookmarkStart w:id="117" w:name="_Toc352233971"/>
            <w:r w:rsidRPr="00416070">
              <w:rPr>
                <w:rFonts w:ascii="Tahoma" w:hAnsi="Tahoma" w:cs="Tahoma"/>
                <w:b w:val="0"/>
                <w:sz w:val="14"/>
              </w:rPr>
              <w:t>Visual Studio</w:t>
            </w:r>
            <w:r w:rsidR="00510A6E" w:rsidRPr="00416070">
              <w:rPr>
                <w:rFonts w:ascii="Tahoma" w:hAnsi="Tahoma" w:cs="Tahoma"/>
                <w:sz w:val="14"/>
                <w:vertAlign w:val="superscript"/>
              </w:rPr>
              <w:t>®</w:t>
            </w:r>
            <w:r w:rsidRPr="00416070">
              <w:rPr>
                <w:rFonts w:ascii="Tahoma" w:hAnsi="Tahoma" w:cs="Tahoma"/>
                <w:b w:val="0"/>
                <w:sz w:val="14"/>
              </w:rPr>
              <w:t xml:space="preserve"> Ultimate 2012 com MSDN</w:t>
            </w:r>
            <w:bookmarkEnd w:id="116"/>
            <w:bookmarkEnd w:id="117"/>
          </w:p>
        </w:tc>
        <w:tc>
          <w:tcPr>
            <w:tcW w:w="429" w:type="dxa"/>
            <w:tcBorders>
              <w:bottom w:val="single" w:sz="4" w:space="0" w:color="auto"/>
            </w:tcBorders>
            <w:shd w:val="clear" w:color="auto" w:fill="auto"/>
            <w:vAlign w:val="center"/>
          </w:tcPr>
          <w:p w:rsidR="00CC19FC" w:rsidRPr="00416070" w:rsidRDefault="008719E7" w:rsidP="00CE54BA">
            <w:pPr>
              <w:pStyle w:val="TableText"/>
              <w:widowControl w:val="0"/>
              <w:spacing w:before="20" w:after="20"/>
              <w:rPr>
                <w:b/>
                <w:sz w:val="13"/>
                <w:szCs w:val="13"/>
                <w:u w:val="single"/>
              </w:rPr>
            </w:pPr>
            <w:hyperlink w:anchor="Aps_18VS2010UltimateMSDN" w:history="1">
              <w:r w:rsidR="005B0EC7" w:rsidRPr="00416070">
                <w:rPr>
                  <w:rStyle w:val="Hyperlink"/>
                  <w:b/>
                  <w:sz w:val="13"/>
                  <w:szCs w:val="13"/>
                </w:rPr>
                <w:t>21</w:t>
              </w:r>
            </w:hyperlink>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83</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66</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50</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50</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33</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66</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33</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auto"/>
            <w:vAlign w:val="center"/>
          </w:tcPr>
          <w:p w:rsidR="00CC19FC" w:rsidRPr="00416070" w:rsidRDefault="00CC19FC" w:rsidP="00CE54BA">
            <w:pPr>
              <w:pStyle w:val="TableText"/>
              <w:spacing w:before="20" w:after="20"/>
            </w:pPr>
            <w:r w:rsidRPr="00416070">
              <w:rPr>
                <w:rFonts w:ascii="Tahoma" w:hAnsi="Tahoma" w:cs="Tahoma"/>
                <w:sz w:val="13"/>
              </w:rPr>
              <w:t>LO/SA/</w:t>
            </w:r>
          </w:p>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OV</w:t>
            </w:r>
          </w:p>
        </w:tc>
      </w:tr>
      <w:tr w:rsidR="00EF228F" w:rsidRPr="00416070" w:rsidTr="005C0614">
        <w:trPr>
          <w:cantSplit/>
          <w:trHeight w:val="145"/>
        </w:trPr>
        <w:tc>
          <w:tcPr>
            <w:tcW w:w="2638" w:type="dxa"/>
            <w:tcBorders>
              <w:bottom w:val="single" w:sz="4" w:space="0" w:color="auto"/>
            </w:tcBorders>
            <w:shd w:val="clear" w:color="auto" w:fill="FABF8F"/>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118" w:name="_Toc336337893"/>
            <w:bookmarkStart w:id="119" w:name="_Toc352233972"/>
            <w:r w:rsidRPr="00416070">
              <w:rPr>
                <w:rFonts w:ascii="Tahoma" w:hAnsi="Tahoma" w:cs="Tahoma"/>
                <w:b w:val="0"/>
                <w:sz w:val="14"/>
              </w:rPr>
              <w:t>Visual Studio</w:t>
            </w:r>
            <w:r w:rsidR="00510A6E" w:rsidRPr="00416070">
              <w:rPr>
                <w:rFonts w:ascii="Tahoma" w:hAnsi="Tahoma" w:cs="Tahoma"/>
                <w:sz w:val="14"/>
                <w:vertAlign w:val="superscript"/>
              </w:rPr>
              <w:t>®</w:t>
            </w:r>
            <w:r w:rsidRPr="00416070">
              <w:rPr>
                <w:rFonts w:ascii="Tahoma" w:hAnsi="Tahoma" w:cs="Tahoma"/>
                <w:b w:val="0"/>
                <w:sz w:val="14"/>
              </w:rPr>
              <w:t xml:space="preserve"> Test Professional 2012 com MSDN</w:t>
            </w:r>
            <w:bookmarkEnd w:id="118"/>
            <w:bookmarkEnd w:id="119"/>
          </w:p>
        </w:tc>
        <w:tc>
          <w:tcPr>
            <w:tcW w:w="429" w:type="dxa"/>
            <w:tcBorders>
              <w:bottom w:val="single" w:sz="4" w:space="0" w:color="auto"/>
            </w:tcBorders>
            <w:shd w:val="clear" w:color="auto" w:fill="FABF8F"/>
            <w:vAlign w:val="center"/>
          </w:tcPr>
          <w:p w:rsidR="00CC19FC" w:rsidRPr="00416070" w:rsidRDefault="008719E7" w:rsidP="00CE54BA">
            <w:pPr>
              <w:pStyle w:val="TableText"/>
              <w:widowControl w:val="0"/>
              <w:spacing w:before="20" w:after="20"/>
              <w:rPr>
                <w:b/>
                <w:sz w:val="13"/>
                <w:szCs w:val="13"/>
                <w:u w:val="single"/>
              </w:rPr>
            </w:pPr>
            <w:hyperlink w:anchor="_22_Visual_Studio" w:history="1">
              <w:r w:rsidR="005B0EC7" w:rsidRPr="00416070">
                <w:rPr>
                  <w:rStyle w:val="Hyperlink"/>
                  <w:b/>
                  <w:sz w:val="13"/>
                  <w:szCs w:val="13"/>
                </w:rPr>
                <w:t>22</w:t>
              </w:r>
            </w:hyperlink>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15</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9</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9</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A</w:t>
            </w: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pPr>
            <w:r w:rsidRPr="00416070">
              <w:rPr>
                <w:rFonts w:ascii="Tahoma" w:hAnsi="Tahoma" w:cs="Tahoma"/>
                <w:sz w:val="13"/>
              </w:rPr>
              <w:t>LO/SA/</w:t>
            </w:r>
          </w:p>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OV</w:t>
            </w:r>
          </w:p>
        </w:tc>
      </w:tr>
      <w:tr w:rsidR="00B33D0E" w:rsidRPr="00416070" w:rsidTr="005C0614">
        <w:trPr>
          <w:cantSplit/>
          <w:trHeight w:val="70"/>
        </w:trPr>
        <w:tc>
          <w:tcPr>
            <w:tcW w:w="2638" w:type="dxa"/>
            <w:tcBorders>
              <w:bottom w:val="single" w:sz="4" w:space="0" w:color="auto"/>
            </w:tcBorders>
            <w:shd w:val="clear" w:color="auto" w:fill="auto"/>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120" w:name="_Toc336337894"/>
            <w:bookmarkStart w:id="121" w:name="_Toc352233973"/>
            <w:r w:rsidRPr="00416070">
              <w:rPr>
                <w:rFonts w:ascii="Tahoma" w:hAnsi="Tahoma" w:cs="Tahoma"/>
                <w:b w:val="0"/>
                <w:sz w:val="14"/>
              </w:rPr>
              <w:t xml:space="preserve">Word </w:t>
            </w:r>
            <w:bookmarkEnd w:id="120"/>
            <w:r w:rsidRPr="00416070">
              <w:rPr>
                <w:rFonts w:ascii="Tahoma" w:hAnsi="Tahoma" w:cs="Tahoma"/>
                <w:b w:val="0"/>
                <w:sz w:val="14"/>
              </w:rPr>
              <w:t>2013</w:t>
            </w:r>
            <w:bookmarkEnd w:id="121"/>
          </w:p>
        </w:tc>
        <w:tc>
          <w:tcPr>
            <w:tcW w:w="429" w:type="dxa"/>
            <w:tcBorders>
              <w:bottom w:val="single" w:sz="4" w:space="0" w:color="auto"/>
            </w:tcBorders>
            <w:shd w:val="clear" w:color="auto" w:fill="auto"/>
            <w:vAlign w:val="center"/>
          </w:tcPr>
          <w:p w:rsidR="00CC19FC" w:rsidRPr="00416070" w:rsidRDefault="00CC19FC" w:rsidP="00CE54BA">
            <w:pPr>
              <w:pStyle w:val="TableText"/>
              <w:widowControl w:val="0"/>
              <w:spacing w:before="20" w:after="2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auto"/>
            <w:vAlign w:val="center"/>
          </w:tcPr>
          <w:p w:rsidR="00CC19FC" w:rsidRPr="00416070" w:rsidRDefault="00CC19FC" w:rsidP="00CE54BA">
            <w:pPr>
              <w:pStyle w:val="TableText"/>
              <w:spacing w:before="20" w:after="20"/>
              <w:rPr>
                <w:rFonts w:ascii="Tahoma" w:hAnsi="Tahoma" w:cs="Tahoma"/>
                <w:sz w:val="13"/>
              </w:rPr>
            </w:pPr>
          </w:p>
        </w:tc>
      </w:tr>
      <w:tr w:rsidR="00EF228F" w:rsidRPr="00416070" w:rsidTr="005C0614">
        <w:trPr>
          <w:cantSplit/>
          <w:trHeight w:val="323"/>
        </w:trPr>
        <w:tc>
          <w:tcPr>
            <w:tcW w:w="2638" w:type="dxa"/>
            <w:tcBorders>
              <w:bottom w:val="single" w:sz="4" w:space="0" w:color="auto"/>
            </w:tcBorders>
            <w:shd w:val="clear" w:color="auto" w:fill="FABF8F"/>
            <w:vAlign w:val="center"/>
          </w:tcPr>
          <w:p w:rsidR="00CC19FC" w:rsidRPr="00416070" w:rsidRDefault="00CC19FC" w:rsidP="005C0614">
            <w:pPr>
              <w:pStyle w:val="Heading2"/>
              <w:spacing w:beforeLines="20" w:before="48" w:afterLines="20" w:after="48"/>
              <w:ind w:left="0"/>
              <w:rPr>
                <w:rFonts w:ascii="Tahoma" w:hAnsi="Tahoma" w:cs="Tahoma"/>
                <w:b w:val="0"/>
                <w:sz w:val="14"/>
              </w:rPr>
            </w:pPr>
            <w:bookmarkStart w:id="122" w:name="_Toc336337895"/>
            <w:bookmarkStart w:id="123" w:name="_Toc352233974"/>
            <w:r w:rsidRPr="00416070">
              <w:rPr>
                <w:rFonts w:ascii="Tahoma" w:hAnsi="Tahoma" w:cs="Tahoma"/>
                <w:b w:val="0"/>
                <w:sz w:val="14"/>
              </w:rPr>
              <w:t>Word para Mac 2011</w:t>
            </w:r>
            <w:bookmarkEnd w:id="122"/>
            <w:bookmarkEnd w:id="123"/>
          </w:p>
        </w:tc>
        <w:tc>
          <w:tcPr>
            <w:tcW w:w="429" w:type="dxa"/>
            <w:tcBorders>
              <w:bottom w:val="single" w:sz="4" w:space="0" w:color="auto"/>
            </w:tcBorders>
            <w:shd w:val="clear" w:color="auto" w:fill="FABF8F"/>
            <w:vAlign w:val="center"/>
          </w:tcPr>
          <w:p w:rsidR="00CC19FC" w:rsidRPr="00416070" w:rsidRDefault="00CC19FC" w:rsidP="00CE54BA">
            <w:pPr>
              <w:pStyle w:val="TableText"/>
              <w:widowControl w:val="0"/>
              <w:spacing w:before="20" w:after="20"/>
              <w:rPr>
                <w:rStyle w:val="EndnoteReference"/>
                <w:rFonts w:ascii="Tahoma" w:hAnsi="Tahoma"/>
                <w:color w:val="0000FF"/>
                <w:sz w:val="14"/>
              </w:rPr>
            </w:pP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3</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r w:rsidRPr="00416070">
              <w:rPr>
                <w:rFonts w:ascii="Tahoma" w:hAnsi="Tahoma" w:cs="Tahoma"/>
                <w:sz w:val="13"/>
              </w:rPr>
              <w:t>P</w:t>
            </w:r>
          </w:p>
        </w:tc>
        <w:tc>
          <w:tcPr>
            <w:tcW w:w="643"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CC19FC" w:rsidRPr="00416070" w:rsidRDefault="00CC19FC" w:rsidP="00CE54BA">
            <w:pPr>
              <w:pStyle w:val="TableText"/>
              <w:spacing w:before="20" w:after="20"/>
              <w:rPr>
                <w:rFonts w:ascii="Tahoma" w:hAnsi="Tahoma" w:cs="Tahoma"/>
                <w:sz w:val="13"/>
              </w:rPr>
            </w:pPr>
          </w:p>
        </w:tc>
      </w:tr>
    </w:tbl>
    <w:p w:rsidR="00023FE7" w:rsidRPr="00416070" w:rsidRDefault="003C5D8F">
      <w:pPr>
        <w:pStyle w:val="Bodywithspace"/>
        <w:ind w:left="0"/>
      </w:pPr>
      <w:r w:rsidRPr="00416070">
        <w:rPr>
          <w:noProof/>
          <w:sz w:val="14"/>
        </w:rPr>
        <mc:AlternateContent>
          <mc:Choice Requires="wps">
            <w:drawing>
              <wp:anchor distT="0" distB="0" distL="114300" distR="114300" simplePos="0" relativeHeight="251653632" behindDoc="0" locked="0" layoutInCell="1" allowOverlap="1" wp14:anchorId="1F8CCB29" wp14:editId="775AB8C9">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15ABE" w:rsidRPr="008D38F6" w:rsidRDefault="00715ABE">
                            <w:pPr>
                              <w:rPr>
                                <w:rFonts w:cs="Tahoma"/>
                                <w:i/>
                                <w:color w:val="000000"/>
                                <w:sz w:val="14"/>
                                <w:szCs w:val="14"/>
                                <w:lang w:val="pt-BR"/>
                              </w:rPr>
                            </w:pPr>
                            <w:r w:rsidRPr="008D38F6">
                              <w:rPr>
                                <w:rFonts w:cs="Tahoma"/>
                                <w:i/>
                                <w:color w:val="000000"/>
                                <w:sz w:val="14"/>
                                <w:szCs w:val="14"/>
                                <w:lang w:val="pt-BR"/>
                              </w:rPr>
                              <w:t>Observação: se a célula correspondente ao produto estiver vazia, significa que no momento ele não é oferecido no programa.</w:t>
                            </w:r>
                          </w:p>
                          <w:p w:rsidR="00715ABE" w:rsidRPr="008D38F6" w:rsidRDefault="00715ABE">
                            <w:pPr>
                              <w:rPr>
                                <w:rFonts w:cs="Tahoma"/>
                                <w:i/>
                                <w:color w:val="000000"/>
                                <w:sz w:val="14"/>
                                <w:szCs w:val="14"/>
                                <w:lang w:val="pt-BR"/>
                              </w:rPr>
                            </w:pPr>
                            <w:r w:rsidRPr="008D38F6">
                              <w:rPr>
                                <w:rFonts w:cs="Tahoma"/>
                                <w:i/>
                                <w:color w:val="000000"/>
                                <w:sz w:val="14"/>
                                <w:szCs w:val="14"/>
                                <w:lang w:val="pt-BR"/>
                              </w:rPr>
                              <w:t>*Para Select Plus, serão usados apenas os valores de ‘L’ e três anos para ‘L&amp;SA’ / ’SA’.</w:t>
                            </w:r>
                          </w:p>
                          <w:p w:rsidR="00715ABE" w:rsidRPr="008D38F6" w:rsidRDefault="00715ABE">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F8CCB29"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715ABE" w:rsidRPr="008D38F6" w:rsidRDefault="00715ABE">
                      <w:pPr>
                        <w:rPr>
                          <w:rFonts w:cs="Tahoma"/>
                          <w:i/>
                          <w:color w:val="000000"/>
                          <w:sz w:val="14"/>
                          <w:szCs w:val="14"/>
                          <w:lang w:val="pt-BR"/>
                        </w:rPr>
                      </w:pPr>
                      <w:r w:rsidRPr="008D38F6">
                        <w:rPr>
                          <w:rFonts w:cs="Tahoma"/>
                          <w:i/>
                          <w:color w:val="000000"/>
                          <w:sz w:val="14"/>
                          <w:szCs w:val="14"/>
                          <w:lang w:val="pt-BR"/>
                        </w:rPr>
                        <w:t>Observação: se a célula correspondente ao produto estiver vazia, significa que no momento ele não é oferecido no programa.</w:t>
                      </w:r>
                    </w:p>
                    <w:p w:rsidR="00715ABE" w:rsidRPr="008D38F6" w:rsidRDefault="00715ABE">
                      <w:pPr>
                        <w:rPr>
                          <w:rFonts w:cs="Tahoma"/>
                          <w:i/>
                          <w:color w:val="000000"/>
                          <w:sz w:val="14"/>
                          <w:szCs w:val="14"/>
                          <w:lang w:val="pt-BR"/>
                        </w:rPr>
                      </w:pPr>
                      <w:r w:rsidRPr="008D38F6">
                        <w:rPr>
                          <w:rFonts w:cs="Tahoma"/>
                          <w:i/>
                          <w:color w:val="000000"/>
                          <w:sz w:val="14"/>
                          <w:szCs w:val="14"/>
                          <w:lang w:val="pt-BR"/>
                        </w:rPr>
                        <w:t>*Para Select Plus, serão usados apenas os valores de ‘L’ e três anos para ‘L&amp;SA’ / ’SA’.</w:t>
                      </w:r>
                    </w:p>
                    <w:p w:rsidR="00715ABE" w:rsidRPr="008D38F6" w:rsidRDefault="00715ABE">
                      <w:pPr>
                        <w:rPr>
                          <w:lang w:val="pt-BR"/>
                        </w:rPr>
                      </w:pPr>
                    </w:p>
                  </w:txbxContent>
                </v:textbox>
              </v:shape>
            </w:pict>
          </mc:Fallback>
        </mc:AlternateContent>
      </w:r>
    </w:p>
    <w:p w:rsidR="00023FE7" w:rsidRPr="00416070" w:rsidRDefault="00023FE7">
      <w:pPr>
        <w:pStyle w:val="ProductPool"/>
      </w:pPr>
    </w:p>
    <w:p w:rsidR="00CE54BA" w:rsidRDefault="00CE54BA" w:rsidP="004E292A">
      <w:pPr>
        <w:pStyle w:val="Heading3"/>
        <w:rPr>
          <w:sz w:val="18"/>
          <w:lang w:val="en-US"/>
        </w:rPr>
      </w:pPr>
      <w:bookmarkStart w:id="124" w:name="_Toc336337896"/>
    </w:p>
    <w:p w:rsidR="00CE54BA" w:rsidRDefault="00CE54BA" w:rsidP="004E292A">
      <w:pPr>
        <w:pStyle w:val="Heading3"/>
        <w:rPr>
          <w:sz w:val="18"/>
          <w:lang w:val="en-US"/>
        </w:rPr>
      </w:pPr>
    </w:p>
    <w:p w:rsidR="00023FE7" w:rsidRPr="00416070" w:rsidRDefault="00023FE7" w:rsidP="004E292A">
      <w:pPr>
        <w:pStyle w:val="Heading3"/>
      </w:pPr>
      <w:bookmarkStart w:id="125" w:name="_Toc352233975"/>
      <w:r w:rsidRPr="00416070">
        <w:rPr>
          <w:rFonts w:ascii="Tahoma" w:hAnsi="Tahoma" w:cs="Tahoma"/>
          <w:sz w:val="22"/>
        </w:rPr>
        <w:lastRenderedPageBreak/>
        <w:t>POOL DE SISTEMAS</w:t>
      </w:r>
      <w:bookmarkEnd w:id="124"/>
      <w:bookmarkEnd w:id="125"/>
    </w:p>
    <w:p w:rsidR="00023FE7" w:rsidRPr="00416070" w:rsidRDefault="00023FE7"/>
    <w:tbl>
      <w:tblPr>
        <w:tblW w:w="1062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540"/>
        <w:gridCol w:w="360"/>
        <w:gridCol w:w="450"/>
        <w:gridCol w:w="630"/>
        <w:gridCol w:w="450"/>
      </w:tblGrid>
      <w:tr w:rsidR="00AF4B30" w:rsidRPr="00416070" w:rsidTr="00F17536">
        <w:trPr>
          <w:cantSplit/>
          <w:trHeight w:val="389"/>
          <w:tblHeader/>
        </w:trPr>
        <w:tc>
          <w:tcPr>
            <w:tcW w:w="2610" w:type="dxa"/>
            <w:vMerge w:val="restart"/>
            <w:tcBorders>
              <w:top w:val="single" w:sz="4" w:space="0" w:color="FFFFFF"/>
              <w:left w:val="single" w:sz="4" w:space="0" w:color="FFFFFF"/>
            </w:tcBorders>
          </w:tcPr>
          <w:p w:rsidR="00B27742" w:rsidRPr="00416070" w:rsidRDefault="003C5D8F" w:rsidP="00CE54BA">
            <w:pPr>
              <w:spacing w:before="20" w:after="20"/>
              <w:rPr>
                <w:rFonts w:cs="Tahoma"/>
                <w:sz w:val="20"/>
              </w:rPr>
            </w:pPr>
            <w:r w:rsidRPr="00416070">
              <w:rPr>
                <w:rFonts w:cs="Tahoma"/>
                <w:noProof/>
                <w:sz w:val="9"/>
              </w:rPr>
              <mc:AlternateContent>
                <mc:Choice Requires="wps">
                  <w:drawing>
                    <wp:anchor distT="0" distB="0" distL="114300" distR="114300" simplePos="0" relativeHeight="251660800" behindDoc="0" locked="0" layoutInCell="1" allowOverlap="1" wp14:anchorId="15162E63" wp14:editId="0EFE56BF">
                      <wp:simplePos x="0" y="0"/>
                      <wp:positionH relativeFrom="column">
                        <wp:posOffset>1550670</wp:posOffset>
                      </wp:positionH>
                      <wp:positionV relativeFrom="paragraph">
                        <wp:posOffset>698818</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15ABE" w:rsidRPr="00F17536" w:rsidRDefault="00715ABE">
                                  <w:pPr>
                                    <w:rPr>
                                      <w:color w:val="0000FF"/>
                                      <w:sz w:val="8"/>
                                      <w:szCs w:val="8"/>
                                    </w:rPr>
                                  </w:pPr>
                                  <w:r w:rsidRPr="00F17536">
                                    <w:rPr>
                                      <w:rFonts w:cs="Tahoma"/>
                                      <w:b/>
                                      <w:color w:val="0000FF"/>
                                      <w:sz w:val="8"/>
                                      <w:szCs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15162E63" id="Text Box 61" o:spid="_x0000_s1027" type="#_x0000_t202" style="position:absolute;margin-left:122.1pt;margin-top:55.0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" filled="f" stroked="f">
                      <v:textbox style="mso-fit-shape-to-text:t">
                        <w:txbxContent>
                          <w:p w:rsidR="00715ABE" w:rsidRPr="00F17536" w:rsidRDefault="00715ABE">
                            <w:pPr>
                              <w:rPr>
                                <w:color w:val="0000FF"/>
                                <w:sz w:val="8"/>
                                <w:szCs w:val="8"/>
                              </w:rPr>
                            </w:pPr>
                            <w:r w:rsidRPr="00F17536">
                              <w:rPr>
                                <w:rFonts w:cs="Tahoma"/>
                                <w:b/>
                                <w:color w:val="0000FF"/>
                                <w:sz w:val="8"/>
                                <w:szCs w:val="8"/>
                              </w:rPr>
                              <w:t>(Ctrl + clique)</w:t>
                            </w:r>
                          </w:p>
                        </w:txbxContent>
                      </v:textbox>
                    </v:shape>
                  </w:pict>
                </mc:Fallback>
              </mc:AlternateContent>
            </w:r>
          </w:p>
        </w:tc>
        <w:tc>
          <w:tcPr>
            <w:tcW w:w="360" w:type="dxa"/>
            <w:vMerge w:val="restart"/>
            <w:tcBorders>
              <w:top w:val="single" w:sz="12" w:space="0" w:color="auto"/>
            </w:tcBorders>
            <w:textDirection w:val="btLr"/>
            <w:vAlign w:val="center"/>
          </w:tcPr>
          <w:p w:rsidR="00B27742" w:rsidRPr="0055770A" w:rsidRDefault="0055770A" w:rsidP="00F17536">
            <w:pPr>
              <w:pStyle w:val="TableVerticalText"/>
              <w:spacing w:before="20" w:after="20"/>
              <w:rPr>
                <w:rFonts w:ascii="Tahoma" w:hAnsi="Tahoma" w:cs="Tahoma"/>
                <w:sz w:val="9"/>
                <w:szCs w:val="9"/>
              </w:rPr>
            </w:pPr>
            <w:r w:rsidRPr="0055770A">
              <w:rPr>
                <w:rFonts w:ascii="Tahoma" w:hAnsi="Tahoma" w:cs="Tahoma"/>
                <w:sz w:val="9"/>
                <w:szCs w:val="9"/>
              </w:rPr>
              <w:t>Notas do Produto</w:t>
            </w:r>
          </w:p>
        </w:tc>
        <w:tc>
          <w:tcPr>
            <w:tcW w:w="450" w:type="dxa"/>
            <w:vMerge w:val="restart"/>
            <w:tcBorders>
              <w:top w:val="single" w:sz="12" w:space="0" w:color="auto"/>
            </w:tcBorders>
            <w:textDirection w:val="btLr"/>
            <w:vAlign w:val="center"/>
          </w:tcPr>
          <w:p w:rsidR="00B27742" w:rsidRPr="00416070" w:rsidRDefault="00B27742" w:rsidP="00F17536">
            <w:pPr>
              <w:pStyle w:val="TableVerticalText"/>
              <w:spacing w:before="20" w:after="20"/>
              <w:rPr>
                <w:rFonts w:ascii="Tahoma" w:hAnsi="Tahoma" w:cs="Tahoma"/>
                <w:sz w:val="9"/>
              </w:rPr>
            </w:pPr>
            <w:r w:rsidRPr="00416070">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rsidR="00B27742" w:rsidRPr="00416070" w:rsidRDefault="00B27742" w:rsidP="00CE54BA">
            <w:pPr>
              <w:pStyle w:val="TableVerticalText"/>
              <w:spacing w:before="20" w:after="20"/>
              <w:rPr>
                <w:rFonts w:ascii="Tahoma" w:hAnsi="Tahoma" w:cs="Tahoma"/>
                <w:sz w:val="9"/>
              </w:rPr>
            </w:pPr>
            <w:r w:rsidRPr="00416070">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416070" w:rsidRDefault="00B27742" w:rsidP="00CE54BA">
            <w:pPr>
              <w:pStyle w:val="TableHeadingsBlack"/>
              <w:spacing w:before="20" w:after="20"/>
              <w:rPr>
                <w:rFonts w:ascii="Tahoma" w:hAnsi="Tahoma" w:cs="Tahoma"/>
                <w:sz w:val="9"/>
              </w:rPr>
            </w:pPr>
            <w:r w:rsidRPr="00416070">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416070" w:rsidRDefault="00B27742" w:rsidP="00CE54BA">
            <w:pPr>
              <w:pStyle w:val="TableHeadingsBlack"/>
              <w:spacing w:before="20" w:after="20"/>
              <w:rPr>
                <w:rFonts w:ascii="Tahoma" w:hAnsi="Tahoma" w:cs="Tahoma"/>
                <w:sz w:val="9"/>
              </w:rPr>
            </w:pPr>
            <w:r w:rsidRPr="00416070">
              <w:rPr>
                <w:rFonts w:ascii="Tahoma" w:hAnsi="Tahoma" w:cs="Tahoma"/>
                <w:sz w:val="9"/>
              </w:rPr>
              <w:t>Licença Open</w:t>
            </w:r>
          </w:p>
        </w:tc>
        <w:tc>
          <w:tcPr>
            <w:tcW w:w="540" w:type="dxa"/>
            <w:vMerge w:val="restart"/>
            <w:tcBorders>
              <w:top w:val="single" w:sz="12" w:space="0" w:color="auto"/>
              <w:left w:val="single" w:sz="18" w:space="0" w:color="auto"/>
            </w:tcBorders>
            <w:textDirection w:val="btLr"/>
            <w:vAlign w:val="center"/>
          </w:tcPr>
          <w:p w:rsidR="00B27742" w:rsidRPr="00416070" w:rsidRDefault="00B27742" w:rsidP="00CE54BA">
            <w:pPr>
              <w:pStyle w:val="TableVerticalText"/>
              <w:spacing w:before="20" w:after="20"/>
              <w:rPr>
                <w:rFonts w:ascii="Tahoma" w:hAnsi="Tahoma" w:cs="Tahoma"/>
                <w:sz w:val="9"/>
              </w:rPr>
            </w:pPr>
            <w:r w:rsidRPr="00416070">
              <w:rPr>
                <w:rFonts w:ascii="Tahoma" w:hAnsi="Tahoma" w:cs="Tahoma"/>
                <w:sz w:val="9"/>
              </w:rPr>
              <w:t>Unidades Campus e School</w:t>
            </w:r>
          </w:p>
        </w:tc>
        <w:tc>
          <w:tcPr>
            <w:tcW w:w="360" w:type="dxa"/>
            <w:vMerge w:val="restart"/>
            <w:tcBorders>
              <w:top w:val="single" w:sz="12" w:space="0" w:color="auto"/>
              <w:right w:val="single" w:sz="18" w:space="0" w:color="auto"/>
            </w:tcBorders>
            <w:textDirection w:val="btLr"/>
            <w:vAlign w:val="center"/>
          </w:tcPr>
          <w:p w:rsidR="00B27742" w:rsidRPr="00416070" w:rsidRDefault="00B27742" w:rsidP="00CE54BA">
            <w:pPr>
              <w:pStyle w:val="TableVerticalText"/>
              <w:spacing w:before="20" w:after="20"/>
              <w:rPr>
                <w:rFonts w:ascii="Tahoma" w:hAnsi="Tahoma" w:cs="Tahoma"/>
                <w:sz w:val="9"/>
              </w:rPr>
            </w:pPr>
            <w:r w:rsidRPr="00416070">
              <w:rPr>
                <w:rFonts w:ascii="Tahoma" w:hAnsi="Tahoma" w:cs="Tahoma"/>
                <w:sz w:val="9"/>
              </w:rPr>
              <w:t xml:space="preserve">EA e </w:t>
            </w:r>
            <w:r w:rsidRPr="00416070">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416070" w:rsidRDefault="00B27742" w:rsidP="00CE54BA">
            <w:pPr>
              <w:pStyle w:val="TableVerticalText"/>
              <w:spacing w:before="20" w:after="20"/>
              <w:rPr>
                <w:rFonts w:ascii="Tahoma" w:hAnsi="Tahoma" w:cs="Tahoma"/>
                <w:sz w:val="9"/>
              </w:rPr>
            </w:pPr>
            <w:r w:rsidRPr="00416070">
              <w:rPr>
                <w:rFonts w:ascii="Tahoma" w:hAnsi="Tahoma" w:cs="Tahoma"/>
                <w:sz w:val="9"/>
              </w:rPr>
              <w:t>OV / OVS</w:t>
            </w:r>
          </w:p>
        </w:tc>
        <w:tc>
          <w:tcPr>
            <w:tcW w:w="630" w:type="dxa"/>
            <w:vMerge w:val="restart"/>
            <w:tcBorders>
              <w:top w:val="single" w:sz="12" w:space="0" w:color="auto"/>
            </w:tcBorders>
            <w:textDirection w:val="btLr"/>
          </w:tcPr>
          <w:p w:rsidR="00B27742" w:rsidRPr="00416070" w:rsidRDefault="00B0036E" w:rsidP="00F17536">
            <w:pPr>
              <w:pStyle w:val="TableVerticalText"/>
              <w:spacing w:before="20" w:after="20"/>
              <w:rPr>
                <w:rFonts w:ascii="Tahoma" w:hAnsi="Tahoma" w:cs="Tahoma"/>
                <w:sz w:val="9"/>
              </w:rPr>
            </w:pPr>
            <w:r w:rsidRPr="00416070">
              <w:rPr>
                <w:rFonts w:ascii="Tahoma" w:hAnsi="Tahoma" w:cs="Tahoma"/>
                <w:sz w:val="9"/>
              </w:rPr>
              <w:t>EES / OVS</w:t>
            </w:r>
            <w:r w:rsidR="00FB5496" w:rsidRPr="00416070">
              <w:rPr>
                <w:rFonts w:ascii="Tahoma" w:hAnsi="Tahoma" w:cs="Tahoma"/>
                <w:sz w:val="9"/>
              </w:rPr>
              <w:t xml:space="preserve"> </w:t>
            </w:r>
            <w:r w:rsidRPr="00416070">
              <w:rPr>
                <w:rFonts w:ascii="Tahoma" w:hAnsi="Tahoma" w:cs="Tahoma"/>
                <w:sz w:val="9"/>
              </w:rPr>
              <w:t>ES</w:t>
            </w:r>
          </w:p>
        </w:tc>
        <w:tc>
          <w:tcPr>
            <w:tcW w:w="450" w:type="dxa"/>
            <w:vMerge w:val="restart"/>
            <w:tcBorders>
              <w:top w:val="single" w:sz="12" w:space="0" w:color="auto"/>
            </w:tcBorders>
            <w:textDirection w:val="btLr"/>
            <w:vAlign w:val="center"/>
          </w:tcPr>
          <w:p w:rsidR="00B27742" w:rsidRPr="00416070" w:rsidRDefault="00B27742" w:rsidP="00CE54BA">
            <w:pPr>
              <w:pStyle w:val="TableVerticalText"/>
              <w:spacing w:before="20" w:after="20"/>
              <w:rPr>
                <w:rFonts w:ascii="Tahoma" w:hAnsi="Tahoma" w:cs="Tahoma"/>
                <w:sz w:val="9"/>
              </w:rPr>
            </w:pPr>
            <w:r w:rsidRPr="00416070">
              <w:rPr>
                <w:rFonts w:ascii="Tahoma" w:hAnsi="Tahoma" w:cs="Tahoma"/>
                <w:sz w:val="9"/>
              </w:rPr>
              <w:t>Mínimo de Licenças Open</w:t>
            </w:r>
          </w:p>
        </w:tc>
      </w:tr>
      <w:tr w:rsidR="00CE5AB1" w:rsidRPr="00416070" w:rsidTr="00CE54BA">
        <w:trPr>
          <w:cantSplit/>
          <w:trHeight w:val="262"/>
          <w:tblHeader/>
        </w:trPr>
        <w:tc>
          <w:tcPr>
            <w:tcW w:w="2610" w:type="dxa"/>
            <w:vMerge/>
            <w:tcBorders>
              <w:left w:val="single" w:sz="4" w:space="0" w:color="FFFFFF"/>
            </w:tcBorders>
          </w:tcPr>
          <w:p w:rsidR="00B27742" w:rsidRPr="00416070" w:rsidRDefault="00B27742" w:rsidP="00CE54BA">
            <w:pPr>
              <w:spacing w:before="20" w:after="20"/>
              <w:rPr>
                <w:rFonts w:cs="Tahoma"/>
                <w:sz w:val="20"/>
              </w:rPr>
            </w:pPr>
          </w:p>
        </w:tc>
        <w:tc>
          <w:tcPr>
            <w:tcW w:w="360" w:type="dxa"/>
            <w:vMerge/>
          </w:tcPr>
          <w:p w:rsidR="00B27742" w:rsidRPr="00416070" w:rsidRDefault="00B27742" w:rsidP="00CE54BA">
            <w:pPr>
              <w:spacing w:before="20" w:after="20"/>
              <w:rPr>
                <w:rFonts w:cs="Tahoma"/>
                <w:b/>
                <w:sz w:val="20"/>
              </w:rPr>
            </w:pPr>
          </w:p>
        </w:tc>
        <w:tc>
          <w:tcPr>
            <w:tcW w:w="450" w:type="dxa"/>
            <w:vMerge/>
          </w:tcPr>
          <w:p w:rsidR="00B27742" w:rsidRPr="00416070" w:rsidRDefault="00B27742" w:rsidP="00CE54BA">
            <w:pPr>
              <w:spacing w:before="20" w:after="20"/>
              <w:rPr>
                <w:rFonts w:cs="Tahoma"/>
                <w:sz w:val="20"/>
              </w:rPr>
            </w:pPr>
          </w:p>
        </w:tc>
        <w:tc>
          <w:tcPr>
            <w:tcW w:w="360" w:type="dxa"/>
            <w:vMerge/>
            <w:tcBorders>
              <w:right w:val="single" w:sz="18" w:space="0" w:color="auto"/>
            </w:tcBorders>
          </w:tcPr>
          <w:p w:rsidR="00B27742" w:rsidRPr="00416070" w:rsidRDefault="00B27742" w:rsidP="00CE54BA">
            <w:pPr>
              <w:spacing w:before="20" w:after="20"/>
              <w:rPr>
                <w:rFonts w:cs="Tahoma"/>
                <w:sz w:val="20"/>
              </w:rPr>
            </w:pPr>
          </w:p>
        </w:tc>
        <w:tc>
          <w:tcPr>
            <w:tcW w:w="450" w:type="dxa"/>
            <w:vMerge w:val="restart"/>
            <w:tcBorders>
              <w:left w:val="single" w:sz="18" w:space="0" w:color="auto"/>
            </w:tcBorders>
            <w:vAlign w:val="center"/>
          </w:tcPr>
          <w:p w:rsidR="00B27742" w:rsidRPr="00416070" w:rsidRDefault="00B27742" w:rsidP="00CE54BA">
            <w:pPr>
              <w:pStyle w:val="TableHeadingsRed"/>
              <w:spacing w:before="20" w:after="20"/>
              <w:rPr>
                <w:rFonts w:ascii="Tahoma" w:hAnsi="Tahoma" w:cs="Tahoma"/>
                <w:sz w:val="9"/>
              </w:rPr>
            </w:pPr>
            <w:r w:rsidRPr="00416070">
              <w:rPr>
                <w:rFonts w:ascii="Tahoma" w:hAnsi="Tahoma" w:cs="Tahoma"/>
                <w:sz w:val="9"/>
              </w:rPr>
              <w:t>L</w:t>
            </w:r>
          </w:p>
        </w:tc>
        <w:tc>
          <w:tcPr>
            <w:tcW w:w="1350" w:type="dxa"/>
            <w:gridSpan w:val="3"/>
            <w:vAlign w:val="center"/>
          </w:tcPr>
          <w:p w:rsidR="00B27742" w:rsidRPr="00416070" w:rsidRDefault="00B27742" w:rsidP="00CE54BA">
            <w:pPr>
              <w:pStyle w:val="TableHeadingsGreen"/>
              <w:spacing w:before="20" w:after="20"/>
              <w:rPr>
                <w:rFonts w:ascii="Tahoma" w:hAnsi="Tahoma" w:cs="Tahoma"/>
                <w:sz w:val="9"/>
              </w:rPr>
            </w:pPr>
            <w:r w:rsidRPr="00416070">
              <w:rPr>
                <w:rFonts w:ascii="Tahoma" w:hAnsi="Tahoma" w:cs="Tahoma"/>
                <w:sz w:val="9"/>
              </w:rPr>
              <w:t>L&amp;SA</w:t>
            </w:r>
          </w:p>
        </w:tc>
        <w:tc>
          <w:tcPr>
            <w:tcW w:w="1260" w:type="dxa"/>
            <w:gridSpan w:val="3"/>
            <w:tcBorders>
              <w:right w:val="single" w:sz="18" w:space="0" w:color="auto"/>
            </w:tcBorders>
            <w:vAlign w:val="center"/>
          </w:tcPr>
          <w:p w:rsidR="00B27742" w:rsidRPr="00416070" w:rsidRDefault="00B27742" w:rsidP="00CE54BA">
            <w:pPr>
              <w:pStyle w:val="TableHeadingsBlue"/>
              <w:spacing w:before="20" w:after="20"/>
              <w:rPr>
                <w:rFonts w:ascii="Tahoma" w:hAnsi="Tahoma" w:cs="Tahoma"/>
                <w:sz w:val="9"/>
              </w:rPr>
            </w:pPr>
            <w:r w:rsidRPr="00416070">
              <w:rPr>
                <w:rFonts w:ascii="Tahoma" w:hAnsi="Tahoma" w:cs="Tahoma"/>
                <w:sz w:val="9"/>
              </w:rPr>
              <w:t>SA</w:t>
            </w:r>
          </w:p>
        </w:tc>
        <w:tc>
          <w:tcPr>
            <w:tcW w:w="450" w:type="dxa"/>
            <w:vMerge w:val="restart"/>
            <w:tcBorders>
              <w:left w:val="single" w:sz="18" w:space="0" w:color="auto"/>
            </w:tcBorders>
            <w:vAlign w:val="center"/>
          </w:tcPr>
          <w:p w:rsidR="00B27742" w:rsidRPr="00416070" w:rsidRDefault="00B27742" w:rsidP="00CE54BA">
            <w:pPr>
              <w:pStyle w:val="TableHeadingsRed"/>
              <w:spacing w:before="20" w:after="20"/>
              <w:rPr>
                <w:rFonts w:ascii="Tahoma" w:hAnsi="Tahoma" w:cs="Tahoma"/>
                <w:sz w:val="9"/>
              </w:rPr>
            </w:pPr>
            <w:r w:rsidRPr="00416070">
              <w:rPr>
                <w:rFonts w:ascii="Tahoma" w:hAnsi="Tahoma" w:cs="Tahoma"/>
                <w:sz w:val="9"/>
              </w:rPr>
              <w:t>L</w:t>
            </w:r>
          </w:p>
        </w:tc>
        <w:tc>
          <w:tcPr>
            <w:tcW w:w="450" w:type="dxa"/>
            <w:vAlign w:val="center"/>
          </w:tcPr>
          <w:p w:rsidR="00B27742" w:rsidRPr="00416070" w:rsidRDefault="00B27742" w:rsidP="00CE54BA">
            <w:pPr>
              <w:pStyle w:val="TableHeadingsGreen"/>
              <w:spacing w:before="20" w:after="20"/>
              <w:rPr>
                <w:rFonts w:ascii="Tahoma" w:hAnsi="Tahoma" w:cs="Tahoma"/>
                <w:sz w:val="9"/>
              </w:rPr>
            </w:pPr>
            <w:r w:rsidRPr="00416070">
              <w:rPr>
                <w:rFonts w:ascii="Tahoma" w:hAnsi="Tahoma" w:cs="Tahoma"/>
                <w:sz w:val="9"/>
              </w:rPr>
              <w:t>L&amp;SA</w:t>
            </w:r>
          </w:p>
        </w:tc>
        <w:tc>
          <w:tcPr>
            <w:tcW w:w="450" w:type="dxa"/>
            <w:vMerge w:val="restart"/>
            <w:tcBorders>
              <w:right w:val="single" w:sz="18" w:space="0" w:color="auto"/>
            </w:tcBorders>
            <w:vAlign w:val="center"/>
          </w:tcPr>
          <w:p w:rsidR="00B27742" w:rsidRPr="00416070" w:rsidRDefault="00B27742" w:rsidP="00CE54BA">
            <w:pPr>
              <w:pStyle w:val="TableHeadingsBlue"/>
              <w:spacing w:before="20" w:after="20"/>
              <w:rPr>
                <w:rFonts w:ascii="Tahoma" w:hAnsi="Tahoma" w:cs="Tahoma"/>
                <w:sz w:val="9"/>
              </w:rPr>
            </w:pPr>
            <w:r w:rsidRPr="00416070">
              <w:rPr>
                <w:rFonts w:ascii="Tahoma" w:hAnsi="Tahoma" w:cs="Tahoma"/>
                <w:sz w:val="9"/>
              </w:rPr>
              <w:t>SA</w:t>
            </w:r>
          </w:p>
        </w:tc>
        <w:tc>
          <w:tcPr>
            <w:tcW w:w="540" w:type="dxa"/>
            <w:vMerge/>
            <w:tcBorders>
              <w:left w:val="single" w:sz="18" w:space="0" w:color="auto"/>
            </w:tcBorders>
          </w:tcPr>
          <w:p w:rsidR="00B27742" w:rsidRPr="00416070" w:rsidRDefault="00B27742" w:rsidP="00CE54BA">
            <w:pPr>
              <w:spacing w:before="20" w:after="20"/>
              <w:rPr>
                <w:rFonts w:cs="Tahoma"/>
                <w:sz w:val="20"/>
              </w:rPr>
            </w:pPr>
          </w:p>
        </w:tc>
        <w:tc>
          <w:tcPr>
            <w:tcW w:w="360" w:type="dxa"/>
            <w:vMerge/>
            <w:tcBorders>
              <w:right w:val="single" w:sz="18" w:space="0" w:color="auto"/>
            </w:tcBorders>
          </w:tcPr>
          <w:p w:rsidR="00B27742" w:rsidRPr="00416070" w:rsidRDefault="00B27742" w:rsidP="00CE54BA">
            <w:pPr>
              <w:spacing w:before="20" w:after="20"/>
              <w:rPr>
                <w:rFonts w:cs="Tahoma"/>
                <w:sz w:val="20"/>
              </w:rPr>
            </w:pPr>
          </w:p>
        </w:tc>
        <w:tc>
          <w:tcPr>
            <w:tcW w:w="450" w:type="dxa"/>
            <w:vMerge/>
            <w:tcBorders>
              <w:left w:val="single" w:sz="18" w:space="0" w:color="auto"/>
              <w:right w:val="single" w:sz="18" w:space="0" w:color="auto"/>
            </w:tcBorders>
          </w:tcPr>
          <w:p w:rsidR="00B27742" w:rsidRPr="00416070" w:rsidRDefault="00B27742" w:rsidP="00CE54BA">
            <w:pPr>
              <w:spacing w:before="20" w:after="20"/>
              <w:rPr>
                <w:rFonts w:cs="Tahoma"/>
                <w:sz w:val="20"/>
              </w:rPr>
            </w:pPr>
          </w:p>
        </w:tc>
        <w:tc>
          <w:tcPr>
            <w:tcW w:w="630" w:type="dxa"/>
            <w:vMerge/>
          </w:tcPr>
          <w:p w:rsidR="00B27742" w:rsidRPr="00416070" w:rsidRDefault="00B27742" w:rsidP="00CE54BA">
            <w:pPr>
              <w:spacing w:before="20" w:after="20"/>
              <w:rPr>
                <w:rFonts w:cs="Tahoma"/>
                <w:sz w:val="20"/>
              </w:rPr>
            </w:pPr>
          </w:p>
        </w:tc>
        <w:tc>
          <w:tcPr>
            <w:tcW w:w="450" w:type="dxa"/>
            <w:vMerge/>
          </w:tcPr>
          <w:p w:rsidR="00B27742" w:rsidRPr="00416070" w:rsidRDefault="00B27742" w:rsidP="00CE54BA">
            <w:pPr>
              <w:spacing w:before="20" w:after="20"/>
              <w:rPr>
                <w:rFonts w:cs="Tahoma"/>
                <w:sz w:val="20"/>
              </w:rPr>
            </w:pPr>
          </w:p>
        </w:tc>
      </w:tr>
      <w:tr w:rsidR="00AF4B30" w:rsidRPr="00416070" w:rsidTr="00F17536">
        <w:trPr>
          <w:cantSplit/>
          <w:trHeight w:val="728"/>
          <w:tblHeader/>
        </w:trPr>
        <w:tc>
          <w:tcPr>
            <w:tcW w:w="2610" w:type="dxa"/>
            <w:vMerge/>
            <w:tcBorders>
              <w:left w:val="single" w:sz="4" w:space="0" w:color="FFFFFF"/>
              <w:bottom w:val="single" w:sz="4" w:space="0" w:color="auto"/>
            </w:tcBorders>
          </w:tcPr>
          <w:p w:rsidR="00B27742" w:rsidRPr="00416070" w:rsidRDefault="00B27742" w:rsidP="00CE54BA">
            <w:pPr>
              <w:spacing w:before="20" w:after="20"/>
              <w:rPr>
                <w:rFonts w:cs="Tahoma"/>
                <w:sz w:val="20"/>
              </w:rPr>
            </w:pPr>
          </w:p>
        </w:tc>
        <w:tc>
          <w:tcPr>
            <w:tcW w:w="360" w:type="dxa"/>
            <w:vMerge/>
            <w:tcBorders>
              <w:bottom w:val="single" w:sz="4" w:space="0" w:color="auto"/>
            </w:tcBorders>
          </w:tcPr>
          <w:p w:rsidR="00B27742" w:rsidRPr="00416070" w:rsidRDefault="00B27742" w:rsidP="00CE54BA">
            <w:pPr>
              <w:spacing w:before="20" w:after="20"/>
              <w:rPr>
                <w:rFonts w:cs="Tahoma"/>
                <w:b/>
                <w:sz w:val="20"/>
              </w:rPr>
            </w:pPr>
          </w:p>
        </w:tc>
        <w:tc>
          <w:tcPr>
            <w:tcW w:w="450" w:type="dxa"/>
            <w:vMerge/>
            <w:tcBorders>
              <w:bottom w:val="single" w:sz="4" w:space="0" w:color="auto"/>
            </w:tcBorders>
          </w:tcPr>
          <w:p w:rsidR="00B27742" w:rsidRPr="00416070" w:rsidRDefault="00B27742" w:rsidP="00CE54BA">
            <w:pPr>
              <w:spacing w:before="20" w:after="20"/>
              <w:rPr>
                <w:rFonts w:cs="Tahoma"/>
                <w:sz w:val="20"/>
              </w:rPr>
            </w:pPr>
          </w:p>
        </w:tc>
        <w:tc>
          <w:tcPr>
            <w:tcW w:w="360" w:type="dxa"/>
            <w:vMerge/>
            <w:tcBorders>
              <w:bottom w:val="single" w:sz="4" w:space="0" w:color="auto"/>
              <w:right w:val="single" w:sz="18" w:space="0" w:color="auto"/>
            </w:tcBorders>
          </w:tcPr>
          <w:p w:rsidR="00B27742" w:rsidRPr="00416070" w:rsidRDefault="00B27742" w:rsidP="00CE54BA">
            <w:pPr>
              <w:spacing w:before="20" w:after="20"/>
              <w:rPr>
                <w:rFonts w:cs="Tahoma"/>
                <w:sz w:val="20"/>
              </w:rPr>
            </w:pPr>
          </w:p>
        </w:tc>
        <w:tc>
          <w:tcPr>
            <w:tcW w:w="450" w:type="dxa"/>
            <w:vMerge/>
            <w:tcBorders>
              <w:left w:val="single" w:sz="18" w:space="0" w:color="auto"/>
              <w:bottom w:val="single" w:sz="4" w:space="0" w:color="auto"/>
            </w:tcBorders>
            <w:vAlign w:val="center"/>
          </w:tcPr>
          <w:p w:rsidR="00B27742" w:rsidRPr="00416070" w:rsidRDefault="00B27742" w:rsidP="00CE54BA">
            <w:pPr>
              <w:spacing w:before="20" w:after="20"/>
              <w:jc w:val="center"/>
              <w:rPr>
                <w:rFonts w:cs="Tahoma"/>
                <w:sz w:val="20"/>
              </w:rPr>
            </w:pPr>
          </w:p>
        </w:tc>
        <w:tc>
          <w:tcPr>
            <w:tcW w:w="450" w:type="dxa"/>
            <w:tcBorders>
              <w:bottom w:val="single" w:sz="4" w:space="0" w:color="auto"/>
            </w:tcBorders>
            <w:vAlign w:val="center"/>
          </w:tcPr>
          <w:p w:rsidR="00B27742" w:rsidRPr="00416070" w:rsidRDefault="00B27742" w:rsidP="00CE54BA">
            <w:pPr>
              <w:pStyle w:val="TableHeadingsGreen"/>
              <w:spacing w:before="20" w:after="20"/>
              <w:rPr>
                <w:rFonts w:ascii="Tahoma" w:hAnsi="Tahoma" w:cs="Tahoma"/>
                <w:sz w:val="9"/>
              </w:rPr>
            </w:pPr>
            <w:r w:rsidRPr="00416070">
              <w:rPr>
                <w:rFonts w:ascii="Tahoma" w:hAnsi="Tahoma" w:cs="Tahoma"/>
                <w:sz w:val="9"/>
              </w:rPr>
              <w:t>3An</w:t>
            </w:r>
          </w:p>
        </w:tc>
        <w:tc>
          <w:tcPr>
            <w:tcW w:w="450" w:type="dxa"/>
            <w:tcBorders>
              <w:bottom w:val="single" w:sz="4" w:space="0" w:color="auto"/>
            </w:tcBorders>
            <w:vAlign w:val="center"/>
          </w:tcPr>
          <w:p w:rsidR="00B27742" w:rsidRPr="00416070" w:rsidRDefault="00B27742" w:rsidP="00CE54BA">
            <w:pPr>
              <w:pStyle w:val="TableHeadingsGreen"/>
              <w:spacing w:before="20" w:after="20"/>
              <w:rPr>
                <w:rFonts w:ascii="Tahoma" w:hAnsi="Tahoma" w:cs="Tahoma"/>
                <w:sz w:val="9"/>
              </w:rPr>
            </w:pPr>
            <w:r w:rsidRPr="00416070">
              <w:rPr>
                <w:rFonts w:ascii="Tahoma" w:hAnsi="Tahoma" w:cs="Tahoma"/>
                <w:sz w:val="9"/>
              </w:rPr>
              <w:t>2An</w:t>
            </w:r>
          </w:p>
        </w:tc>
        <w:tc>
          <w:tcPr>
            <w:tcW w:w="450" w:type="dxa"/>
            <w:tcBorders>
              <w:bottom w:val="single" w:sz="4" w:space="0" w:color="auto"/>
            </w:tcBorders>
            <w:vAlign w:val="center"/>
          </w:tcPr>
          <w:p w:rsidR="00B27742" w:rsidRPr="00416070" w:rsidRDefault="00B27742" w:rsidP="00CE54BA">
            <w:pPr>
              <w:pStyle w:val="TableHeadingsGreen"/>
              <w:spacing w:before="20" w:after="20"/>
              <w:rPr>
                <w:rFonts w:ascii="Tahoma" w:hAnsi="Tahoma" w:cs="Tahoma"/>
                <w:sz w:val="9"/>
              </w:rPr>
            </w:pPr>
            <w:r w:rsidRPr="00416070">
              <w:rPr>
                <w:rFonts w:ascii="Tahoma" w:hAnsi="Tahoma" w:cs="Tahoma"/>
                <w:sz w:val="9"/>
              </w:rPr>
              <w:t>1An</w:t>
            </w:r>
          </w:p>
        </w:tc>
        <w:tc>
          <w:tcPr>
            <w:tcW w:w="450" w:type="dxa"/>
            <w:tcBorders>
              <w:bottom w:val="single" w:sz="4" w:space="0" w:color="auto"/>
            </w:tcBorders>
            <w:vAlign w:val="center"/>
          </w:tcPr>
          <w:p w:rsidR="00B27742" w:rsidRPr="00416070" w:rsidRDefault="00B27742" w:rsidP="00CE54BA">
            <w:pPr>
              <w:pStyle w:val="TableHeadingsBlue"/>
              <w:spacing w:before="20" w:after="20"/>
              <w:rPr>
                <w:rFonts w:ascii="Tahoma" w:hAnsi="Tahoma" w:cs="Tahoma"/>
                <w:sz w:val="9"/>
              </w:rPr>
            </w:pPr>
            <w:r w:rsidRPr="00416070">
              <w:rPr>
                <w:rFonts w:ascii="Tahoma" w:hAnsi="Tahoma" w:cs="Tahoma"/>
                <w:sz w:val="9"/>
              </w:rPr>
              <w:t>3An</w:t>
            </w:r>
          </w:p>
        </w:tc>
        <w:tc>
          <w:tcPr>
            <w:tcW w:w="450" w:type="dxa"/>
            <w:tcBorders>
              <w:bottom w:val="single" w:sz="4" w:space="0" w:color="auto"/>
            </w:tcBorders>
            <w:vAlign w:val="center"/>
          </w:tcPr>
          <w:p w:rsidR="00B27742" w:rsidRPr="00416070" w:rsidRDefault="00B27742" w:rsidP="00CE54BA">
            <w:pPr>
              <w:pStyle w:val="TableHeadingsBlue"/>
              <w:spacing w:before="20" w:after="20"/>
              <w:rPr>
                <w:rFonts w:ascii="Tahoma" w:hAnsi="Tahoma" w:cs="Tahoma"/>
                <w:sz w:val="9"/>
              </w:rPr>
            </w:pPr>
            <w:r w:rsidRPr="00416070">
              <w:rPr>
                <w:rFonts w:ascii="Tahoma" w:hAnsi="Tahoma" w:cs="Tahoma"/>
                <w:sz w:val="9"/>
              </w:rPr>
              <w:t>2An</w:t>
            </w:r>
          </w:p>
        </w:tc>
        <w:tc>
          <w:tcPr>
            <w:tcW w:w="360" w:type="dxa"/>
            <w:tcBorders>
              <w:bottom w:val="single" w:sz="4" w:space="0" w:color="auto"/>
              <w:right w:val="single" w:sz="18" w:space="0" w:color="auto"/>
            </w:tcBorders>
            <w:vAlign w:val="center"/>
          </w:tcPr>
          <w:p w:rsidR="00B27742" w:rsidRPr="00416070" w:rsidRDefault="00B27742" w:rsidP="00CE54BA">
            <w:pPr>
              <w:pStyle w:val="TableHeadingsBlue"/>
              <w:spacing w:before="20" w:after="20"/>
              <w:rPr>
                <w:rFonts w:ascii="Tahoma" w:hAnsi="Tahoma" w:cs="Tahoma"/>
                <w:sz w:val="9"/>
              </w:rPr>
            </w:pPr>
            <w:r w:rsidRPr="00416070">
              <w:rPr>
                <w:rFonts w:ascii="Tahoma" w:hAnsi="Tahoma" w:cs="Tahoma"/>
                <w:sz w:val="9"/>
              </w:rPr>
              <w:t>1An</w:t>
            </w:r>
          </w:p>
        </w:tc>
        <w:tc>
          <w:tcPr>
            <w:tcW w:w="450" w:type="dxa"/>
            <w:vMerge/>
            <w:tcBorders>
              <w:left w:val="single" w:sz="18" w:space="0" w:color="auto"/>
              <w:bottom w:val="single" w:sz="4" w:space="0" w:color="auto"/>
            </w:tcBorders>
            <w:vAlign w:val="center"/>
          </w:tcPr>
          <w:p w:rsidR="00B27742" w:rsidRPr="00416070" w:rsidRDefault="00B27742" w:rsidP="00CE54BA">
            <w:pPr>
              <w:spacing w:before="20" w:after="20"/>
              <w:jc w:val="center"/>
              <w:rPr>
                <w:rFonts w:cs="Tahoma"/>
                <w:sz w:val="20"/>
              </w:rPr>
            </w:pPr>
          </w:p>
        </w:tc>
        <w:tc>
          <w:tcPr>
            <w:tcW w:w="450" w:type="dxa"/>
            <w:tcBorders>
              <w:bottom w:val="single" w:sz="4" w:space="0" w:color="auto"/>
            </w:tcBorders>
            <w:vAlign w:val="center"/>
          </w:tcPr>
          <w:p w:rsidR="00B27742" w:rsidRPr="00416070" w:rsidRDefault="00B27742" w:rsidP="00CE54BA">
            <w:pPr>
              <w:pStyle w:val="TableHeadingsGreen"/>
              <w:spacing w:before="20" w:after="20"/>
              <w:rPr>
                <w:rFonts w:ascii="Tahoma" w:hAnsi="Tahoma" w:cs="Tahoma"/>
                <w:sz w:val="9"/>
              </w:rPr>
            </w:pPr>
            <w:r w:rsidRPr="00416070">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416070" w:rsidRDefault="00B27742" w:rsidP="00CE54BA">
            <w:pPr>
              <w:spacing w:before="20" w:after="20"/>
              <w:jc w:val="center"/>
              <w:rPr>
                <w:rFonts w:cs="Tahoma"/>
                <w:sz w:val="20"/>
              </w:rPr>
            </w:pPr>
          </w:p>
        </w:tc>
        <w:tc>
          <w:tcPr>
            <w:tcW w:w="540" w:type="dxa"/>
            <w:vMerge/>
            <w:tcBorders>
              <w:left w:val="single" w:sz="18" w:space="0" w:color="auto"/>
              <w:bottom w:val="single" w:sz="4" w:space="0" w:color="auto"/>
            </w:tcBorders>
          </w:tcPr>
          <w:p w:rsidR="00B27742" w:rsidRPr="00416070" w:rsidRDefault="00B27742" w:rsidP="00CE54BA">
            <w:pPr>
              <w:spacing w:before="20" w:after="20"/>
              <w:rPr>
                <w:rFonts w:cs="Tahoma"/>
                <w:sz w:val="20"/>
              </w:rPr>
            </w:pPr>
          </w:p>
        </w:tc>
        <w:tc>
          <w:tcPr>
            <w:tcW w:w="360" w:type="dxa"/>
            <w:vMerge/>
            <w:tcBorders>
              <w:bottom w:val="single" w:sz="4" w:space="0" w:color="auto"/>
              <w:right w:val="single" w:sz="18" w:space="0" w:color="auto"/>
            </w:tcBorders>
          </w:tcPr>
          <w:p w:rsidR="00B27742" w:rsidRPr="00416070" w:rsidRDefault="00B27742" w:rsidP="00CE54BA">
            <w:pPr>
              <w:spacing w:before="20" w:after="20"/>
              <w:rPr>
                <w:rFonts w:cs="Tahoma"/>
                <w:sz w:val="20"/>
              </w:rPr>
            </w:pPr>
          </w:p>
        </w:tc>
        <w:tc>
          <w:tcPr>
            <w:tcW w:w="450" w:type="dxa"/>
            <w:vMerge/>
            <w:tcBorders>
              <w:left w:val="single" w:sz="18" w:space="0" w:color="auto"/>
              <w:bottom w:val="single" w:sz="4" w:space="0" w:color="auto"/>
              <w:right w:val="single" w:sz="18" w:space="0" w:color="auto"/>
            </w:tcBorders>
          </w:tcPr>
          <w:p w:rsidR="00B27742" w:rsidRPr="00416070" w:rsidRDefault="00B27742" w:rsidP="00CE54BA">
            <w:pPr>
              <w:spacing w:before="20" w:after="20"/>
              <w:rPr>
                <w:rFonts w:cs="Tahoma"/>
                <w:sz w:val="20"/>
              </w:rPr>
            </w:pPr>
          </w:p>
        </w:tc>
        <w:tc>
          <w:tcPr>
            <w:tcW w:w="630" w:type="dxa"/>
            <w:vMerge/>
            <w:tcBorders>
              <w:bottom w:val="single" w:sz="4" w:space="0" w:color="auto"/>
            </w:tcBorders>
          </w:tcPr>
          <w:p w:rsidR="00B27742" w:rsidRPr="00416070" w:rsidRDefault="00B27742" w:rsidP="00CE54BA">
            <w:pPr>
              <w:spacing w:before="20" w:after="20"/>
              <w:rPr>
                <w:rFonts w:cs="Tahoma"/>
                <w:sz w:val="20"/>
              </w:rPr>
            </w:pPr>
          </w:p>
        </w:tc>
        <w:tc>
          <w:tcPr>
            <w:tcW w:w="450" w:type="dxa"/>
            <w:vMerge/>
            <w:tcBorders>
              <w:bottom w:val="single" w:sz="4" w:space="0" w:color="auto"/>
            </w:tcBorders>
          </w:tcPr>
          <w:p w:rsidR="00B27742" w:rsidRPr="00416070" w:rsidRDefault="00B27742" w:rsidP="00CE54BA">
            <w:pPr>
              <w:spacing w:before="20" w:after="20"/>
              <w:rPr>
                <w:rFonts w:cs="Tahoma"/>
                <w:sz w:val="20"/>
              </w:rPr>
            </w:pPr>
          </w:p>
        </w:tc>
      </w:tr>
      <w:tr w:rsidR="001A63C6" w:rsidRPr="00416070" w:rsidTr="005C0614">
        <w:trPr>
          <w:trHeight w:val="145"/>
        </w:trPr>
        <w:tc>
          <w:tcPr>
            <w:tcW w:w="2610" w:type="dxa"/>
            <w:tcBorders>
              <w:bottom w:val="single" w:sz="4" w:space="0" w:color="auto"/>
            </w:tcBorders>
            <w:shd w:val="clear" w:color="auto" w:fill="FABF8F"/>
            <w:vAlign w:val="center"/>
          </w:tcPr>
          <w:p w:rsidR="001A63C6" w:rsidRPr="00416070" w:rsidRDefault="001A63C6" w:rsidP="005C0614">
            <w:pPr>
              <w:pStyle w:val="ProductNames"/>
              <w:rPr>
                <w:rFonts w:ascii="Tahoma" w:hAnsi="Tahoma" w:cs="Tahoma"/>
                <w:sz w:val="14"/>
              </w:rPr>
            </w:pPr>
            <w:bookmarkStart w:id="126" w:name="_Toc352233976"/>
            <w:r w:rsidRPr="00416070">
              <w:rPr>
                <w:rFonts w:ascii="Tahoma" w:hAnsi="Tahoma" w:cs="Tahoma"/>
                <w:sz w:val="14"/>
              </w:rPr>
              <w:t>Microsoft Desktop Optimization Pack para Software Assurance</w:t>
            </w:r>
            <w:bookmarkEnd w:id="126"/>
          </w:p>
        </w:tc>
        <w:tc>
          <w:tcPr>
            <w:tcW w:w="360" w:type="dxa"/>
            <w:tcBorders>
              <w:bottom w:val="single" w:sz="4" w:space="0" w:color="auto"/>
            </w:tcBorders>
            <w:shd w:val="clear" w:color="auto" w:fill="FABF8F"/>
            <w:vAlign w:val="center"/>
          </w:tcPr>
          <w:p w:rsidR="001A63C6" w:rsidRPr="00416070" w:rsidRDefault="008719E7" w:rsidP="00CE54BA">
            <w:pPr>
              <w:pStyle w:val="TableText"/>
              <w:widowControl w:val="0"/>
              <w:spacing w:before="20" w:after="20"/>
              <w:rPr>
                <w:b/>
                <w:color w:val="0000FF"/>
                <w:sz w:val="13"/>
                <w:szCs w:val="13"/>
                <w:u w:val="single"/>
              </w:rPr>
            </w:pPr>
            <w:hyperlink w:anchor="_23_Microsoft_Desktop" w:history="1">
              <w:r w:rsidR="005B0EC7" w:rsidRPr="00416070">
                <w:rPr>
                  <w:rStyle w:val="Hyperlink"/>
                  <w:b/>
                  <w:sz w:val="13"/>
                  <w:szCs w:val="13"/>
                </w:rPr>
                <w:t>23</w:t>
              </w:r>
            </w:hyperlink>
          </w:p>
        </w:tc>
        <w:tc>
          <w:tcPr>
            <w:tcW w:w="450" w:type="dxa"/>
            <w:tcBorders>
              <w:bottom w:val="single" w:sz="4" w:space="0" w:color="auto"/>
            </w:tcBorders>
            <w:shd w:val="clear" w:color="auto" w:fill="FABF8F"/>
            <w:vAlign w:val="center"/>
          </w:tcPr>
          <w:p w:rsidR="001A63C6" w:rsidRPr="00416070" w:rsidRDefault="004D199A" w:rsidP="00CE54BA">
            <w:pPr>
              <w:pStyle w:val="TableText"/>
              <w:spacing w:before="20" w:after="20"/>
              <w:rPr>
                <w:rFonts w:ascii="Tahoma" w:hAnsi="Tahoma" w:cs="Tahoma"/>
                <w:sz w:val="13"/>
              </w:rPr>
            </w:pPr>
            <w:r w:rsidRPr="00416070">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4D199A"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1A63C6" w:rsidRPr="00416070" w:rsidRDefault="004D199A" w:rsidP="00CE54BA">
            <w:pPr>
              <w:pStyle w:val="TableText"/>
              <w:spacing w:before="20" w:after="20"/>
              <w:rPr>
                <w:rFonts w:ascii="Tahoma" w:hAnsi="Tahoma" w:cs="Tahoma"/>
                <w:sz w:val="13"/>
              </w:rPr>
            </w:pPr>
            <w:r w:rsidRPr="00416070">
              <w:rPr>
                <w:rFonts w:ascii="Tahoma" w:hAnsi="Tahoma" w:cs="Tahoma"/>
                <w:sz w:val="13"/>
              </w:rPr>
              <w:t>1,E</w:t>
            </w:r>
          </w:p>
        </w:tc>
        <w:tc>
          <w:tcPr>
            <w:tcW w:w="360" w:type="dxa"/>
            <w:tcBorders>
              <w:bottom w:val="single" w:sz="4" w:space="0" w:color="auto"/>
              <w:right w:val="single" w:sz="18" w:space="0" w:color="auto"/>
            </w:tcBorders>
            <w:shd w:val="clear" w:color="auto" w:fill="FABF8F"/>
            <w:vAlign w:val="center"/>
          </w:tcPr>
          <w:p w:rsidR="001A63C6" w:rsidRPr="00416070" w:rsidRDefault="004D199A" w:rsidP="00CE54BA">
            <w:pPr>
              <w:pStyle w:val="TableText"/>
              <w:spacing w:before="20" w:after="20"/>
              <w:rPr>
                <w:rFonts w:ascii="Tahoma" w:hAnsi="Tahoma" w:cs="Tahoma"/>
                <w:sz w:val="13"/>
              </w:rPr>
            </w:pPr>
            <w:r w:rsidRPr="00416070">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4D199A" w:rsidP="00CE54BA">
            <w:pPr>
              <w:pStyle w:val="TableText"/>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4D199A" w:rsidP="00CE54BA">
            <w:pPr>
              <w:pStyle w:val="TableText"/>
              <w:spacing w:before="20" w:after="20"/>
              <w:rPr>
                <w:rFonts w:ascii="Tahoma" w:hAnsi="Tahoma" w:cs="Tahoma"/>
                <w:sz w:val="13"/>
              </w:rPr>
            </w:pPr>
            <w:r w:rsidRPr="00416070">
              <w:rPr>
                <w:rFonts w:ascii="Tahoma" w:hAnsi="Tahoma" w:cs="Tahoma"/>
                <w:sz w:val="13"/>
              </w:rPr>
              <w:t>ST,A</w:t>
            </w:r>
          </w:p>
        </w:tc>
        <w:tc>
          <w:tcPr>
            <w:tcW w:w="450" w:type="dxa"/>
            <w:tcBorders>
              <w:bottom w:val="single" w:sz="4"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rPr>
            </w:pPr>
          </w:p>
        </w:tc>
      </w:tr>
      <w:tr w:rsidR="002854D4" w:rsidRPr="00416070" w:rsidTr="005C0614">
        <w:trPr>
          <w:trHeight w:val="145"/>
        </w:trPr>
        <w:tc>
          <w:tcPr>
            <w:tcW w:w="2610" w:type="dxa"/>
            <w:tcBorders>
              <w:bottom w:val="single" w:sz="4" w:space="0" w:color="auto"/>
            </w:tcBorders>
            <w:shd w:val="clear" w:color="auto" w:fill="auto"/>
            <w:vAlign w:val="center"/>
          </w:tcPr>
          <w:p w:rsidR="002854D4" w:rsidRPr="002E114F" w:rsidRDefault="002854D4" w:rsidP="005C0614">
            <w:pPr>
              <w:pStyle w:val="ProductNames"/>
              <w:rPr>
                <w:rFonts w:ascii="Tahoma" w:hAnsi="Tahoma" w:cs="Tahoma"/>
                <w:sz w:val="14"/>
                <w:lang w:val="pt-BR"/>
              </w:rPr>
            </w:pPr>
            <w:bookmarkStart w:id="127" w:name="_Toc336337897"/>
            <w:bookmarkStart w:id="128" w:name="_Toc352233977"/>
            <w:r w:rsidRPr="002E114F">
              <w:rPr>
                <w:rFonts w:ascii="Tahoma" w:hAnsi="Tahoma" w:cs="Tahoma"/>
                <w:sz w:val="14"/>
                <w:lang w:val="pt-BR"/>
              </w:rPr>
              <w:t>Licença de Assinatura do Windows Companion</w:t>
            </w:r>
            <w:bookmarkEnd w:id="127"/>
            <w:bookmarkEnd w:id="128"/>
          </w:p>
        </w:tc>
        <w:tc>
          <w:tcPr>
            <w:tcW w:w="360" w:type="dxa"/>
            <w:tcBorders>
              <w:bottom w:val="single" w:sz="4" w:space="0" w:color="auto"/>
            </w:tcBorders>
            <w:shd w:val="clear" w:color="auto" w:fill="auto"/>
            <w:vAlign w:val="center"/>
          </w:tcPr>
          <w:p w:rsidR="002854D4" w:rsidRPr="00416070" w:rsidRDefault="008719E7" w:rsidP="00CE54BA">
            <w:pPr>
              <w:pStyle w:val="TableText"/>
              <w:widowControl w:val="0"/>
              <w:spacing w:before="20" w:after="20"/>
              <w:rPr>
                <w:b/>
                <w:color w:val="0000FF"/>
                <w:sz w:val="13"/>
                <w:szCs w:val="13"/>
                <w:u w:val="single"/>
              </w:rPr>
            </w:pPr>
            <w:hyperlink w:anchor="_24_Licença_de" w:history="1">
              <w:r w:rsidR="005B0EC7" w:rsidRPr="00416070">
                <w:rPr>
                  <w:rStyle w:val="Hyperlink"/>
                  <w:b/>
                  <w:sz w:val="13"/>
                  <w:szCs w:val="13"/>
                </w:rPr>
                <w:t>24</w:t>
              </w:r>
            </w:hyperlink>
          </w:p>
        </w:tc>
        <w:tc>
          <w:tcPr>
            <w:tcW w:w="450" w:type="dxa"/>
            <w:tcBorders>
              <w:bottom w:val="single" w:sz="4"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r w:rsidRPr="0041607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r w:rsidRPr="0041607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p>
        </w:tc>
        <w:tc>
          <w:tcPr>
            <w:tcW w:w="630" w:type="dxa"/>
            <w:tcBorders>
              <w:bottom w:val="single" w:sz="4"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r w:rsidRPr="00416070">
              <w:rPr>
                <w:rFonts w:ascii="Tahoma" w:hAnsi="Tahoma" w:cs="Tahoma"/>
                <w:sz w:val="13"/>
              </w:rPr>
              <w:t>A, (somente EES)</w:t>
            </w:r>
          </w:p>
        </w:tc>
        <w:tc>
          <w:tcPr>
            <w:tcW w:w="450" w:type="dxa"/>
            <w:tcBorders>
              <w:bottom w:val="single" w:sz="4" w:space="0" w:color="auto"/>
            </w:tcBorders>
            <w:shd w:val="clear" w:color="auto" w:fill="auto"/>
            <w:vAlign w:val="center"/>
          </w:tcPr>
          <w:p w:rsidR="002854D4" w:rsidRPr="00416070" w:rsidRDefault="002854D4" w:rsidP="00CE54BA">
            <w:pPr>
              <w:pStyle w:val="TableText"/>
              <w:spacing w:before="20" w:after="20"/>
              <w:rPr>
                <w:rFonts w:ascii="Tahoma" w:hAnsi="Tahoma" w:cs="Tahoma"/>
                <w:sz w:val="13"/>
              </w:rPr>
            </w:pPr>
          </w:p>
        </w:tc>
      </w:tr>
      <w:tr w:rsidR="00B33D0E" w:rsidRPr="00416070" w:rsidTr="005C0614">
        <w:trPr>
          <w:trHeight w:val="145"/>
        </w:trPr>
        <w:tc>
          <w:tcPr>
            <w:tcW w:w="2610" w:type="dxa"/>
            <w:tcBorders>
              <w:bottom w:val="single" w:sz="4" w:space="0" w:color="auto"/>
            </w:tcBorders>
            <w:shd w:val="clear" w:color="auto" w:fill="FABF8F"/>
            <w:vAlign w:val="center"/>
          </w:tcPr>
          <w:p w:rsidR="008357AC" w:rsidRPr="00416070" w:rsidRDefault="008357AC" w:rsidP="005C0614">
            <w:pPr>
              <w:pStyle w:val="ProductNames"/>
              <w:rPr>
                <w:rFonts w:ascii="Tahoma" w:hAnsi="Tahoma" w:cs="Tahoma"/>
                <w:sz w:val="14"/>
              </w:rPr>
            </w:pPr>
            <w:bookmarkStart w:id="129" w:name="_Toc336337898"/>
            <w:bookmarkStart w:id="130" w:name="_Toc352233978"/>
            <w:r w:rsidRPr="00416070">
              <w:rPr>
                <w:rFonts w:ascii="Tahoma" w:hAnsi="Tahoma" w:cs="Tahoma"/>
                <w:sz w:val="14"/>
              </w:rPr>
              <w:t>Windows Vista DVD Playback Pack</w:t>
            </w:r>
            <w:bookmarkEnd w:id="129"/>
            <w:bookmarkEnd w:id="130"/>
            <w:r w:rsidRPr="00416070">
              <w:rPr>
                <w:rFonts w:ascii="Tahoma" w:hAnsi="Tahoma" w:cs="Tahoma"/>
                <w:sz w:val="14"/>
              </w:rPr>
              <w:t xml:space="preserve"> </w:t>
            </w:r>
          </w:p>
        </w:tc>
        <w:tc>
          <w:tcPr>
            <w:tcW w:w="360" w:type="dxa"/>
            <w:tcBorders>
              <w:bottom w:val="single" w:sz="4" w:space="0" w:color="auto"/>
            </w:tcBorders>
            <w:shd w:val="clear" w:color="auto" w:fill="FABF8F"/>
            <w:vAlign w:val="center"/>
          </w:tcPr>
          <w:p w:rsidR="008357AC" w:rsidRPr="00416070" w:rsidRDefault="008719E7" w:rsidP="00CE54BA">
            <w:pPr>
              <w:pStyle w:val="TableText"/>
              <w:widowControl w:val="0"/>
              <w:spacing w:before="20" w:after="20"/>
              <w:rPr>
                <w:b/>
                <w:color w:val="0000FF"/>
                <w:sz w:val="13"/>
                <w:szCs w:val="13"/>
                <w:u w:val="single"/>
              </w:rPr>
            </w:pPr>
            <w:hyperlink w:anchor="_25_Windows_Vista" w:history="1">
              <w:r w:rsidR="005B0EC7" w:rsidRPr="00416070">
                <w:rPr>
                  <w:rStyle w:val="Hyperlink"/>
                  <w:b/>
                  <w:sz w:val="13"/>
                  <w:szCs w:val="13"/>
                </w:rPr>
                <w:t>25</w:t>
              </w:r>
            </w:hyperlink>
          </w:p>
        </w:tc>
        <w:tc>
          <w:tcPr>
            <w:tcW w:w="450" w:type="dxa"/>
            <w:tcBorders>
              <w:bottom w:val="single" w:sz="4" w:space="0" w:color="auto"/>
            </w:tcBorders>
            <w:shd w:val="clear" w:color="auto" w:fill="FABF8F"/>
            <w:vAlign w:val="center"/>
          </w:tcPr>
          <w:p w:rsidR="008357AC" w:rsidRPr="00416070" w:rsidDel="00587D23" w:rsidRDefault="008357AC" w:rsidP="00CE54BA">
            <w:pPr>
              <w:pStyle w:val="TableText"/>
              <w:spacing w:before="20" w:after="20"/>
              <w:rPr>
                <w:rFonts w:ascii="Tahoma" w:hAnsi="Tahoma" w:cs="Tahoma"/>
                <w:sz w:val="13"/>
              </w:rPr>
            </w:pPr>
            <w:r w:rsidRPr="00416070">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416070" w:rsidRDefault="008357AC" w:rsidP="00CE54BA">
            <w:pPr>
              <w:pStyle w:val="TableText"/>
              <w:spacing w:before="20" w:after="2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416070" w:rsidRDefault="00FC7674"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416070" w:rsidRDefault="00FC7674"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8357AC" w:rsidRPr="00416070" w:rsidRDefault="008357AC" w:rsidP="00CE54BA">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416070" w:rsidRDefault="008357AC" w:rsidP="00CE54BA">
            <w:pPr>
              <w:pStyle w:val="TableText"/>
              <w:spacing w:before="20" w:after="20"/>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8357AC" w:rsidRPr="00416070" w:rsidRDefault="008357AC" w:rsidP="00CE54BA">
            <w:pPr>
              <w:pStyle w:val="TableText"/>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8357AC" w:rsidRPr="00416070" w:rsidRDefault="008357AC" w:rsidP="00CE54BA">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416070" w:rsidRDefault="008357AC" w:rsidP="00CE54BA">
            <w:pPr>
              <w:pStyle w:val="TableText"/>
              <w:spacing w:before="20" w:after="20"/>
              <w:rPr>
                <w:rFonts w:ascii="Tahoma" w:hAnsi="Tahoma" w:cs="Tahoma"/>
                <w:sz w:val="13"/>
              </w:rPr>
            </w:pPr>
          </w:p>
        </w:tc>
        <w:tc>
          <w:tcPr>
            <w:tcW w:w="630" w:type="dxa"/>
            <w:tcBorders>
              <w:bottom w:val="single" w:sz="4" w:space="0" w:color="auto"/>
            </w:tcBorders>
            <w:shd w:val="clear" w:color="auto" w:fill="FABF8F"/>
            <w:vAlign w:val="center"/>
          </w:tcPr>
          <w:p w:rsidR="008357AC" w:rsidRPr="00416070" w:rsidRDefault="008357AC" w:rsidP="00CE54BA">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8357AC" w:rsidRPr="00416070" w:rsidRDefault="008357AC" w:rsidP="00CE54BA">
            <w:pPr>
              <w:pStyle w:val="TableText"/>
              <w:spacing w:before="20" w:after="20"/>
              <w:rPr>
                <w:rFonts w:ascii="Tahoma" w:hAnsi="Tahoma" w:cs="Tahoma"/>
                <w:sz w:val="13"/>
              </w:rPr>
            </w:pPr>
          </w:p>
        </w:tc>
      </w:tr>
      <w:tr w:rsidR="00B50A5B" w:rsidRPr="00416070" w:rsidTr="005C0614">
        <w:trPr>
          <w:trHeight w:val="145"/>
        </w:trPr>
        <w:tc>
          <w:tcPr>
            <w:tcW w:w="2610" w:type="dxa"/>
            <w:tcBorders>
              <w:bottom w:val="single" w:sz="4" w:space="0" w:color="auto"/>
            </w:tcBorders>
            <w:shd w:val="clear" w:color="auto" w:fill="auto"/>
            <w:vAlign w:val="center"/>
          </w:tcPr>
          <w:p w:rsidR="00B27742" w:rsidRPr="002E114F" w:rsidRDefault="00B27742" w:rsidP="005C0614">
            <w:pPr>
              <w:pStyle w:val="ProductNames"/>
              <w:rPr>
                <w:rFonts w:ascii="Tahoma" w:hAnsi="Tahoma" w:cs="Tahoma"/>
                <w:sz w:val="14"/>
                <w:lang w:val="pt-BR"/>
              </w:rPr>
            </w:pPr>
            <w:bookmarkStart w:id="131" w:name="_Toc336337901"/>
            <w:bookmarkStart w:id="132" w:name="_Toc352233979"/>
            <w:r w:rsidRPr="002E114F">
              <w:rPr>
                <w:rFonts w:ascii="Tahoma" w:hAnsi="Tahoma" w:cs="Tahoma"/>
                <w:sz w:val="14"/>
                <w:lang w:val="pt-BR"/>
              </w:rPr>
              <w:t>Direitos de Locação para Windows</w:t>
            </w:r>
            <w:bookmarkEnd w:id="131"/>
            <w:bookmarkEnd w:id="132"/>
          </w:p>
        </w:tc>
        <w:tc>
          <w:tcPr>
            <w:tcW w:w="360"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sz w:val="13"/>
                <w:szCs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416070" w:rsidRDefault="00391582"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416070" w:rsidRDefault="00391582"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63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r>
      <w:tr w:rsidR="00B50A5B" w:rsidRPr="00416070" w:rsidTr="005C0614">
        <w:trPr>
          <w:trHeight w:val="145"/>
        </w:trPr>
        <w:tc>
          <w:tcPr>
            <w:tcW w:w="2610" w:type="dxa"/>
            <w:tcBorders>
              <w:bottom w:val="single" w:sz="4" w:space="0" w:color="auto"/>
            </w:tcBorders>
            <w:shd w:val="clear" w:color="auto" w:fill="FABF8F"/>
            <w:vAlign w:val="center"/>
          </w:tcPr>
          <w:p w:rsidR="009447FB" w:rsidRPr="00416070" w:rsidRDefault="009447FB" w:rsidP="005C0614">
            <w:pPr>
              <w:pStyle w:val="ProductNames"/>
              <w:rPr>
                <w:rFonts w:ascii="Tahoma" w:hAnsi="Tahoma" w:cs="Tahoma"/>
                <w:sz w:val="14"/>
              </w:rPr>
            </w:pPr>
            <w:bookmarkStart w:id="133" w:name="_Toc336337902"/>
            <w:bookmarkStart w:id="134" w:name="_Toc352233980"/>
            <w:r w:rsidRPr="00416070">
              <w:rPr>
                <w:rFonts w:ascii="Tahoma" w:hAnsi="Tahoma" w:cs="Tahoma"/>
                <w:sz w:val="14"/>
              </w:rPr>
              <w:t>Windows 8 Enterprise Sideloading (Pacote com 100)</w:t>
            </w:r>
            <w:bookmarkEnd w:id="133"/>
            <w:bookmarkEnd w:id="134"/>
          </w:p>
        </w:tc>
        <w:tc>
          <w:tcPr>
            <w:tcW w:w="360" w:type="dxa"/>
            <w:tcBorders>
              <w:bottom w:val="single" w:sz="4" w:space="0" w:color="auto"/>
            </w:tcBorders>
            <w:shd w:val="clear" w:color="auto" w:fill="FABF8F"/>
            <w:vAlign w:val="center"/>
          </w:tcPr>
          <w:p w:rsidR="009447FB" w:rsidRPr="00416070" w:rsidRDefault="008719E7" w:rsidP="00CE54BA">
            <w:pPr>
              <w:pStyle w:val="TableText"/>
              <w:widowControl w:val="0"/>
              <w:spacing w:before="20" w:after="20"/>
              <w:rPr>
                <w:b/>
                <w:sz w:val="13"/>
                <w:szCs w:val="13"/>
                <w:u w:val="single"/>
              </w:rPr>
            </w:pPr>
            <w:hyperlink w:anchor="_26_Windows®_8" w:history="1">
              <w:r w:rsidR="005B0EC7" w:rsidRPr="00416070">
                <w:rPr>
                  <w:rStyle w:val="Hyperlink"/>
                  <w:b/>
                  <w:sz w:val="13"/>
                  <w:szCs w:val="13"/>
                </w:rPr>
                <w:t>26</w:t>
              </w:r>
            </w:hyperlink>
          </w:p>
        </w:tc>
        <w:tc>
          <w:tcPr>
            <w:tcW w:w="450" w:type="dxa"/>
            <w:tcBorders>
              <w:bottom w:val="single" w:sz="4" w:space="0" w:color="auto"/>
            </w:tcBorders>
            <w:shd w:val="clear" w:color="auto" w:fill="FABF8F"/>
            <w:vAlign w:val="center"/>
          </w:tcPr>
          <w:p w:rsidR="009447FB" w:rsidRPr="00416070" w:rsidRDefault="00F21F1B" w:rsidP="00CE54BA">
            <w:pPr>
              <w:pStyle w:val="TableText"/>
              <w:spacing w:before="20" w:after="20"/>
              <w:rPr>
                <w:rFonts w:ascii="Tahoma" w:hAnsi="Tahoma" w:cs="Tahoma"/>
                <w:sz w:val="13"/>
              </w:rPr>
            </w:pPr>
            <w:r w:rsidRPr="0041607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r w:rsidRPr="00416070">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9447FB" w:rsidRPr="00416070" w:rsidRDefault="005B48E5"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416070" w:rsidRDefault="005B48E5"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630" w:type="dxa"/>
            <w:tcBorders>
              <w:bottom w:val="single" w:sz="4" w:space="0" w:color="auto"/>
            </w:tcBorders>
            <w:shd w:val="clear" w:color="auto" w:fill="FABF8F"/>
            <w:vAlign w:val="center"/>
          </w:tcPr>
          <w:p w:rsidR="009447FB" w:rsidRPr="00416070" w:rsidRDefault="009447FB" w:rsidP="00CE54BA">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9447FB" w:rsidRPr="00416070" w:rsidRDefault="00D15A8B" w:rsidP="00CE54BA">
            <w:pPr>
              <w:pStyle w:val="TableText"/>
              <w:spacing w:before="20" w:after="20"/>
              <w:rPr>
                <w:rFonts w:ascii="Tahoma" w:hAnsi="Tahoma" w:cs="Tahoma"/>
                <w:sz w:val="13"/>
              </w:rPr>
            </w:pPr>
            <w:r w:rsidRPr="00416070">
              <w:rPr>
                <w:rFonts w:ascii="Tahoma" w:hAnsi="Tahoma" w:cs="Tahoma"/>
                <w:sz w:val="13"/>
              </w:rPr>
              <w:t>LO</w:t>
            </w:r>
          </w:p>
        </w:tc>
      </w:tr>
      <w:tr w:rsidR="00B50A5B" w:rsidRPr="00416070" w:rsidTr="005C0614">
        <w:trPr>
          <w:trHeight w:val="145"/>
        </w:trPr>
        <w:tc>
          <w:tcPr>
            <w:tcW w:w="2610" w:type="dxa"/>
            <w:tcBorders>
              <w:bottom w:val="single" w:sz="4" w:space="0" w:color="auto"/>
            </w:tcBorders>
            <w:shd w:val="clear" w:color="auto" w:fill="auto"/>
            <w:vAlign w:val="center"/>
          </w:tcPr>
          <w:p w:rsidR="00B27742" w:rsidRPr="002E114F" w:rsidRDefault="00B27742" w:rsidP="005C0614">
            <w:pPr>
              <w:pStyle w:val="ProductNames"/>
              <w:rPr>
                <w:rFonts w:ascii="Tahoma" w:hAnsi="Tahoma" w:cs="Tahoma"/>
                <w:sz w:val="14"/>
                <w:lang w:val="pt-BR"/>
              </w:rPr>
            </w:pPr>
            <w:bookmarkStart w:id="135" w:name="_Toc336337903"/>
            <w:bookmarkStart w:id="136" w:name="_Toc352233981"/>
            <w:r w:rsidRPr="002E114F">
              <w:rPr>
                <w:rFonts w:ascii="Tahoma" w:hAnsi="Tahoma" w:cs="Tahoma"/>
                <w:sz w:val="14"/>
                <w:lang w:val="pt-BR"/>
              </w:rPr>
              <w:t>Parceiros na Aprendizagem do Windows</w:t>
            </w:r>
            <w:r w:rsidR="00510A6E" w:rsidRPr="002E114F">
              <w:rPr>
                <w:rFonts w:ascii="Tahoma" w:hAnsi="Tahoma" w:cs="Tahoma"/>
                <w:sz w:val="14"/>
                <w:vertAlign w:val="superscript"/>
                <w:lang w:val="pt-BR"/>
              </w:rPr>
              <w:t>®</w:t>
            </w:r>
            <w:r w:rsidRPr="002E114F">
              <w:rPr>
                <w:rFonts w:ascii="Tahoma" w:hAnsi="Tahoma" w:cs="Tahoma"/>
                <w:sz w:val="14"/>
                <w:lang w:val="pt-BR"/>
              </w:rPr>
              <w:t xml:space="preserve"> 7</w:t>
            </w:r>
            <w:bookmarkEnd w:id="135"/>
            <w:bookmarkEnd w:id="136"/>
          </w:p>
        </w:tc>
        <w:tc>
          <w:tcPr>
            <w:tcW w:w="360" w:type="dxa"/>
            <w:tcBorders>
              <w:bottom w:val="single" w:sz="4" w:space="0" w:color="auto"/>
            </w:tcBorders>
            <w:shd w:val="clear" w:color="auto" w:fill="auto"/>
            <w:vAlign w:val="center"/>
          </w:tcPr>
          <w:p w:rsidR="00B27742" w:rsidRPr="00416070" w:rsidRDefault="008719E7" w:rsidP="00CE54BA">
            <w:pPr>
              <w:pStyle w:val="TableText"/>
              <w:widowControl w:val="0"/>
              <w:spacing w:before="20" w:after="20"/>
              <w:rPr>
                <w:b/>
                <w:sz w:val="13"/>
                <w:szCs w:val="13"/>
                <w:u w:val="single"/>
              </w:rPr>
            </w:pPr>
            <w:hyperlink w:anchor="_27_Parceiros_na" w:history="1">
              <w:r w:rsidR="005B0EC7" w:rsidRPr="00416070">
                <w:rPr>
                  <w:rStyle w:val="Hyperlink"/>
                  <w:b/>
                  <w:sz w:val="13"/>
                  <w:szCs w:val="13"/>
                </w:rPr>
                <w:t>27</w:t>
              </w:r>
            </w:hyperlink>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 xml:space="preserve">2 </w:t>
            </w:r>
            <w:r w:rsidRPr="00416070">
              <w:rPr>
                <w:rFonts w:ascii="Tahoma" w:hAnsi="Tahoma" w:cs="Tahoma"/>
                <w:sz w:val="10"/>
                <w:szCs w:val="12"/>
              </w:rPr>
              <w:t>(Somente School</w:t>
            </w:r>
          </w:p>
        </w:tc>
        <w:tc>
          <w:tcPr>
            <w:tcW w:w="36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63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r>
      <w:tr w:rsidR="00B50A5B" w:rsidRPr="00416070" w:rsidTr="005C0614">
        <w:trPr>
          <w:trHeight w:val="145"/>
        </w:trPr>
        <w:tc>
          <w:tcPr>
            <w:tcW w:w="2610" w:type="dxa"/>
            <w:tcBorders>
              <w:bottom w:val="single" w:sz="4" w:space="0" w:color="auto"/>
            </w:tcBorders>
            <w:shd w:val="clear" w:color="auto" w:fill="FABF8F"/>
            <w:vAlign w:val="center"/>
          </w:tcPr>
          <w:p w:rsidR="00B27742" w:rsidRPr="00416070" w:rsidRDefault="00B27742" w:rsidP="005C0614">
            <w:pPr>
              <w:pStyle w:val="ProductNames"/>
              <w:rPr>
                <w:rFonts w:ascii="Tahoma" w:hAnsi="Tahoma" w:cs="Tahoma"/>
                <w:sz w:val="14"/>
              </w:rPr>
            </w:pPr>
            <w:bookmarkStart w:id="137" w:name="_Toc336337904"/>
            <w:bookmarkStart w:id="138" w:name="_Toc352233982"/>
            <w:r w:rsidRPr="00416070">
              <w:rPr>
                <w:rFonts w:ascii="Tahoma" w:hAnsi="Tahoma" w:cs="Tahoma"/>
                <w:sz w:val="14"/>
              </w:rPr>
              <w:t>Windows</w:t>
            </w:r>
            <w:r w:rsidR="00510A6E" w:rsidRPr="00416070">
              <w:rPr>
                <w:rFonts w:ascii="Tahoma" w:hAnsi="Tahoma" w:cs="Tahoma"/>
                <w:sz w:val="14"/>
                <w:vertAlign w:val="superscript"/>
              </w:rPr>
              <w:t>®</w:t>
            </w:r>
            <w:r w:rsidRPr="00416070">
              <w:rPr>
                <w:rFonts w:ascii="Tahoma" w:hAnsi="Tahoma" w:cs="Tahoma"/>
                <w:sz w:val="14"/>
              </w:rPr>
              <w:t xml:space="preserve"> 8 Pro</w:t>
            </w:r>
            <w:bookmarkEnd w:id="137"/>
            <w:bookmarkEnd w:id="138"/>
            <w:r w:rsidRPr="00416070">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416070" w:rsidRDefault="008719E7" w:rsidP="00CE54BA">
            <w:pPr>
              <w:pStyle w:val="TableText"/>
              <w:widowControl w:val="0"/>
              <w:spacing w:before="20" w:after="20"/>
              <w:rPr>
                <w:rStyle w:val="EndnoteReference"/>
                <w:b w:val="0"/>
                <w:color w:val="0000FF"/>
                <w:sz w:val="13"/>
                <w:szCs w:val="13"/>
                <w:u w:val="single"/>
              </w:rPr>
            </w:pPr>
            <w:hyperlink w:anchor="_28_Atualização_para" w:history="1">
              <w:r w:rsidR="005B0EC7" w:rsidRPr="00416070">
                <w:rPr>
                  <w:rStyle w:val="Hyperlink"/>
                  <w:b/>
                  <w:sz w:val="13"/>
                  <w:szCs w:val="13"/>
                </w:rPr>
                <w:t>28</w:t>
              </w:r>
            </w:hyperlink>
          </w:p>
        </w:tc>
        <w:tc>
          <w:tcPr>
            <w:tcW w:w="450"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4</w:t>
            </w:r>
          </w:p>
        </w:tc>
        <w:tc>
          <w:tcPr>
            <w:tcW w:w="450"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2</w:t>
            </w:r>
          </w:p>
        </w:tc>
        <w:tc>
          <w:tcPr>
            <w:tcW w:w="540" w:type="dxa"/>
            <w:tcBorders>
              <w:left w:val="single" w:sz="18" w:space="0" w:color="auto"/>
              <w:bottom w:val="single" w:sz="4" w:space="0" w:color="auto"/>
            </w:tcBorders>
            <w:shd w:val="clear" w:color="auto" w:fill="FABF8F"/>
            <w:vAlign w:val="center"/>
          </w:tcPr>
          <w:p w:rsidR="00B27742" w:rsidRPr="00416070" w:rsidRDefault="00664EE9" w:rsidP="00CE54BA">
            <w:pPr>
              <w:pStyle w:val="TableText"/>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E, P</w:t>
            </w:r>
          </w:p>
        </w:tc>
        <w:tc>
          <w:tcPr>
            <w:tcW w:w="630"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E,ST</w:t>
            </w:r>
          </w:p>
        </w:tc>
        <w:tc>
          <w:tcPr>
            <w:tcW w:w="450" w:type="dxa"/>
            <w:tcBorders>
              <w:bottom w:val="single" w:sz="4"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p>
        </w:tc>
      </w:tr>
      <w:tr w:rsidR="00B50A5B" w:rsidRPr="00416070" w:rsidTr="005C0614">
        <w:trPr>
          <w:trHeight w:val="145"/>
        </w:trPr>
        <w:tc>
          <w:tcPr>
            <w:tcW w:w="2610" w:type="dxa"/>
            <w:tcBorders>
              <w:bottom w:val="single" w:sz="4" w:space="0" w:color="auto"/>
            </w:tcBorders>
            <w:shd w:val="clear" w:color="auto" w:fill="auto"/>
            <w:vAlign w:val="center"/>
          </w:tcPr>
          <w:p w:rsidR="00B27742" w:rsidRPr="00416070" w:rsidRDefault="00B27742" w:rsidP="005C0614">
            <w:pPr>
              <w:pStyle w:val="ProductNames"/>
              <w:rPr>
                <w:rFonts w:ascii="Tahoma" w:hAnsi="Tahoma" w:cs="Tahoma"/>
                <w:sz w:val="14"/>
              </w:rPr>
            </w:pPr>
            <w:bookmarkStart w:id="139" w:name="_Toc336337905"/>
            <w:bookmarkStart w:id="140" w:name="_Toc352233983"/>
            <w:r w:rsidRPr="00416070">
              <w:rPr>
                <w:rFonts w:ascii="Tahoma" w:hAnsi="Tahoma" w:cs="Tahoma"/>
                <w:sz w:val="14"/>
              </w:rPr>
              <w:t>Windows</w:t>
            </w:r>
            <w:r w:rsidR="00510A6E" w:rsidRPr="00416070">
              <w:rPr>
                <w:rFonts w:ascii="Tahoma" w:hAnsi="Tahoma" w:cs="Tahoma"/>
                <w:sz w:val="14"/>
                <w:vertAlign w:val="superscript"/>
              </w:rPr>
              <w:t>®</w:t>
            </w:r>
            <w:r w:rsidRPr="00416070">
              <w:rPr>
                <w:rFonts w:ascii="Tahoma" w:hAnsi="Tahoma" w:cs="Tahoma"/>
                <w:sz w:val="14"/>
              </w:rPr>
              <w:t xml:space="preserve"> 8 Pro com MDOP</w:t>
            </w:r>
            <w:bookmarkEnd w:id="139"/>
            <w:bookmarkEnd w:id="140"/>
            <w:r w:rsidRPr="00416070">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416070" w:rsidRDefault="00B27742" w:rsidP="00CE54BA">
            <w:pPr>
              <w:pStyle w:val="TableText"/>
              <w:widowControl w:val="0"/>
              <w:spacing w:before="20" w:after="20"/>
              <w:rPr>
                <w:rStyle w:val="EndnoteReference"/>
                <w:color w:val="0000FF"/>
                <w:sz w:val="13"/>
                <w:szCs w:val="13"/>
                <w:u w:val="single"/>
              </w:rPr>
            </w:pPr>
          </w:p>
        </w:tc>
        <w:tc>
          <w:tcPr>
            <w:tcW w:w="450" w:type="dxa"/>
            <w:tcBorders>
              <w:bottom w:val="single" w:sz="4" w:space="0" w:color="auto"/>
            </w:tcBorders>
            <w:shd w:val="clear" w:color="auto" w:fill="auto"/>
            <w:vAlign w:val="center"/>
          </w:tcPr>
          <w:p w:rsidR="00B27742" w:rsidRPr="00416070" w:rsidRDefault="001327D3" w:rsidP="00CE54BA">
            <w:pPr>
              <w:pStyle w:val="TableText"/>
              <w:spacing w:before="20" w:after="20"/>
              <w:rPr>
                <w:rFonts w:ascii="Tahoma" w:hAnsi="Tahoma" w:cs="Tahoma"/>
                <w:sz w:val="13"/>
              </w:rPr>
            </w:pPr>
            <w:r w:rsidRPr="0041607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4</w:t>
            </w: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B27742" w:rsidRPr="00416070" w:rsidRDefault="00664EE9" w:rsidP="00CE54BA">
            <w:pPr>
              <w:pStyle w:val="TableText"/>
              <w:spacing w:before="20" w:after="20"/>
              <w:rPr>
                <w:rFonts w:ascii="Tahoma" w:hAnsi="Tahoma" w:cs="Tahoma"/>
                <w:sz w:val="13"/>
              </w:rPr>
            </w:pPr>
            <w:r w:rsidRPr="00416070">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E, P</w:t>
            </w:r>
          </w:p>
        </w:tc>
        <w:tc>
          <w:tcPr>
            <w:tcW w:w="63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E,ST</w:t>
            </w:r>
          </w:p>
        </w:tc>
        <w:tc>
          <w:tcPr>
            <w:tcW w:w="450" w:type="dxa"/>
            <w:tcBorders>
              <w:bottom w:val="single" w:sz="4" w:space="0" w:color="auto"/>
            </w:tcBorders>
            <w:shd w:val="clear" w:color="auto" w:fill="auto"/>
            <w:vAlign w:val="center"/>
          </w:tcPr>
          <w:p w:rsidR="00B27742" w:rsidRPr="00416070" w:rsidRDefault="00B27742" w:rsidP="00CE54BA">
            <w:pPr>
              <w:pStyle w:val="TableText"/>
              <w:spacing w:before="20" w:after="20"/>
              <w:rPr>
                <w:rFonts w:ascii="Tahoma" w:hAnsi="Tahoma" w:cs="Tahoma"/>
                <w:sz w:val="13"/>
              </w:rPr>
            </w:pPr>
          </w:p>
        </w:tc>
      </w:tr>
      <w:tr w:rsidR="00B50A5B" w:rsidRPr="00416070" w:rsidTr="005C0614">
        <w:trPr>
          <w:trHeight w:val="123"/>
        </w:trPr>
        <w:tc>
          <w:tcPr>
            <w:tcW w:w="2610" w:type="dxa"/>
            <w:shd w:val="clear" w:color="auto" w:fill="FABF8F"/>
            <w:vAlign w:val="center"/>
          </w:tcPr>
          <w:p w:rsidR="00B27742" w:rsidRPr="00416070" w:rsidRDefault="00B27742" w:rsidP="005C0614">
            <w:pPr>
              <w:pStyle w:val="ProductNames"/>
              <w:rPr>
                <w:rFonts w:ascii="Tahoma" w:hAnsi="Tahoma" w:cs="Tahoma"/>
                <w:sz w:val="14"/>
              </w:rPr>
            </w:pPr>
            <w:bookmarkStart w:id="141" w:name="_Toc336337906"/>
            <w:bookmarkStart w:id="142" w:name="_Toc352233984"/>
            <w:r w:rsidRPr="00416070">
              <w:rPr>
                <w:rFonts w:ascii="Tahoma" w:hAnsi="Tahoma" w:cs="Tahoma"/>
                <w:sz w:val="14"/>
              </w:rPr>
              <w:t>Windows Virtual Desktop Access (VDA)</w:t>
            </w:r>
            <w:bookmarkEnd w:id="141"/>
            <w:bookmarkEnd w:id="142"/>
          </w:p>
        </w:tc>
        <w:tc>
          <w:tcPr>
            <w:tcW w:w="360" w:type="dxa"/>
            <w:shd w:val="clear" w:color="auto" w:fill="FABF8F"/>
            <w:vAlign w:val="center"/>
          </w:tcPr>
          <w:p w:rsidR="00B27742" w:rsidRPr="00416070" w:rsidRDefault="00B27742" w:rsidP="00CE54BA">
            <w:pPr>
              <w:pStyle w:val="TableText"/>
              <w:widowControl w:val="0"/>
              <w:spacing w:before="20" w:after="20"/>
              <w:rPr>
                <w:rStyle w:val="EndnoteReference"/>
                <w:rFonts w:ascii="Tahoma" w:hAnsi="Tahoma"/>
                <w:color w:val="0000FF"/>
                <w:sz w:val="13"/>
              </w:rPr>
            </w:pPr>
          </w:p>
        </w:tc>
        <w:tc>
          <w:tcPr>
            <w:tcW w:w="450" w:type="dxa"/>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07/10</w:t>
            </w:r>
          </w:p>
        </w:tc>
        <w:tc>
          <w:tcPr>
            <w:tcW w:w="360" w:type="dxa"/>
            <w:tcBorders>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2</w:t>
            </w:r>
          </w:p>
        </w:tc>
        <w:tc>
          <w:tcPr>
            <w:tcW w:w="450" w:type="dxa"/>
            <w:tcBorders>
              <w:lef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p>
        </w:tc>
        <w:tc>
          <w:tcPr>
            <w:tcW w:w="450" w:type="dxa"/>
            <w:shd w:val="clear" w:color="auto" w:fill="FABF8F"/>
            <w:vAlign w:val="center"/>
          </w:tcPr>
          <w:p w:rsidR="00B27742" w:rsidRPr="00416070" w:rsidRDefault="00B27742" w:rsidP="00CE54BA">
            <w:pPr>
              <w:pStyle w:val="TableText"/>
              <w:spacing w:before="20" w:after="20"/>
              <w:rPr>
                <w:rFonts w:ascii="Tahoma" w:hAnsi="Tahoma" w:cs="Tahoma"/>
                <w:sz w:val="13"/>
              </w:rPr>
            </w:pPr>
          </w:p>
        </w:tc>
        <w:tc>
          <w:tcPr>
            <w:tcW w:w="450" w:type="dxa"/>
            <w:tcBorders>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p>
        </w:tc>
        <w:tc>
          <w:tcPr>
            <w:tcW w:w="540" w:type="dxa"/>
            <w:tcBorders>
              <w:left w:val="single" w:sz="18" w:space="0" w:color="auto"/>
            </w:tcBorders>
            <w:shd w:val="clear" w:color="auto" w:fill="FABF8F"/>
            <w:vAlign w:val="center"/>
          </w:tcPr>
          <w:p w:rsidR="00B27742" w:rsidRPr="00416070" w:rsidRDefault="00751F50" w:rsidP="00CE54BA">
            <w:pPr>
              <w:pStyle w:val="TableText"/>
              <w:spacing w:before="20" w:after="20"/>
              <w:rPr>
                <w:rFonts w:ascii="Tahoma" w:hAnsi="Tahoma" w:cs="Tahoma"/>
                <w:sz w:val="13"/>
              </w:rPr>
            </w:pPr>
            <w:r w:rsidRPr="00416070">
              <w:rPr>
                <w:rFonts w:ascii="Tahoma" w:hAnsi="Tahoma" w:cs="Tahoma"/>
                <w:sz w:val="13"/>
              </w:rPr>
              <w:t>1)</w:t>
            </w:r>
          </w:p>
        </w:tc>
        <w:tc>
          <w:tcPr>
            <w:tcW w:w="360" w:type="dxa"/>
            <w:tcBorders>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416070" w:rsidRDefault="00B27742" w:rsidP="00CE54BA">
            <w:pPr>
              <w:pStyle w:val="TableText"/>
              <w:spacing w:before="20" w:after="20"/>
              <w:rPr>
                <w:rFonts w:ascii="Tahoma" w:hAnsi="Tahoma" w:cs="Tahoma"/>
                <w:sz w:val="13"/>
              </w:rPr>
            </w:pPr>
            <w:r w:rsidRPr="00416070">
              <w:rPr>
                <w:rFonts w:ascii="Tahoma" w:hAnsi="Tahoma" w:cs="Tahoma"/>
                <w:sz w:val="13"/>
              </w:rPr>
              <w:t>P</w:t>
            </w:r>
          </w:p>
        </w:tc>
        <w:tc>
          <w:tcPr>
            <w:tcW w:w="630" w:type="dxa"/>
            <w:shd w:val="clear" w:color="auto" w:fill="FABF8F"/>
            <w:vAlign w:val="center"/>
          </w:tcPr>
          <w:p w:rsidR="00B27742" w:rsidRPr="00416070" w:rsidRDefault="00954BF1" w:rsidP="00CE54BA">
            <w:pPr>
              <w:pStyle w:val="TableText"/>
              <w:spacing w:before="20" w:after="20"/>
              <w:rPr>
                <w:rFonts w:ascii="Tahoma" w:hAnsi="Tahoma" w:cs="Tahoma"/>
                <w:sz w:val="13"/>
              </w:rPr>
            </w:pPr>
            <w:r w:rsidRPr="00416070">
              <w:rPr>
                <w:rFonts w:ascii="Tahoma" w:hAnsi="Tahoma" w:cs="Tahoma"/>
                <w:sz w:val="13"/>
              </w:rPr>
              <w:t>A</w:t>
            </w:r>
          </w:p>
        </w:tc>
        <w:tc>
          <w:tcPr>
            <w:tcW w:w="450" w:type="dxa"/>
            <w:shd w:val="clear" w:color="auto" w:fill="FABF8F"/>
            <w:vAlign w:val="center"/>
          </w:tcPr>
          <w:p w:rsidR="00B27742" w:rsidRPr="00416070" w:rsidRDefault="00B27742" w:rsidP="00CE54BA">
            <w:pPr>
              <w:pStyle w:val="TableText"/>
              <w:spacing w:before="20" w:after="20"/>
              <w:rPr>
                <w:rFonts w:ascii="Tahoma" w:hAnsi="Tahoma" w:cs="Tahoma"/>
                <w:sz w:val="13"/>
              </w:rPr>
            </w:pPr>
          </w:p>
        </w:tc>
      </w:tr>
      <w:tr w:rsidR="006F741C" w:rsidRPr="00416070" w:rsidTr="005C0614">
        <w:trPr>
          <w:trHeight w:val="123"/>
        </w:trPr>
        <w:tc>
          <w:tcPr>
            <w:tcW w:w="2610" w:type="dxa"/>
            <w:shd w:val="clear" w:color="auto" w:fill="auto"/>
            <w:vAlign w:val="center"/>
          </w:tcPr>
          <w:p w:rsidR="006F741C" w:rsidRPr="00416070" w:rsidRDefault="006F741C" w:rsidP="005C0614">
            <w:pPr>
              <w:pStyle w:val="ProductNames"/>
              <w:rPr>
                <w:rFonts w:ascii="Tahoma" w:hAnsi="Tahoma" w:cs="Tahoma"/>
                <w:sz w:val="14"/>
              </w:rPr>
            </w:pPr>
            <w:bookmarkStart w:id="143" w:name="_Toc352233985"/>
            <w:r w:rsidRPr="00416070">
              <w:rPr>
                <w:rFonts w:ascii="Tahoma" w:hAnsi="Tahoma" w:cs="Tahoma"/>
                <w:sz w:val="14"/>
              </w:rPr>
              <w:t>Windows Intune (Por Dispositivo)</w:t>
            </w:r>
            <w:bookmarkEnd w:id="143"/>
          </w:p>
        </w:tc>
        <w:tc>
          <w:tcPr>
            <w:tcW w:w="360" w:type="dxa"/>
            <w:shd w:val="clear" w:color="auto" w:fill="auto"/>
            <w:vAlign w:val="center"/>
          </w:tcPr>
          <w:p w:rsidR="006F741C" w:rsidRPr="00416070" w:rsidRDefault="008719E7" w:rsidP="00CE54BA">
            <w:pPr>
              <w:pStyle w:val="TableText"/>
              <w:widowControl w:val="0"/>
              <w:spacing w:before="20" w:after="20"/>
              <w:rPr>
                <w:rStyle w:val="EndnoteReference"/>
                <w:b w:val="0"/>
                <w:color w:val="0000FF"/>
                <w:sz w:val="13"/>
                <w:szCs w:val="13"/>
              </w:rPr>
            </w:pPr>
            <w:hyperlink w:anchor="_28_Atualização_para" w:history="1">
              <w:r w:rsidR="005B0EC7" w:rsidRPr="00416070">
                <w:rPr>
                  <w:rStyle w:val="Hyperlink"/>
                  <w:b/>
                  <w:sz w:val="13"/>
                  <w:szCs w:val="13"/>
                </w:rPr>
                <w:t>28</w:t>
              </w:r>
            </w:hyperlink>
          </w:p>
        </w:tc>
        <w:tc>
          <w:tcPr>
            <w:tcW w:w="450" w:type="dxa"/>
            <w:shd w:val="clear" w:color="auto" w:fill="auto"/>
            <w:vAlign w:val="center"/>
          </w:tcPr>
          <w:p w:rsidR="006F741C" w:rsidRPr="00416070" w:rsidRDefault="006F741C" w:rsidP="00CE54BA">
            <w:pPr>
              <w:pStyle w:val="TableText"/>
              <w:spacing w:before="20" w:after="20"/>
              <w:rPr>
                <w:rFonts w:ascii="Tahoma" w:hAnsi="Tahoma" w:cs="Tahoma"/>
                <w:sz w:val="13"/>
              </w:rPr>
            </w:pPr>
            <w:r w:rsidRPr="00416070">
              <w:rPr>
                <w:rFonts w:ascii="Tahoma" w:hAnsi="Tahoma" w:cs="Tahoma"/>
                <w:sz w:val="13"/>
              </w:rPr>
              <w:t>4/11</w:t>
            </w:r>
          </w:p>
        </w:tc>
        <w:tc>
          <w:tcPr>
            <w:tcW w:w="360" w:type="dxa"/>
            <w:tcBorders>
              <w:right w:val="single" w:sz="18" w:space="0" w:color="auto"/>
            </w:tcBorders>
            <w:shd w:val="clear" w:color="auto" w:fill="auto"/>
            <w:vAlign w:val="center"/>
          </w:tcPr>
          <w:p w:rsidR="006F741C" w:rsidRPr="00416070" w:rsidRDefault="006F741C" w:rsidP="00CE54BA">
            <w:pPr>
              <w:pStyle w:val="TableText"/>
              <w:spacing w:before="20" w:after="20"/>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416070" w:rsidRDefault="006F741C" w:rsidP="00CE54BA">
            <w:pPr>
              <w:pStyle w:val="TableText"/>
              <w:spacing w:before="20" w:after="20"/>
              <w:rPr>
                <w:rFonts w:ascii="Tahoma" w:hAnsi="Tahoma" w:cs="Tahoma"/>
                <w:sz w:val="13"/>
              </w:rPr>
            </w:pPr>
          </w:p>
        </w:tc>
        <w:tc>
          <w:tcPr>
            <w:tcW w:w="450" w:type="dxa"/>
            <w:tcBorders>
              <w:left w:val="single" w:sz="18" w:space="0" w:color="auto"/>
            </w:tcBorders>
            <w:shd w:val="clear" w:color="auto" w:fill="auto"/>
            <w:vAlign w:val="center"/>
          </w:tcPr>
          <w:p w:rsidR="006F741C" w:rsidRPr="00416070" w:rsidRDefault="006F741C" w:rsidP="00CE54BA">
            <w:pPr>
              <w:pStyle w:val="TableText"/>
              <w:spacing w:before="20" w:after="20"/>
              <w:rPr>
                <w:rFonts w:ascii="Tahoma" w:hAnsi="Tahoma" w:cs="Tahoma"/>
                <w:sz w:val="13"/>
              </w:rPr>
            </w:pPr>
          </w:p>
        </w:tc>
        <w:tc>
          <w:tcPr>
            <w:tcW w:w="450" w:type="dxa"/>
            <w:shd w:val="clear" w:color="auto" w:fill="auto"/>
            <w:vAlign w:val="center"/>
          </w:tcPr>
          <w:p w:rsidR="006F741C" w:rsidRPr="00416070" w:rsidRDefault="006F741C" w:rsidP="00CE54BA">
            <w:pPr>
              <w:pStyle w:val="TableText"/>
              <w:spacing w:before="20" w:after="20"/>
              <w:rPr>
                <w:rFonts w:ascii="Tahoma" w:hAnsi="Tahoma" w:cs="Tahoma"/>
                <w:sz w:val="13"/>
              </w:rPr>
            </w:pPr>
          </w:p>
        </w:tc>
        <w:tc>
          <w:tcPr>
            <w:tcW w:w="450" w:type="dxa"/>
            <w:tcBorders>
              <w:right w:val="single" w:sz="18" w:space="0" w:color="auto"/>
            </w:tcBorders>
            <w:shd w:val="clear" w:color="auto" w:fill="auto"/>
            <w:vAlign w:val="center"/>
          </w:tcPr>
          <w:p w:rsidR="006F741C" w:rsidRPr="00416070" w:rsidRDefault="006F741C" w:rsidP="00CE54BA">
            <w:pPr>
              <w:pStyle w:val="TableText"/>
              <w:spacing w:before="20" w:after="20"/>
              <w:rPr>
                <w:rFonts w:ascii="Tahoma" w:hAnsi="Tahoma" w:cs="Tahoma"/>
                <w:sz w:val="13"/>
              </w:rPr>
            </w:pPr>
          </w:p>
        </w:tc>
        <w:tc>
          <w:tcPr>
            <w:tcW w:w="540" w:type="dxa"/>
            <w:tcBorders>
              <w:left w:val="single" w:sz="18" w:space="0" w:color="auto"/>
            </w:tcBorders>
            <w:shd w:val="clear" w:color="auto" w:fill="auto"/>
            <w:vAlign w:val="center"/>
          </w:tcPr>
          <w:p w:rsidR="006F741C" w:rsidRPr="00416070" w:rsidRDefault="006F741C" w:rsidP="00CE54BA">
            <w:pPr>
              <w:pStyle w:val="TableText"/>
              <w:spacing w:before="20" w:after="20"/>
              <w:rPr>
                <w:rFonts w:ascii="Tahoma" w:hAnsi="Tahoma" w:cs="Tahoma"/>
                <w:sz w:val="13"/>
              </w:rPr>
            </w:pPr>
          </w:p>
        </w:tc>
        <w:tc>
          <w:tcPr>
            <w:tcW w:w="360" w:type="dxa"/>
            <w:tcBorders>
              <w:right w:val="single" w:sz="18" w:space="0" w:color="auto"/>
            </w:tcBorders>
            <w:shd w:val="clear" w:color="auto" w:fill="auto"/>
            <w:vAlign w:val="center"/>
          </w:tcPr>
          <w:p w:rsidR="006F741C" w:rsidRPr="00416070" w:rsidRDefault="006F741C" w:rsidP="00CE54BA">
            <w:pPr>
              <w:pStyle w:val="TableText"/>
              <w:spacing w:before="20" w:after="2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416070" w:rsidRDefault="006F741C" w:rsidP="00CE54BA">
            <w:pPr>
              <w:pStyle w:val="TableText"/>
              <w:spacing w:before="20" w:after="20"/>
              <w:rPr>
                <w:rFonts w:ascii="Tahoma" w:hAnsi="Tahoma" w:cs="Tahoma"/>
                <w:sz w:val="13"/>
              </w:rPr>
            </w:pPr>
          </w:p>
        </w:tc>
        <w:tc>
          <w:tcPr>
            <w:tcW w:w="630" w:type="dxa"/>
            <w:shd w:val="clear" w:color="auto" w:fill="auto"/>
            <w:vAlign w:val="center"/>
          </w:tcPr>
          <w:p w:rsidR="006F741C" w:rsidRPr="00416070" w:rsidRDefault="006F741C" w:rsidP="00CE54BA">
            <w:pPr>
              <w:pStyle w:val="TableText"/>
              <w:spacing w:before="20" w:after="20"/>
              <w:rPr>
                <w:rFonts w:ascii="Tahoma" w:hAnsi="Tahoma" w:cs="Tahoma"/>
                <w:sz w:val="13"/>
              </w:rPr>
            </w:pPr>
          </w:p>
        </w:tc>
        <w:tc>
          <w:tcPr>
            <w:tcW w:w="450" w:type="dxa"/>
            <w:shd w:val="clear" w:color="auto" w:fill="auto"/>
            <w:vAlign w:val="center"/>
          </w:tcPr>
          <w:p w:rsidR="006F741C" w:rsidRPr="00416070" w:rsidRDefault="006F741C" w:rsidP="00CE54BA">
            <w:pPr>
              <w:pStyle w:val="TableText"/>
              <w:spacing w:before="20" w:after="20"/>
              <w:rPr>
                <w:rFonts w:ascii="Tahoma" w:hAnsi="Tahoma" w:cs="Tahoma"/>
                <w:sz w:val="13"/>
              </w:rPr>
            </w:pPr>
          </w:p>
        </w:tc>
      </w:tr>
      <w:tr w:rsidR="00955DF1" w:rsidRPr="00416070" w:rsidTr="005C0614">
        <w:trPr>
          <w:trHeight w:val="123"/>
        </w:trPr>
        <w:tc>
          <w:tcPr>
            <w:tcW w:w="2610" w:type="dxa"/>
            <w:tcBorders>
              <w:bottom w:val="single" w:sz="4" w:space="0" w:color="auto"/>
            </w:tcBorders>
            <w:shd w:val="clear" w:color="auto" w:fill="FABF8F"/>
            <w:vAlign w:val="center"/>
          </w:tcPr>
          <w:p w:rsidR="00955DF1" w:rsidRPr="002E114F" w:rsidRDefault="00955DF1" w:rsidP="005C0614">
            <w:pPr>
              <w:pStyle w:val="ProductNames"/>
              <w:rPr>
                <w:rFonts w:ascii="Tahoma" w:hAnsi="Tahoma" w:cs="Tahoma"/>
                <w:sz w:val="14"/>
                <w:lang w:val="pt-BR"/>
              </w:rPr>
            </w:pPr>
            <w:bookmarkStart w:id="144" w:name="_Toc352233986"/>
            <w:r w:rsidRPr="002E114F">
              <w:rPr>
                <w:rFonts w:ascii="Tahoma" w:hAnsi="Tahoma" w:cs="Tahoma"/>
                <w:sz w:val="14"/>
                <w:lang w:val="pt-BR"/>
              </w:rPr>
              <w:t xml:space="preserve">Complemento do Windows Intune </w:t>
            </w:r>
            <w:r w:rsidR="00CE54BA" w:rsidRPr="002E114F">
              <w:rPr>
                <w:rFonts w:ascii="Tahoma" w:hAnsi="Tahoma" w:cs="Tahoma"/>
                <w:sz w:val="14"/>
                <w:lang w:val="pt-BR"/>
              </w:rPr>
              <w:br/>
            </w:r>
            <w:r w:rsidRPr="002E114F">
              <w:rPr>
                <w:rFonts w:ascii="Tahoma" w:hAnsi="Tahoma" w:cs="Tahoma"/>
                <w:sz w:val="14"/>
                <w:lang w:val="pt-BR"/>
              </w:rPr>
              <w:t>(Por Dispositivo)</w:t>
            </w:r>
            <w:bookmarkEnd w:id="144"/>
          </w:p>
        </w:tc>
        <w:tc>
          <w:tcPr>
            <w:tcW w:w="360" w:type="dxa"/>
            <w:tcBorders>
              <w:bottom w:val="single" w:sz="4" w:space="0" w:color="auto"/>
            </w:tcBorders>
            <w:shd w:val="clear" w:color="auto" w:fill="FABF8F"/>
            <w:vAlign w:val="center"/>
          </w:tcPr>
          <w:p w:rsidR="00955DF1" w:rsidRPr="00416070" w:rsidRDefault="008719E7" w:rsidP="00CE54BA">
            <w:pPr>
              <w:pStyle w:val="TableText"/>
              <w:widowControl w:val="0"/>
              <w:spacing w:before="20" w:after="20"/>
              <w:rPr>
                <w:rStyle w:val="EndnoteReference"/>
                <w:b w:val="0"/>
                <w:color w:val="0000FF"/>
                <w:sz w:val="13"/>
                <w:szCs w:val="13"/>
              </w:rPr>
            </w:pPr>
            <w:hyperlink w:anchor="_29_Complemento_do" w:history="1">
              <w:r w:rsidR="005B0EC7" w:rsidRPr="00416070">
                <w:rPr>
                  <w:rStyle w:val="Hyperlink"/>
                  <w:b/>
                  <w:sz w:val="13"/>
                  <w:szCs w:val="13"/>
                </w:rPr>
                <w:t>29</w:t>
              </w:r>
            </w:hyperlink>
          </w:p>
        </w:tc>
        <w:tc>
          <w:tcPr>
            <w:tcW w:w="450" w:type="dxa"/>
            <w:tcBorders>
              <w:bottom w:val="single" w:sz="4"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r w:rsidRPr="00416070">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p>
        </w:tc>
        <w:tc>
          <w:tcPr>
            <w:tcW w:w="630" w:type="dxa"/>
            <w:tcBorders>
              <w:bottom w:val="single" w:sz="4"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955DF1" w:rsidRPr="00416070" w:rsidRDefault="00955DF1" w:rsidP="00CE54BA">
            <w:pPr>
              <w:pStyle w:val="TableText"/>
              <w:spacing w:before="20" w:after="20"/>
              <w:rPr>
                <w:rFonts w:ascii="Tahoma" w:hAnsi="Tahoma" w:cs="Tahoma"/>
                <w:sz w:val="13"/>
              </w:rPr>
            </w:pPr>
          </w:p>
        </w:tc>
      </w:tr>
    </w:tbl>
    <w:p w:rsidR="00091558" w:rsidRPr="00416070" w:rsidRDefault="00091558">
      <w:pPr>
        <w:pStyle w:val="ProductPool"/>
      </w:pPr>
    </w:p>
    <w:p w:rsidR="0021637C" w:rsidRPr="00416070" w:rsidRDefault="0021637C" w:rsidP="004E292A">
      <w:pPr>
        <w:pStyle w:val="Heading3"/>
      </w:pPr>
    </w:p>
    <w:p w:rsidR="00023FE7" w:rsidRPr="00416070" w:rsidRDefault="00023FE7" w:rsidP="004E292A">
      <w:pPr>
        <w:pStyle w:val="Heading3"/>
      </w:pPr>
      <w:bookmarkStart w:id="145" w:name="_Toc336337908"/>
      <w:bookmarkStart w:id="146" w:name="_Toc352233987"/>
      <w:r w:rsidRPr="00416070">
        <w:rPr>
          <w:rFonts w:ascii="Tahoma" w:hAnsi="Tahoma" w:cs="Tahoma"/>
          <w:sz w:val="22"/>
          <w:szCs w:val="22"/>
        </w:rPr>
        <w:t>POOL DE SERVIDORES</w:t>
      </w:r>
      <w:bookmarkEnd w:id="145"/>
      <w:bookmarkEnd w:id="146"/>
    </w:p>
    <w:p w:rsidR="00023FE7" w:rsidRPr="00416070" w:rsidRDefault="00023FE7"/>
    <w:tbl>
      <w:tblPr>
        <w:tblW w:w="1074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630"/>
        <w:gridCol w:w="450"/>
      </w:tblGrid>
      <w:tr w:rsidR="001C38D4" w:rsidRPr="00416070" w:rsidTr="00CE54BA">
        <w:trPr>
          <w:cantSplit/>
          <w:trHeight w:val="389"/>
          <w:tblHeader/>
        </w:trPr>
        <w:tc>
          <w:tcPr>
            <w:tcW w:w="2734" w:type="dxa"/>
            <w:gridSpan w:val="2"/>
            <w:vMerge w:val="restart"/>
            <w:tcBorders>
              <w:top w:val="single" w:sz="4" w:space="0" w:color="FFFFFF"/>
              <w:left w:val="single" w:sz="4" w:space="0" w:color="FFFFFF"/>
            </w:tcBorders>
          </w:tcPr>
          <w:p w:rsidR="00C031FA" w:rsidRPr="00416070" w:rsidRDefault="00CE54BA" w:rsidP="00CE54BA">
            <w:pPr>
              <w:spacing w:before="20" w:after="20"/>
              <w:rPr>
                <w:rFonts w:cs="Tahoma"/>
                <w:sz w:val="20"/>
              </w:rPr>
            </w:pPr>
            <w:r w:rsidRPr="00416070">
              <w:rPr>
                <w:rFonts w:cs="Tahoma"/>
                <w:noProof/>
              </w:rPr>
              <mc:AlternateContent>
                <mc:Choice Requires="wps">
                  <w:drawing>
                    <wp:anchor distT="0" distB="0" distL="114300" distR="114300" simplePos="0" relativeHeight="251663872" behindDoc="0" locked="0" layoutInCell="1" allowOverlap="1" wp14:anchorId="41C86931" wp14:editId="40784AA7">
                      <wp:simplePos x="0" y="0"/>
                      <wp:positionH relativeFrom="column">
                        <wp:posOffset>1641475</wp:posOffset>
                      </wp:positionH>
                      <wp:positionV relativeFrom="paragraph">
                        <wp:posOffset>677862</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15ABE" w:rsidRDefault="00715ABE">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41C86931" id="Text Box 64" o:spid="_x0000_s1028" type="#_x0000_t202" style="position:absolute;margin-left:129.25pt;margin-top:53.3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" filled="f" stroked="f">
                      <v:textbox style="mso-fit-shape-to-text:t">
                        <w:txbxContent>
                          <w:p w:rsidR="00715ABE" w:rsidRDefault="00715ABE">
                            <w:pPr>
                              <w:rPr>
                                <w:color w:val="0000FF"/>
                                <w:sz w:val="20"/>
                              </w:rPr>
                            </w:pPr>
                            <w:r>
                              <w:rPr>
                                <w:rFonts w:cs="Tahoma"/>
                                <w:b/>
                                <w:color w:val="0000FF"/>
                                <w:sz w:val="8"/>
                              </w:rPr>
                              <w:t>(Ctrl + clique)</w:t>
                            </w:r>
                          </w:p>
                        </w:txbxContent>
                      </v:textbox>
                    </v:shape>
                  </w:pict>
                </mc:Fallback>
              </mc:AlternateContent>
            </w:r>
          </w:p>
        </w:tc>
        <w:tc>
          <w:tcPr>
            <w:tcW w:w="450" w:type="dxa"/>
            <w:vMerge w:val="restart"/>
            <w:tcBorders>
              <w:top w:val="single" w:sz="12" w:space="0" w:color="auto"/>
            </w:tcBorders>
            <w:textDirection w:val="btLr"/>
            <w:vAlign w:val="center"/>
          </w:tcPr>
          <w:p w:rsidR="00C031FA" w:rsidRPr="00F17536" w:rsidRDefault="0055770A" w:rsidP="00F17536">
            <w:pPr>
              <w:pStyle w:val="TableVerticalText"/>
              <w:spacing w:before="20" w:after="20"/>
              <w:rPr>
                <w:rFonts w:ascii="Tahoma" w:hAnsi="Tahoma" w:cs="Tahoma"/>
                <w:sz w:val="9"/>
                <w:szCs w:val="9"/>
              </w:rPr>
            </w:pPr>
            <w:r w:rsidRPr="0055770A">
              <w:rPr>
                <w:rFonts w:ascii="Tahoma" w:hAnsi="Tahoma" w:cs="Tahoma"/>
                <w:sz w:val="9"/>
                <w:szCs w:val="9"/>
              </w:rPr>
              <w:t>Notas do Produto</w:t>
            </w:r>
          </w:p>
        </w:tc>
        <w:tc>
          <w:tcPr>
            <w:tcW w:w="450" w:type="dxa"/>
            <w:vMerge w:val="restart"/>
            <w:tcBorders>
              <w:top w:val="single" w:sz="12" w:space="0" w:color="auto"/>
            </w:tcBorders>
            <w:textDirection w:val="btLr"/>
            <w:vAlign w:val="center"/>
          </w:tcPr>
          <w:p w:rsidR="00C031FA" w:rsidRPr="00416070" w:rsidRDefault="00C031FA" w:rsidP="00CE54BA">
            <w:pPr>
              <w:pStyle w:val="TableVerticalText"/>
              <w:spacing w:before="20" w:after="20"/>
              <w:rPr>
                <w:rFonts w:ascii="Tahoma" w:hAnsi="Tahoma" w:cs="Tahoma"/>
                <w:sz w:val="9"/>
              </w:rPr>
            </w:pPr>
            <w:r w:rsidRPr="00416070">
              <w:rPr>
                <w:rFonts w:ascii="Tahoma" w:hAnsi="Tahoma" w:cs="Tahoma"/>
                <w:sz w:val="9"/>
              </w:rPr>
              <w:t>Data disponível</w:t>
            </w:r>
          </w:p>
        </w:tc>
        <w:tc>
          <w:tcPr>
            <w:tcW w:w="360" w:type="dxa"/>
            <w:vMerge w:val="restart"/>
            <w:tcBorders>
              <w:top w:val="single" w:sz="12" w:space="0" w:color="auto"/>
              <w:right w:val="single" w:sz="18" w:space="0" w:color="auto"/>
            </w:tcBorders>
            <w:textDirection w:val="btLr"/>
            <w:vAlign w:val="center"/>
          </w:tcPr>
          <w:p w:rsidR="00C031FA" w:rsidRPr="00416070" w:rsidRDefault="00C031FA" w:rsidP="00CE54BA">
            <w:pPr>
              <w:pStyle w:val="TableVerticalText"/>
              <w:spacing w:before="20" w:after="20"/>
              <w:rPr>
                <w:rFonts w:ascii="Tahoma" w:hAnsi="Tahoma" w:cs="Tahoma"/>
                <w:sz w:val="9"/>
              </w:rPr>
            </w:pPr>
            <w:r w:rsidRPr="00416070">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416070" w:rsidRDefault="00C031FA" w:rsidP="00CE54BA">
            <w:pPr>
              <w:pStyle w:val="TableHeadingsBlack"/>
              <w:spacing w:before="20" w:after="20"/>
              <w:rPr>
                <w:rFonts w:ascii="Tahoma" w:hAnsi="Tahoma" w:cs="Tahoma"/>
              </w:rPr>
            </w:pPr>
            <w:r w:rsidRPr="00416070">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416070" w:rsidRDefault="00C031FA" w:rsidP="00CE54BA">
            <w:pPr>
              <w:pStyle w:val="TableHeadingsBlack"/>
              <w:spacing w:before="20" w:after="20"/>
              <w:rPr>
                <w:rFonts w:ascii="Tahoma" w:hAnsi="Tahoma" w:cs="Tahoma"/>
                <w:szCs w:val="11"/>
              </w:rPr>
            </w:pPr>
            <w:r w:rsidRPr="00416070">
              <w:rPr>
                <w:rFonts w:ascii="Tahoma" w:hAnsi="Tahoma" w:cs="Tahoma"/>
                <w:szCs w:val="11"/>
              </w:rPr>
              <w:t>Licença Open</w:t>
            </w:r>
          </w:p>
        </w:tc>
        <w:tc>
          <w:tcPr>
            <w:tcW w:w="450" w:type="dxa"/>
            <w:vMerge w:val="restart"/>
            <w:tcBorders>
              <w:top w:val="single" w:sz="12" w:space="0" w:color="auto"/>
              <w:left w:val="single" w:sz="18" w:space="0" w:color="auto"/>
            </w:tcBorders>
            <w:textDirection w:val="btLr"/>
            <w:vAlign w:val="center"/>
          </w:tcPr>
          <w:p w:rsidR="00C031FA" w:rsidRPr="00416070" w:rsidRDefault="00C031FA" w:rsidP="00CE54BA">
            <w:pPr>
              <w:pStyle w:val="TableVerticalText"/>
              <w:spacing w:before="20" w:after="20"/>
              <w:rPr>
                <w:rFonts w:ascii="Tahoma" w:hAnsi="Tahoma" w:cs="Tahoma"/>
                <w:sz w:val="9"/>
              </w:rPr>
            </w:pPr>
            <w:r w:rsidRPr="00416070">
              <w:rPr>
                <w:rFonts w:ascii="Tahoma" w:hAnsi="Tahoma" w:cs="Tahoma"/>
                <w:sz w:val="9"/>
              </w:rPr>
              <w:t>Unidades Campus e School</w:t>
            </w:r>
          </w:p>
        </w:tc>
        <w:tc>
          <w:tcPr>
            <w:tcW w:w="450" w:type="dxa"/>
            <w:vMerge w:val="restart"/>
            <w:tcBorders>
              <w:top w:val="single" w:sz="12" w:space="0" w:color="auto"/>
              <w:right w:val="single" w:sz="18" w:space="0" w:color="auto"/>
            </w:tcBorders>
            <w:textDirection w:val="btLr"/>
            <w:vAlign w:val="center"/>
          </w:tcPr>
          <w:p w:rsidR="00C031FA" w:rsidRPr="00416070" w:rsidRDefault="00C031FA" w:rsidP="00CE54BA">
            <w:pPr>
              <w:pStyle w:val="TableVerticalText"/>
              <w:spacing w:before="20" w:after="20"/>
              <w:rPr>
                <w:rFonts w:ascii="Tahoma" w:hAnsi="Tahoma" w:cs="Tahoma"/>
                <w:sz w:val="9"/>
              </w:rPr>
            </w:pPr>
            <w:r w:rsidRPr="00416070">
              <w:rPr>
                <w:rFonts w:ascii="Tahoma" w:hAnsi="Tahoma" w:cs="Tahoma"/>
                <w:sz w:val="9"/>
              </w:rPr>
              <w:t xml:space="preserve">EA e </w:t>
            </w:r>
            <w:r w:rsidRPr="00416070">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416070" w:rsidRDefault="00C031FA" w:rsidP="00CE54BA">
            <w:pPr>
              <w:pStyle w:val="TableVerticalText"/>
              <w:spacing w:before="20" w:after="20"/>
              <w:rPr>
                <w:rFonts w:ascii="Tahoma" w:hAnsi="Tahoma" w:cs="Tahoma"/>
                <w:sz w:val="9"/>
              </w:rPr>
            </w:pPr>
            <w:r w:rsidRPr="00416070">
              <w:rPr>
                <w:rFonts w:ascii="Tahoma" w:hAnsi="Tahoma" w:cs="Tahoma"/>
                <w:sz w:val="9"/>
              </w:rPr>
              <w:t>OV / OVS</w:t>
            </w:r>
          </w:p>
        </w:tc>
        <w:tc>
          <w:tcPr>
            <w:tcW w:w="630" w:type="dxa"/>
            <w:vMerge w:val="restart"/>
            <w:tcBorders>
              <w:top w:val="single" w:sz="12" w:space="0" w:color="auto"/>
            </w:tcBorders>
            <w:textDirection w:val="btLr"/>
            <w:vAlign w:val="center"/>
          </w:tcPr>
          <w:p w:rsidR="00C031FA" w:rsidRPr="00416070" w:rsidRDefault="00C031FA" w:rsidP="00CE54BA">
            <w:pPr>
              <w:pStyle w:val="TableVerticalText"/>
              <w:spacing w:before="20" w:after="20"/>
              <w:rPr>
                <w:rFonts w:ascii="Tahoma" w:hAnsi="Tahoma" w:cs="Tahoma"/>
                <w:sz w:val="9"/>
              </w:rPr>
            </w:pPr>
            <w:r w:rsidRPr="00416070">
              <w:rPr>
                <w:rFonts w:ascii="Tahoma" w:hAnsi="Tahoma" w:cs="Tahoma"/>
                <w:sz w:val="9"/>
              </w:rPr>
              <w:t>EES / OVS -ES</w:t>
            </w:r>
          </w:p>
        </w:tc>
        <w:tc>
          <w:tcPr>
            <w:tcW w:w="450" w:type="dxa"/>
            <w:vMerge w:val="restart"/>
            <w:tcBorders>
              <w:top w:val="single" w:sz="12" w:space="0" w:color="auto"/>
            </w:tcBorders>
            <w:textDirection w:val="btLr"/>
            <w:vAlign w:val="center"/>
          </w:tcPr>
          <w:p w:rsidR="00C031FA" w:rsidRPr="00416070" w:rsidRDefault="00C031FA" w:rsidP="00CE54BA">
            <w:pPr>
              <w:pStyle w:val="TableVerticalText"/>
              <w:spacing w:before="20" w:after="20"/>
              <w:rPr>
                <w:rFonts w:ascii="Tahoma" w:hAnsi="Tahoma" w:cs="Tahoma"/>
                <w:sz w:val="9"/>
              </w:rPr>
            </w:pPr>
            <w:r w:rsidRPr="00416070">
              <w:rPr>
                <w:rFonts w:ascii="Tahoma" w:hAnsi="Tahoma" w:cs="Tahoma"/>
                <w:sz w:val="9"/>
              </w:rPr>
              <w:t>Mínimo de Licenças Open</w:t>
            </w:r>
          </w:p>
        </w:tc>
      </w:tr>
      <w:tr w:rsidR="001C38D4" w:rsidRPr="00416070" w:rsidTr="00CE54BA">
        <w:trPr>
          <w:cantSplit/>
          <w:trHeight w:val="262"/>
          <w:tblHeader/>
        </w:trPr>
        <w:tc>
          <w:tcPr>
            <w:tcW w:w="2734" w:type="dxa"/>
            <w:gridSpan w:val="2"/>
            <w:vMerge/>
            <w:tcBorders>
              <w:left w:val="single" w:sz="4" w:space="0" w:color="FFFFFF"/>
            </w:tcBorders>
          </w:tcPr>
          <w:p w:rsidR="00C031FA" w:rsidRPr="00416070" w:rsidRDefault="00C031FA" w:rsidP="00CE54BA">
            <w:pPr>
              <w:spacing w:before="20" w:after="20"/>
              <w:rPr>
                <w:rFonts w:cs="Tahoma"/>
                <w:sz w:val="20"/>
              </w:rPr>
            </w:pPr>
          </w:p>
        </w:tc>
        <w:tc>
          <w:tcPr>
            <w:tcW w:w="450" w:type="dxa"/>
            <w:vMerge/>
            <w:vAlign w:val="center"/>
          </w:tcPr>
          <w:p w:rsidR="00C031FA" w:rsidRPr="00416070" w:rsidRDefault="00C031FA" w:rsidP="00CE54BA">
            <w:pPr>
              <w:spacing w:before="20" w:after="20"/>
              <w:jc w:val="center"/>
              <w:rPr>
                <w:rFonts w:cs="Tahoma"/>
                <w:b/>
                <w:sz w:val="20"/>
              </w:rPr>
            </w:pPr>
          </w:p>
        </w:tc>
        <w:tc>
          <w:tcPr>
            <w:tcW w:w="450" w:type="dxa"/>
            <w:vMerge/>
            <w:vAlign w:val="center"/>
          </w:tcPr>
          <w:p w:rsidR="00C031FA" w:rsidRPr="00416070" w:rsidRDefault="00C031FA" w:rsidP="00CE54BA">
            <w:pPr>
              <w:spacing w:before="20" w:after="20"/>
              <w:jc w:val="center"/>
              <w:rPr>
                <w:rFonts w:cs="Tahoma"/>
                <w:sz w:val="20"/>
              </w:rPr>
            </w:pPr>
          </w:p>
        </w:tc>
        <w:tc>
          <w:tcPr>
            <w:tcW w:w="360" w:type="dxa"/>
            <w:vMerge/>
            <w:tcBorders>
              <w:right w:val="single" w:sz="18" w:space="0" w:color="auto"/>
            </w:tcBorders>
            <w:vAlign w:val="center"/>
          </w:tcPr>
          <w:p w:rsidR="00C031FA" w:rsidRPr="00416070" w:rsidRDefault="00C031FA" w:rsidP="00CE54BA">
            <w:pPr>
              <w:spacing w:before="20" w:after="20"/>
              <w:jc w:val="center"/>
              <w:rPr>
                <w:rFonts w:cs="Tahoma"/>
                <w:sz w:val="20"/>
              </w:rPr>
            </w:pPr>
          </w:p>
        </w:tc>
        <w:tc>
          <w:tcPr>
            <w:tcW w:w="360" w:type="dxa"/>
            <w:vMerge w:val="restart"/>
            <w:tcBorders>
              <w:left w:val="single" w:sz="18" w:space="0" w:color="auto"/>
            </w:tcBorders>
            <w:vAlign w:val="center"/>
          </w:tcPr>
          <w:p w:rsidR="00C031FA" w:rsidRPr="00416070" w:rsidRDefault="00C031FA" w:rsidP="00CE54BA">
            <w:pPr>
              <w:pStyle w:val="TableHeadingsRed"/>
              <w:spacing w:before="20" w:after="20"/>
              <w:rPr>
                <w:rFonts w:ascii="Tahoma" w:hAnsi="Tahoma" w:cs="Tahoma"/>
                <w:sz w:val="9"/>
              </w:rPr>
            </w:pPr>
            <w:r w:rsidRPr="00416070">
              <w:rPr>
                <w:rFonts w:ascii="Tahoma" w:hAnsi="Tahoma" w:cs="Tahoma"/>
                <w:sz w:val="9"/>
              </w:rPr>
              <w:t>L</w:t>
            </w:r>
          </w:p>
        </w:tc>
        <w:tc>
          <w:tcPr>
            <w:tcW w:w="1350" w:type="dxa"/>
            <w:gridSpan w:val="3"/>
            <w:vAlign w:val="center"/>
          </w:tcPr>
          <w:p w:rsidR="00C031FA" w:rsidRPr="00416070" w:rsidRDefault="00C031FA" w:rsidP="00CE54BA">
            <w:pPr>
              <w:pStyle w:val="TableHeadingsGreen"/>
              <w:spacing w:before="20" w:after="20"/>
              <w:rPr>
                <w:rFonts w:ascii="Tahoma" w:hAnsi="Tahoma" w:cs="Tahoma"/>
                <w:sz w:val="9"/>
              </w:rPr>
            </w:pPr>
            <w:r w:rsidRPr="00416070">
              <w:rPr>
                <w:rFonts w:ascii="Tahoma" w:hAnsi="Tahoma" w:cs="Tahoma"/>
                <w:sz w:val="9"/>
              </w:rPr>
              <w:t>L&amp;SA</w:t>
            </w:r>
          </w:p>
        </w:tc>
        <w:tc>
          <w:tcPr>
            <w:tcW w:w="1260" w:type="dxa"/>
            <w:gridSpan w:val="3"/>
            <w:tcBorders>
              <w:right w:val="single" w:sz="18" w:space="0" w:color="auto"/>
            </w:tcBorders>
            <w:vAlign w:val="center"/>
          </w:tcPr>
          <w:p w:rsidR="00C031FA" w:rsidRPr="00416070" w:rsidRDefault="00C031FA" w:rsidP="00CE54BA">
            <w:pPr>
              <w:pStyle w:val="TableHeadingsBlue"/>
              <w:spacing w:before="20" w:after="20"/>
              <w:rPr>
                <w:rFonts w:ascii="Tahoma" w:hAnsi="Tahoma" w:cs="Tahoma"/>
                <w:sz w:val="9"/>
              </w:rPr>
            </w:pPr>
            <w:r w:rsidRPr="00416070">
              <w:rPr>
                <w:rFonts w:ascii="Tahoma" w:hAnsi="Tahoma" w:cs="Tahoma"/>
                <w:sz w:val="9"/>
              </w:rPr>
              <w:t>SA</w:t>
            </w:r>
          </w:p>
        </w:tc>
        <w:tc>
          <w:tcPr>
            <w:tcW w:w="450" w:type="dxa"/>
            <w:vMerge w:val="restart"/>
            <w:tcBorders>
              <w:left w:val="single" w:sz="18" w:space="0" w:color="auto"/>
            </w:tcBorders>
            <w:vAlign w:val="center"/>
          </w:tcPr>
          <w:p w:rsidR="00C031FA" w:rsidRPr="00416070" w:rsidRDefault="00C031FA" w:rsidP="00CE54BA">
            <w:pPr>
              <w:pStyle w:val="TableHeadingsRed"/>
              <w:spacing w:before="20" w:after="20"/>
              <w:rPr>
                <w:rFonts w:ascii="Tahoma" w:hAnsi="Tahoma" w:cs="Tahoma"/>
                <w:sz w:val="9"/>
              </w:rPr>
            </w:pPr>
            <w:r w:rsidRPr="00416070">
              <w:rPr>
                <w:rFonts w:ascii="Tahoma" w:hAnsi="Tahoma" w:cs="Tahoma"/>
                <w:sz w:val="9"/>
              </w:rPr>
              <w:t>L</w:t>
            </w:r>
          </w:p>
        </w:tc>
        <w:tc>
          <w:tcPr>
            <w:tcW w:w="450" w:type="dxa"/>
            <w:vAlign w:val="center"/>
          </w:tcPr>
          <w:p w:rsidR="00C031FA" w:rsidRPr="00416070" w:rsidRDefault="00C031FA" w:rsidP="00CE54BA">
            <w:pPr>
              <w:pStyle w:val="TableHeadingsGreen"/>
              <w:spacing w:before="20" w:after="20"/>
              <w:rPr>
                <w:rFonts w:ascii="Tahoma" w:hAnsi="Tahoma" w:cs="Tahoma"/>
                <w:sz w:val="9"/>
              </w:rPr>
            </w:pPr>
            <w:r w:rsidRPr="00416070">
              <w:rPr>
                <w:rFonts w:ascii="Tahoma" w:hAnsi="Tahoma" w:cs="Tahoma"/>
                <w:sz w:val="9"/>
              </w:rPr>
              <w:t>L&amp;SA</w:t>
            </w:r>
          </w:p>
        </w:tc>
        <w:tc>
          <w:tcPr>
            <w:tcW w:w="450" w:type="dxa"/>
            <w:vMerge w:val="restart"/>
            <w:tcBorders>
              <w:right w:val="single" w:sz="18" w:space="0" w:color="auto"/>
            </w:tcBorders>
            <w:vAlign w:val="center"/>
          </w:tcPr>
          <w:p w:rsidR="00C031FA" w:rsidRPr="00416070" w:rsidRDefault="00C031FA" w:rsidP="00CE54BA">
            <w:pPr>
              <w:pStyle w:val="TableHeadingsBlue"/>
              <w:spacing w:before="20" w:after="20"/>
              <w:rPr>
                <w:rFonts w:ascii="Tahoma" w:hAnsi="Tahoma" w:cs="Tahoma"/>
                <w:sz w:val="9"/>
              </w:rPr>
            </w:pPr>
            <w:r w:rsidRPr="00416070">
              <w:rPr>
                <w:rFonts w:ascii="Tahoma" w:hAnsi="Tahoma" w:cs="Tahoma"/>
                <w:sz w:val="9"/>
              </w:rPr>
              <w:t>SA</w:t>
            </w:r>
          </w:p>
        </w:tc>
        <w:tc>
          <w:tcPr>
            <w:tcW w:w="450" w:type="dxa"/>
            <w:vMerge/>
            <w:tcBorders>
              <w:left w:val="single" w:sz="18" w:space="0" w:color="auto"/>
            </w:tcBorders>
            <w:vAlign w:val="center"/>
          </w:tcPr>
          <w:p w:rsidR="00C031FA" w:rsidRPr="00416070" w:rsidRDefault="00C031FA" w:rsidP="00CE54BA">
            <w:pPr>
              <w:spacing w:before="20" w:after="20"/>
              <w:jc w:val="center"/>
              <w:rPr>
                <w:rFonts w:cs="Tahoma"/>
                <w:sz w:val="20"/>
              </w:rPr>
            </w:pPr>
          </w:p>
        </w:tc>
        <w:tc>
          <w:tcPr>
            <w:tcW w:w="450" w:type="dxa"/>
            <w:vMerge/>
            <w:tcBorders>
              <w:right w:val="single" w:sz="18" w:space="0" w:color="auto"/>
            </w:tcBorders>
            <w:vAlign w:val="center"/>
          </w:tcPr>
          <w:p w:rsidR="00C031FA" w:rsidRPr="00416070" w:rsidRDefault="00C031FA" w:rsidP="00CE54BA">
            <w:pPr>
              <w:spacing w:before="20" w:after="20"/>
              <w:jc w:val="center"/>
              <w:rPr>
                <w:rFonts w:cs="Tahoma"/>
                <w:sz w:val="20"/>
              </w:rPr>
            </w:pPr>
          </w:p>
        </w:tc>
        <w:tc>
          <w:tcPr>
            <w:tcW w:w="450" w:type="dxa"/>
            <w:vMerge/>
            <w:tcBorders>
              <w:left w:val="single" w:sz="18" w:space="0" w:color="auto"/>
              <w:right w:val="single" w:sz="18" w:space="0" w:color="auto"/>
            </w:tcBorders>
            <w:vAlign w:val="center"/>
          </w:tcPr>
          <w:p w:rsidR="00C031FA" w:rsidRPr="00416070" w:rsidRDefault="00C031FA" w:rsidP="00CE54BA">
            <w:pPr>
              <w:spacing w:before="20" w:after="20"/>
              <w:jc w:val="center"/>
              <w:rPr>
                <w:rFonts w:cs="Tahoma"/>
                <w:sz w:val="20"/>
              </w:rPr>
            </w:pPr>
          </w:p>
        </w:tc>
        <w:tc>
          <w:tcPr>
            <w:tcW w:w="630" w:type="dxa"/>
            <w:vMerge/>
            <w:vAlign w:val="center"/>
          </w:tcPr>
          <w:p w:rsidR="00C031FA" w:rsidRPr="00416070" w:rsidRDefault="00C031FA" w:rsidP="00CE54BA">
            <w:pPr>
              <w:spacing w:before="20" w:after="20"/>
              <w:jc w:val="center"/>
              <w:rPr>
                <w:rFonts w:cs="Tahoma"/>
                <w:sz w:val="20"/>
              </w:rPr>
            </w:pPr>
          </w:p>
        </w:tc>
        <w:tc>
          <w:tcPr>
            <w:tcW w:w="450" w:type="dxa"/>
            <w:vMerge/>
            <w:vAlign w:val="center"/>
          </w:tcPr>
          <w:p w:rsidR="00C031FA" w:rsidRPr="00416070" w:rsidRDefault="00C031FA" w:rsidP="00CE54BA">
            <w:pPr>
              <w:spacing w:before="20" w:after="20"/>
              <w:jc w:val="center"/>
              <w:rPr>
                <w:rFonts w:cs="Tahoma"/>
                <w:sz w:val="20"/>
              </w:rPr>
            </w:pPr>
          </w:p>
        </w:tc>
      </w:tr>
      <w:tr w:rsidR="001C38D4" w:rsidRPr="00416070" w:rsidTr="00F17536">
        <w:trPr>
          <w:cantSplit/>
          <w:trHeight w:val="737"/>
          <w:tblHeader/>
        </w:trPr>
        <w:tc>
          <w:tcPr>
            <w:tcW w:w="2734" w:type="dxa"/>
            <w:gridSpan w:val="2"/>
            <w:vMerge/>
            <w:tcBorders>
              <w:left w:val="single" w:sz="4" w:space="0" w:color="FFFFFF"/>
              <w:bottom w:val="single" w:sz="4" w:space="0" w:color="auto"/>
            </w:tcBorders>
          </w:tcPr>
          <w:p w:rsidR="00C031FA" w:rsidRPr="00416070" w:rsidRDefault="00C031FA" w:rsidP="00CE54BA">
            <w:pPr>
              <w:spacing w:before="20" w:after="20"/>
              <w:rPr>
                <w:rFonts w:cs="Tahoma"/>
                <w:sz w:val="20"/>
              </w:rPr>
            </w:pPr>
          </w:p>
        </w:tc>
        <w:tc>
          <w:tcPr>
            <w:tcW w:w="450" w:type="dxa"/>
            <w:vMerge/>
            <w:tcBorders>
              <w:bottom w:val="single" w:sz="4" w:space="0" w:color="auto"/>
            </w:tcBorders>
            <w:vAlign w:val="center"/>
          </w:tcPr>
          <w:p w:rsidR="00C031FA" w:rsidRPr="00416070" w:rsidRDefault="00C031FA" w:rsidP="00CE54BA">
            <w:pPr>
              <w:spacing w:before="20" w:after="20"/>
              <w:jc w:val="center"/>
              <w:rPr>
                <w:rFonts w:cs="Tahoma"/>
                <w:b/>
                <w:sz w:val="20"/>
              </w:rPr>
            </w:pPr>
          </w:p>
        </w:tc>
        <w:tc>
          <w:tcPr>
            <w:tcW w:w="450" w:type="dxa"/>
            <w:vMerge/>
            <w:tcBorders>
              <w:bottom w:val="single" w:sz="4" w:space="0" w:color="auto"/>
            </w:tcBorders>
            <w:vAlign w:val="center"/>
          </w:tcPr>
          <w:p w:rsidR="00C031FA" w:rsidRPr="00416070" w:rsidRDefault="00C031FA" w:rsidP="00CE54BA">
            <w:pPr>
              <w:spacing w:before="20" w:after="20"/>
              <w:jc w:val="center"/>
              <w:rPr>
                <w:rFonts w:cs="Tahoma"/>
                <w:sz w:val="20"/>
              </w:rPr>
            </w:pPr>
          </w:p>
        </w:tc>
        <w:tc>
          <w:tcPr>
            <w:tcW w:w="360" w:type="dxa"/>
            <w:vMerge/>
            <w:tcBorders>
              <w:bottom w:val="single" w:sz="4" w:space="0" w:color="auto"/>
              <w:right w:val="single" w:sz="18" w:space="0" w:color="auto"/>
            </w:tcBorders>
            <w:vAlign w:val="center"/>
          </w:tcPr>
          <w:p w:rsidR="00C031FA" w:rsidRPr="00416070" w:rsidRDefault="00C031FA" w:rsidP="00CE54BA">
            <w:pPr>
              <w:spacing w:before="20" w:after="20"/>
              <w:jc w:val="center"/>
              <w:rPr>
                <w:rFonts w:cs="Tahoma"/>
                <w:sz w:val="20"/>
              </w:rPr>
            </w:pPr>
          </w:p>
        </w:tc>
        <w:tc>
          <w:tcPr>
            <w:tcW w:w="360" w:type="dxa"/>
            <w:vMerge/>
            <w:tcBorders>
              <w:left w:val="single" w:sz="18" w:space="0" w:color="auto"/>
              <w:bottom w:val="single" w:sz="4" w:space="0" w:color="auto"/>
            </w:tcBorders>
            <w:vAlign w:val="center"/>
          </w:tcPr>
          <w:p w:rsidR="00C031FA" w:rsidRPr="00416070" w:rsidRDefault="00C031FA" w:rsidP="00CE54BA">
            <w:pPr>
              <w:spacing w:before="20" w:after="20"/>
              <w:jc w:val="center"/>
              <w:rPr>
                <w:rFonts w:cs="Tahoma"/>
                <w:sz w:val="20"/>
              </w:rPr>
            </w:pPr>
          </w:p>
        </w:tc>
        <w:tc>
          <w:tcPr>
            <w:tcW w:w="450" w:type="dxa"/>
            <w:tcBorders>
              <w:bottom w:val="single" w:sz="4" w:space="0" w:color="auto"/>
            </w:tcBorders>
            <w:vAlign w:val="center"/>
          </w:tcPr>
          <w:p w:rsidR="00C031FA" w:rsidRPr="00416070" w:rsidRDefault="00C031FA" w:rsidP="00CE54BA">
            <w:pPr>
              <w:pStyle w:val="TableHeadingsGreen"/>
              <w:spacing w:before="20" w:after="20"/>
              <w:rPr>
                <w:rFonts w:ascii="Tahoma" w:hAnsi="Tahoma" w:cs="Tahoma"/>
                <w:sz w:val="9"/>
              </w:rPr>
            </w:pPr>
            <w:r w:rsidRPr="00416070">
              <w:rPr>
                <w:rFonts w:ascii="Tahoma" w:hAnsi="Tahoma" w:cs="Tahoma"/>
                <w:sz w:val="9"/>
              </w:rPr>
              <w:t>3An</w:t>
            </w:r>
          </w:p>
        </w:tc>
        <w:tc>
          <w:tcPr>
            <w:tcW w:w="450" w:type="dxa"/>
            <w:tcBorders>
              <w:bottom w:val="single" w:sz="4" w:space="0" w:color="auto"/>
            </w:tcBorders>
            <w:vAlign w:val="center"/>
          </w:tcPr>
          <w:p w:rsidR="00C031FA" w:rsidRPr="00416070" w:rsidRDefault="00C031FA" w:rsidP="00CE54BA">
            <w:pPr>
              <w:pStyle w:val="TableHeadingsGreen"/>
              <w:spacing w:before="20" w:after="20"/>
              <w:rPr>
                <w:rFonts w:ascii="Tahoma" w:hAnsi="Tahoma" w:cs="Tahoma"/>
                <w:sz w:val="9"/>
              </w:rPr>
            </w:pPr>
            <w:r w:rsidRPr="00416070">
              <w:rPr>
                <w:rFonts w:ascii="Tahoma" w:hAnsi="Tahoma" w:cs="Tahoma"/>
                <w:sz w:val="9"/>
              </w:rPr>
              <w:t>2An</w:t>
            </w:r>
          </w:p>
        </w:tc>
        <w:tc>
          <w:tcPr>
            <w:tcW w:w="450" w:type="dxa"/>
            <w:tcBorders>
              <w:bottom w:val="single" w:sz="4" w:space="0" w:color="auto"/>
            </w:tcBorders>
            <w:vAlign w:val="center"/>
          </w:tcPr>
          <w:p w:rsidR="00C031FA" w:rsidRPr="00416070" w:rsidRDefault="00C031FA" w:rsidP="00CE54BA">
            <w:pPr>
              <w:pStyle w:val="TableHeadingsGreen"/>
              <w:spacing w:before="20" w:after="20"/>
              <w:rPr>
                <w:rFonts w:ascii="Tahoma" w:hAnsi="Tahoma" w:cs="Tahoma"/>
                <w:sz w:val="9"/>
              </w:rPr>
            </w:pPr>
            <w:r w:rsidRPr="00416070">
              <w:rPr>
                <w:rFonts w:ascii="Tahoma" w:hAnsi="Tahoma" w:cs="Tahoma"/>
                <w:sz w:val="9"/>
              </w:rPr>
              <w:t>1An</w:t>
            </w:r>
          </w:p>
        </w:tc>
        <w:tc>
          <w:tcPr>
            <w:tcW w:w="450" w:type="dxa"/>
            <w:tcBorders>
              <w:bottom w:val="single" w:sz="4" w:space="0" w:color="auto"/>
            </w:tcBorders>
            <w:vAlign w:val="center"/>
          </w:tcPr>
          <w:p w:rsidR="00C031FA" w:rsidRPr="00416070" w:rsidRDefault="00C031FA" w:rsidP="00CE54BA">
            <w:pPr>
              <w:pStyle w:val="TableHeadingsBlue"/>
              <w:spacing w:before="20" w:after="20"/>
              <w:rPr>
                <w:rFonts w:ascii="Tahoma" w:hAnsi="Tahoma" w:cs="Tahoma"/>
                <w:sz w:val="9"/>
              </w:rPr>
            </w:pPr>
            <w:r w:rsidRPr="00416070">
              <w:rPr>
                <w:rFonts w:ascii="Tahoma" w:hAnsi="Tahoma" w:cs="Tahoma"/>
                <w:sz w:val="9"/>
              </w:rPr>
              <w:t>3An</w:t>
            </w:r>
          </w:p>
        </w:tc>
        <w:tc>
          <w:tcPr>
            <w:tcW w:w="450" w:type="dxa"/>
            <w:tcBorders>
              <w:bottom w:val="single" w:sz="4" w:space="0" w:color="auto"/>
            </w:tcBorders>
            <w:vAlign w:val="center"/>
          </w:tcPr>
          <w:p w:rsidR="00C031FA" w:rsidRPr="00416070" w:rsidRDefault="00C031FA" w:rsidP="00CE54BA">
            <w:pPr>
              <w:pStyle w:val="TableHeadingsBlue"/>
              <w:spacing w:before="20" w:after="20"/>
              <w:rPr>
                <w:rFonts w:ascii="Tahoma" w:hAnsi="Tahoma" w:cs="Tahoma"/>
                <w:sz w:val="9"/>
              </w:rPr>
            </w:pPr>
            <w:r w:rsidRPr="00416070">
              <w:rPr>
                <w:rFonts w:ascii="Tahoma" w:hAnsi="Tahoma" w:cs="Tahoma"/>
                <w:sz w:val="9"/>
              </w:rPr>
              <w:t>2An</w:t>
            </w:r>
          </w:p>
        </w:tc>
        <w:tc>
          <w:tcPr>
            <w:tcW w:w="360" w:type="dxa"/>
            <w:tcBorders>
              <w:bottom w:val="single" w:sz="4" w:space="0" w:color="auto"/>
              <w:right w:val="single" w:sz="18" w:space="0" w:color="auto"/>
            </w:tcBorders>
            <w:vAlign w:val="center"/>
          </w:tcPr>
          <w:p w:rsidR="00C031FA" w:rsidRPr="00416070" w:rsidRDefault="00C031FA" w:rsidP="00CE54BA">
            <w:pPr>
              <w:pStyle w:val="TableHeadingsBlue"/>
              <w:spacing w:before="20" w:after="20"/>
              <w:rPr>
                <w:rFonts w:ascii="Tahoma" w:hAnsi="Tahoma" w:cs="Tahoma"/>
                <w:sz w:val="9"/>
              </w:rPr>
            </w:pPr>
            <w:r w:rsidRPr="00416070">
              <w:rPr>
                <w:rFonts w:ascii="Tahoma" w:hAnsi="Tahoma" w:cs="Tahoma"/>
                <w:sz w:val="9"/>
              </w:rPr>
              <w:t>1An</w:t>
            </w:r>
          </w:p>
        </w:tc>
        <w:tc>
          <w:tcPr>
            <w:tcW w:w="450" w:type="dxa"/>
            <w:vMerge/>
            <w:tcBorders>
              <w:left w:val="single" w:sz="18" w:space="0" w:color="auto"/>
              <w:bottom w:val="single" w:sz="4" w:space="0" w:color="auto"/>
            </w:tcBorders>
            <w:vAlign w:val="center"/>
          </w:tcPr>
          <w:p w:rsidR="00C031FA" w:rsidRPr="00416070" w:rsidRDefault="00C031FA" w:rsidP="00CE54BA">
            <w:pPr>
              <w:spacing w:before="20" w:after="20"/>
              <w:jc w:val="center"/>
              <w:rPr>
                <w:rFonts w:cs="Tahoma"/>
                <w:sz w:val="20"/>
              </w:rPr>
            </w:pPr>
          </w:p>
        </w:tc>
        <w:tc>
          <w:tcPr>
            <w:tcW w:w="450" w:type="dxa"/>
            <w:tcBorders>
              <w:bottom w:val="single" w:sz="4" w:space="0" w:color="auto"/>
            </w:tcBorders>
            <w:vAlign w:val="center"/>
          </w:tcPr>
          <w:p w:rsidR="00C031FA" w:rsidRPr="00416070" w:rsidRDefault="00C031FA" w:rsidP="00CE54BA">
            <w:pPr>
              <w:pStyle w:val="TableHeadingsGreen"/>
              <w:spacing w:before="20" w:after="20"/>
              <w:rPr>
                <w:rFonts w:ascii="Tahoma" w:hAnsi="Tahoma" w:cs="Tahoma"/>
                <w:sz w:val="9"/>
              </w:rPr>
            </w:pPr>
            <w:r w:rsidRPr="00416070">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416070" w:rsidRDefault="00C031FA" w:rsidP="00CE54BA">
            <w:pPr>
              <w:spacing w:before="20" w:after="20"/>
              <w:jc w:val="center"/>
              <w:rPr>
                <w:rFonts w:cs="Tahoma"/>
                <w:sz w:val="20"/>
              </w:rPr>
            </w:pPr>
          </w:p>
        </w:tc>
        <w:tc>
          <w:tcPr>
            <w:tcW w:w="450" w:type="dxa"/>
            <w:vMerge/>
            <w:tcBorders>
              <w:left w:val="single" w:sz="18" w:space="0" w:color="auto"/>
              <w:bottom w:val="single" w:sz="4" w:space="0" w:color="auto"/>
            </w:tcBorders>
            <w:vAlign w:val="center"/>
          </w:tcPr>
          <w:p w:rsidR="00C031FA" w:rsidRPr="00416070" w:rsidRDefault="00C031FA" w:rsidP="00CE54BA">
            <w:pPr>
              <w:spacing w:before="20" w:after="20"/>
              <w:jc w:val="center"/>
              <w:rPr>
                <w:rFonts w:cs="Tahoma"/>
                <w:sz w:val="20"/>
              </w:rPr>
            </w:pPr>
          </w:p>
        </w:tc>
        <w:tc>
          <w:tcPr>
            <w:tcW w:w="450" w:type="dxa"/>
            <w:vMerge/>
            <w:tcBorders>
              <w:bottom w:val="single" w:sz="4" w:space="0" w:color="auto"/>
              <w:right w:val="single" w:sz="18" w:space="0" w:color="auto"/>
            </w:tcBorders>
            <w:vAlign w:val="center"/>
          </w:tcPr>
          <w:p w:rsidR="00C031FA" w:rsidRPr="00416070" w:rsidRDefault="00C031FA" w:rsidP="00CE54BA">
            <w:pPr>
              <w:spacing w:before="20" w:after="20"/>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rsidR="00C031FA" w:rsidRPr="00416070" w:rsidRDefault="00C031FA" w:rsidP="00CE54BA">
            <w:pPr>
              <w:spacing w:before="20" w:after="20"/>
              <w:jc w:val="center"/>
              <w:rPr>
                <w:rFonts w:cs="Tahoma"/>
                <w:sz w:val="20"/>
              </w:rPr>
            </w:pPr>
          </w:p>
        </w:tc>
        <w:tc>
          <w:tcPr>
            <w:tcW w:w="630" w:type="dxa"/>
            <w:vMerge/>
            <w:tcBorders>
              <w:bottom w:val="single" w:sz="4" w:space="0" w:color="auto"/>
            </w:tcBorders>
            <w:vAlign w:val="center"/>
          </w:tcPr>
          <w:p w:rsidR="00C031FA" w:rsidRPr="00416070" w:rsidRDefault="00C031FA" w:rsidP="00CE54BA">
            <w:pPr>
              <w:spacing w:before="20" w:after="20"/>
              <w:jc w:val="center"/>
              <w:rPr>
                <w:rFonts w:cs="Tahoma"/>
                <w:sz w:val="20"/>
              </w:rPr>
            </w:pPr>
          </w:p>
        </w:tc>
        <w:tc>
          <w:tcPr>
            <w:tcW w:w="450" w:type="dxa"/>
            <w:vMerge/>
            <w:tcBorders>
              <w:bottom w:val="single" w:sz="4" w:space="0" w:color="auto"/>
            </w:tcBorders>
            <w:vAlign w:val="center"/>
          </w:tcPr>
          <w:p w:rsidR="00C031FA" w:rsidRPr="00416070" w:rsidRDefault="00C031FA" w:rsidP="00CE54BA">
            <w:pPr>
              <w:spacing w:before="20" w:after="20"/>
              <w:jc w:val="center"/>
              <w:rPr>
                <w:rFonts w:cs="Tahoma"/>
                <w:sz w:val="20"/>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DC5AE8" w:rsidRPr="002E114F" w:rsidRDefault="00DC5AE8" w:rsidP="005C0614">
            <w:pPr>
              <w:pStyle w:val="ProductNames"/>
              <w:rPr>
                <w:rFonts w:ascii="Tahoma" w:hAnsi="Tahoma" w:cs="Tahoma"/>
                <w:sz w:val="14"/>
                <w:szCs w:val="14"/>
                <w:lang w:val="pt-BR"/>
              </w:rPr>
            </w:pPr>
            <w:bookmarkStart w:id="147" w:name="_Toc352233988"/>
            <w:r w:rsidRPr="002E114F">
              <w:rPr>
                <w:rFonts w:ascii="Tahoma" w:hAnsi="Tahoma" w:cs="Tahoma"/>
                <w:sz w:val="14"/>
                <w:szCs w:val="14"/>
                <w:lang w:val="pt-BR"/>
              </w:rPr>
              <w:t>Bing Maps Consumer Controlado por</w:t>
            </w:r>
            <w:r w:rsidR="005C0614" w:rsidRPr="002E114F">
              <w:rPr>
                <w:rFonts w:ascii="Tahoma" w:hAnsi="Tahoma" w:cs="Tahoma"/>
                <w:sz w:val="14"/>
                <w:szCs w:val="14"/>
                <w:lang w:val="pt-BR"/>
              </w:rPr>
              <w:t> </w:t>
            </w:r>
            <w:r w:rsidRPr="002E114F">
              <w:rPr>
                <w:rFonts w:ascii="Tahoma" w:hAnsi="Tahoma" w:cs="Tahoma"/>
                <w:sz w:val="14"/>
                <w:szCs w:val="14"/>
                <w:lang w:val="pt-BR"/>
              </w:rPr>
              <w:t>Assinatura Mensal de Ativos</w:t>
            </w:r>
            <w:bookmarkEnd w:id="147"/>
          </w:p>
        </w:tc>
        <w:tc>
          <w:tcPr>
            <w:tcW w:w="450" w:type="dxa"/>
            <w:tcBorders>
              <w:bottom w:val="single" w:sz="4" w:space="0" w:color="auto"/>
            </w:tcBorders>
            <w:shd w:val="clear" w:color="auto" w:fill="FABF8F"/>
            <w:vAlign w:val="center"/>
          </w:tcPr>
          <w:p w:rsidR="00DC5AE8" w:rsidRPr="00B01D7E" w:rsidRDefault="008719E7" w:rsidP="00CE54BA">
            <w:pPr>
              <w:spacing w:before="20" w:after="20"/>
              <w:jc w:val="center"/>
              <w:rPr>
                <w:rFonts w:ascii="Trebuchet MS" w:hAnsi="Trebuchet MS"/>
                <w:b/>
                <w:sz w:val="13"/>
                <w:szCs w:val="13"/>
              </w:rPr>
            </w:pPr>
            <w:hyperlink w:anchor="_30_Complemento_De"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DC5AE8" w:rsidRPr="00416070" w:rsidRDefault="00DC5AE8" w:rsidP="00CE54BA">
            <w:pPr>
              <w:spacing w:before="20" w:after="20"/>
              <w:jc w:val="center"/>
              <w:rPr>
                <w:rFonts w:cs="Tahoma"/>
                <w:sz w:val="13"/>
              </w:rPr>
            </w:pPr>
            <w:r w:rsidRPr="00416070">
              <w:rPr>
                <w:rFonts w:cs="Tahoma"/>
                <w:sz w:val="13"/>
              </w:rPr>
              <w:t>4/13</w:t>
            </w:r>
          </w:p>
        </w:tc>
        <w:tc>
          <w:tcPr>
            <w:tcW w:w="360" w:type="dxa"/>
            <w:tcBorders>
              <w:bottom w:val="single" w:sz="4" w:space="0" w:color="auto"/>
              <w:right w:val="single" w:sz="18" w:space="0" w:color="auto"/>
            </w:tcBorders>
            <w:shd w:val="clear" w:color="auto" w:fill="FABF8F"/>
            <w:vAlign w:val="center"/>
          </w:tcPr>
          <w:p w:rsidR="00DC5AE8" w:rsidRPr="00416070" w:rsidRDefault="00DC5AE8"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DC5AE8" w:rsidRPr="00416070" w:rsidRDefault="00DC5AE8" w:rsidP="00CE54BA">
            <w:pPr>
              <w:spacing w:before="20" w:after="20"/>
              <w:jc w:val="center"/>
              <w:rPr>
                <w:rFonts w:cs="Tahoma"/>
                <w:sz w:val="13"/>
              </w:rPr>
            </w:pPr>
            <w:r w:rsidRPr="00416070">
              <w:rPr>
                <w:rFonts w:cs="Tahoma"/>
                <w:sz w:val="13"/>
              </w:rPr>
              <w:t>1 ponto</w:t>
            </w:r>
          </w:p>
        </w:tc>
        <w:tc>
          <w:tcPr>
            <w:tcW w:w="450" w:type="dxa"/>
            <w:tcBorders>
              <w:left w:val="single" w:sz="18" w:space="0" w:color="auto"/>
              <w:bottom w:val="single" w:sz="4" w:space="0" w:color="auto"/>
            </w:tcBorders>
            <w:shd w:val="clear" w:color="auto" w:fill="FABF8F"/>
            <w:vAlign w:val="center"/>
          </w:tcPr>
          <w:p w:rsidR="00DC5AE8" w:rsidRPr="00416070" w:rsidRDefault="00DC5AE8" w:rsidP="00CE54BA">
            <w:pPr>
              <w:spacing w:before="20" w:after="20"/>
              <w:jc w:val="center"/>
              <w:rPr>
                <w:rFonts w:cs="Tahoma"/>
                <w:sz w:val="13"/>
              </w:rPr>
            </w:pPr>
            <w:r w:rsidRPr="00416070">
              <w:rPr>
                <w:rFonts w:cs="Tahoma"/>
                <w:sz w:val="13"/>
              </w:rPr>
              <w:t>1</w:t>
            </w:r>
          </w:p>
        </w:tc>
        <w:tc>
          <w:tcPr>
            <w:tcW w:w="450" w:type="dxa"/>
            <w:tcBorders>
              <w:bottom w:val="single" w:sz="4" w:space="0" w:color="auto"/>
            </w:tcBorders>
            <w:shd w:val="clear" w:color="auto" w:fill="FABF8F"/>
            <w:vAlign w:val="center"/>
          </w:tcPr>
          <w:p w:rsidR="00DC5AE8" w:rsidRPr="00416070" w:rsidRDefault="00DC5AE8"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416070" w:rsidRDefault="00DC5AE8"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FABF8F"/>
            <w:vAlign w:val="center"/>
          </w:tcPr>
          <w:p w:rsidR="00DC5AE8" w:rsidRPr="00416070" w:rsidRDefault="00DC5AE8"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416070" w:rsidRDefault="00DC5AE8" w:rsidP="00CE54BA">
            <w:pPr>
              <w:spacing w:before="20" w:after="20"/>
              <w:jc w:val="center"/>
              <w:rPr>
                <w:rFonts w:cs="Tahoma"/>
                <w:sz w:val="13"/>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C5AE8" w:rsidRPr="00416070" w:rsidRDefault="00DC5AE8" w:rsidP="00CE54BA">
            <w:pPr>
              <w:spacing w:before="20" w:after="20"/>
              <w:jc w:val="center"/>
              <w:rPr>
                <w:rFonts w:cs="Tahoma"/>
                <w:sz w:val="13"/>
              </w:rPr>
            </w:pPr>
            <w:r w:rsidRPr="00416070">
              <w:rPr>
                <w:rFonts w:cs="Tahoma"/>
                <w:sz w:val="13"/>
              </w:rPr>
              <w:t>P</w:t>
            </w:r>
          </w:p>
        </w:tc>
        <w:tc>
          <w:tcPr>
            <w:tcW w:w="630" w:type="dxa"/>
            <w:tcBorders>
              <w:bottom w:val="single" w:sz="4" w:space="0" w:color="auto"/>
            </w:tcBorders>
            <w:shd w:val="clear" w:color="auto" w:fill="FABF8F"/>
            <w:vAlign w:val="center"/>
          </w:tcPr>
          <w:p w:rsidR="00DC5AE8" w:rsidRPr="00416070" w:rsidRDefault="00DC5AE8" w:rsidP="00CE54BA">
            <w:pPr>
              <w:spacing w:before="20" w:after="20"/>
              <w:jc w:val="center"/>
              <w:rPr>
                <w:rFonts w:cs="Tahoma"/>
                <w:sz w:val="13"/>
              </w:rPr>
            </w:pPr>
          </w:p>
        </w:tc>
        <w:tc>
          <w:tcPr>
            <w:tcW w:w="450" w:type="dxa"/>
            <w:tcBorders>
              <w:bottom w:val="single" w:sz="4" w:space="0" w:color="auto"/>
            </w:tcBorders>
            <w:shd w:val="clear" w:color="auto" w:fill="FABF8F"/>
            <w:vAlign w:val="center"/>
          </w:tcPr>
          <w:p w:rsidR="00DC5AE8" w:rsidRPr="00416070" w:rsidRDefault="00DC5AE8" w:rsidP="00CE54BA">
            <w:pPr>
              <w:spacing w:before="20" w:after="20"/>
              <w:jc w:val="center"/>
              <w:rPr>
                <w:rFonts w:cs="Tahoma"/>
                <w:sz w:val="13"/>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rPr>
                <w:rFonts w:ascii="Tahoma" w:hAnsi="Tahoma" w:cs="Tahoma"/>
                <w:sz w:val="14"/>
                <w:szCs w:val="14"/>
                <w:lang w:val="pt-BR"/>
              </w:rPr>
            </w:pPr>
            <w:bookmarkStart w:id="148" w:name="_Toc352233989"/>
            <w:r w:rsidRPr="002E114F">
              <w:rPr>
                <w:rFonts w:ascii="Tahoma" w:hAnsi="Tahoma" w:cs="Tahoma"/>
                <w:sz w:val="14"/>
                <w:szCs w:val="14"/>
                <w:lang w:val="pt-BR"/>
              </w:rPr>
              <w:t>Bing Maps para Assinatura Mensal de</w:t>
            </w:r>
            <w:r w:rsidR="005C0614" w:rsidRPr="002E114F">
              <w:rPr>
                <w:rFonts w:ascii="Tahoma" w:hAnsi="Tahoma" w:cs="Tahoma"/>
                <w:sz w:val="14"/>
                <w:szCs w:val="14"/>
                <w:lang w:val="pt-BR"/>
              </w:rPr>
              <w:t> </w:t>
            </w:r>
            <w:r w:rsidRPr="002E114F">
              <w:rPr>
                <w:rFonts w:ascii="Tahoma" w:hAnsi="Tahoma" w:cs="Tahoma"/>
                <w:sz w:val="14"/>
                <w:szCs w:val="14"/>
                <w:lang w:val="pt-BR"/>
              </w:rPr>
              <w:t>Tarifa por Plataforma Enterprise</w:t>
            </w:r>
            <w:bookmarkEnd w:id="148"/>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50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50</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rPr>
                <w:rFonts w:ascii="Tahoma" w:hAnsi="Tahoma" w:cs="Tahoma"/>
                <w:sz w:val="14"/>
                <w:szCs w:val="14"/>
                <w:lang w:val="pt-BR"/>
              </w:rPr>
            </w:pPr>
            <w:bookmarkStart w:id="149" w:name="_Toc352233990"/>
            <w:r w:rsidRPr="002E114F">
              <w:rPr>
                <w:rFonts w:ascii="Tahoma" w:hAnsi="Tahoma" w:cs="Tahoma"/>
                <w:sz w:val="14"/>
                <w:szCs w:val="14"/>
                <w:lang w:val="pt-BR"/>
              </w:rPr>
              <w:t>Assinatura Mensal de 100 Mil Transações de Uso de Site Público do Bing Maps</w:t>
            </w:r>
            <w:bookmarkEnd w:id="149"/>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50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50</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rPr>
                <w:rFonts w:ascii="Tahoma" w:hAnsi="Tahoma" w:cs="Tahoma"/>
                <w:sz w:val="14"/>
                <w:szCs w:val="14"/>
                <w:lang w:val="pt-BR"/>
              </w:rPr>
            </w:pPr>
            <w:bookmarkStart w:id="150" w:name="_Toc352233991"/>
            <w:r w:rsidRPr="002E114F">
              <w:rPr>
                <w:rFonts w:ascii="Tahoma" w:hAnsi="Tahoma" w:cs="Tahoma"/>
                <w:sz w:val="14"/>
                <w:szCs w:val="14"/>
                <w:lang w:val="pt-BR"/>
              </w:rPr>
              <w:t>Assinatura Mensal de 250 Mil Transações de Uso de Site Público do Bing Maps</w:t>
            </w:r>
            <w:bookmarkEnd w:id="150"/>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125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125</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rPr>
                <w:rFonts w:ascii="Tahoma" w:hAnsi="Tahoma" w:cs="Tahoma"/>
                <w:sz w:val="14"/>
                <w:szCs w:val="14"/>
                <w:lang w:val="pt-BR"/>
              </w:rPr>
            </w:pPr>
            <w:bookmarkStart w:id="151" w:name="_Toc352233992"/>
            <w:r w:rsidRPr="002E114F">
              <w:rPr>
                <w:rFonts w:ascii="Tahoma" w:hAnsi="Tahoma" w:cs="Tahoma"/>
                <w:sz w:val="14"/>
                <w:szCs w:val="14"/>
                <w:lang w:val="pt-BR"/>
              </w:rPr>
              <w:t>Assinatura Mensal de 420 Mil Transações de Uso de Site Público do Bing Maps</w:t>
            </w:r>
            <w:bookmarkEnd w:id="151"/>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rPr>
                <w:rFonts w:ascii="Tahoma" w:hAnsi="Tahoma" w:cs="Tahoma"/>
                <w:sz w:val="14"/>
                <w:szCs w:val="14"/>
                <w:lang w:val="pt-BR"/>
              </w:rPr>
            </w:pPr>
            <w:bookmarkStart w:id="152" w:name="_Toc352233993"/>
            <w:r w:rsidRPr="002E114F">
              <w:rPr>
                <w:rFonts w:ascii="Tahoma" w:hAnsi="Tahoma" w:cs="Tahoma"/>
                <w:sz w:val="14"/>
                <w:szCs w:val="14"/>
                <w:lang w:val="pt-BR"/>
              </w:rPr>
              <w:t>Assinatura Mensal de 420 Mil Transações de Uso de Site Público do Bing Maps</w:t>
            </w:r>
            <w:bookmarkEnd w:id="152"/>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rPr>
                <w:rFonts w:ascii="Tahoma" w:hAnsi="Tahoma" w:cs="Tahoma"/>
                <w:sz w:val="14"/>
                <w:szCs w:val="14"/>
                <w:lang w:val="pt-BR"/>
              </w:rPr>
            </w:pPr>
            <w:bookmarkStart w:id="153" w:name="_Toc352233994"/>
            <w:r w:rsidRPr="002E114F">
              <w:rPr>
                <w:rFonts w:ascii="Tahoma" w:hAnsi="Tahoma" w:cs="Tahoma"/>
                <w:sz w:val="14"/>
                <w:szCs w:val="14"/>
                <w:lang w:val="pt-BR"/>
              </w:rPr>
              <w:t>Assinatura Mensal de 840 Mil Transações de Uso de Site Público do Bing Maps</w:t>
            </w:r>
            <w:bookmarkEnd w:id="153"/>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rPr>
                <w:rFonts w:ascii="Tahoma" w:hAnsi="Tahoma" w:cs="Tahoma"/>
                <w:sz w:val="14"/>
                <w:szCs w:val="14"/>
                <w:lang w:val="pt-BR"/>
              </w:rPr>
            </w:pPr>
            <w:bookmarkStart w:id="154" w:name="_Toc352233995"/>
            <w:r w:rsidRPr="002E114F">
              <w:rPr>
                <w:rFonts w:ascii="Tahoma" w:hAnsi="Tahoma" w:cs="Tahoma"/>
                <w:sz w:val="14"/>
                <w:szCs w:val="14"/>
                <w:lang w:val="pt-BR"/>
              </w:rPr>
              <w:t>Assinatura Mensal de 2,5 Milhões de</w:t>
            </w:r>
            <w:r w:rsidR="005C0614" w:rsidRPr="002E114F">
              <w:rPr>
                <w:rFonts w:ascii="Tahoma" w:hAnsi="Tahoma" w:cs="Tahoma"/>
                <w:sz w:val="14"/>
                <w:szCs w:val="14"/>
                <w:lang w:val="pt-BR"/>
              </w:rPr>
              <w:t> </w:t>
            </w:r>
            <w:r w:rsidRPr="002E114F">
              <w:rPr>
                <w:rFonts w:ascii="Tahoma" w:hAnsi="Tahoma" w:cs="Tahoma"/>
                <w:sz w:val="14"/>
                <w:szCs w:val="14"/>
                <w:lang w:val="pt-BR"/>
              </w:rPr>
              <w:t>Transações de Uso de Site Público do</w:t>
            </w:r>
            <w:r w:rsidR="005C0614" w:rsidRPr="002E114F">
              <w:rPr>
                <w:rFonts w:ascii="Tahoma" w:hAnsi="Tahoma" w:cs="Tahoma"/>
                <w:sz w:val="14"/>
                <w:szCs w:val="14"/>
                <w:lang w:val="pt-BR"/>
              </w:rPr>
              <w:t> </w:t>
            </w:r>
            <w:r w:rsidRPr="002E114F">
              <w:rPr>
                <w:rFonts w:ascii="Tahoma" w:hAnsi="Tahoma" w:cs="Tahoma"/>
                <w:sz w:val="14"/>
                <w:szCs w:val="14"/>
                <w:lang w:val="pt-BR"/>
              </w:rPr>
              <w:t>Bing</w:t>
            </w:r>
            <w:r w:rsidR="005C0614" w:rsidRPr="002E114F">
              <w:rPr>
                <w:rFonts w:ascii="Tahoma" w:hAnsi="Tahoma" w:cs="Tahoma"/>
                <w:sz w:val="14"/>
                <w:szCs w:val="14"/>
                <w:lang w:val="pt-BR"/>
              </w:rPr>
              <w:t> </w:t>
            </w:r>
            <w:r w:rsidRPr="002E114F">
              <w:rPr>
                <w:rFonts w:ascii="Tahoma" w:hAnsi="Tahoma" w:cs="Tahoma"/>
                <w:sz w:val="14"/>
                <w:szCs w:val="14"/>
                <w:lang w:val="pt-BR"/>
              </w:rPr>
              <w:t>Maps</w:t>
            </w:r>
            <w:bookmarkEnd w:id="154"/>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rPr>
                <w:rFonts w:ascii="Tahoma" w:hAnsi="Tahoma" w:cs="Tahoma"/>
                <w:sz w:val="14"/>
                <w:szCs w:val="14"/>
                <w:lang w:val="pt-BR"/>
              </w:rPr>
            </w:pPr>
            <w:bookmarkStart w:id="155" w:name="_Toc352233996"/>
            <w:r w:rsidRPr="002E114F">
              <w:rPr>
                <w:rFonts w:ascii="Tahoma" w:hAnsi="Tahoma" w:cs="Tahoma"/>
                <w:sz w:val="14"/>
                <w:szCs w:val="14"/>
                <w:lang w:val="pt-BR"/>
              </w:rPr>
              <w:t>Assinatura Mensal de 4,2 Milhões Transações de Uso de Site Público do</w:t>
            </w:r>
            <w:r w:rsidR="005C0614" w:rsidRPr="002E114F">
              <w:rPr>
                <w:rFonts w:ascii="Tahoma" w:hAnsi="Tahoma" w:cs="Tahoma"/>
                <w:sz w:val="14"/>
                <w:szCs w:val="14"/>
                <w:lang w:val="pt-BR"/>
              </w:rPr>
              <w:t> </w:t>
            </w:r>
            <w:r w:rsidRPr="002E114F">
              <w:rPr>
                <w:rFonts w:ascii="Tahoma" w:hAnsi="Tahoma" w:cs="Tahoma"/>
                <w:sz w:val="14"/>
                <w:szCs w:val="14"/>
                <w:lang w:val="pt-BR"/>
              </w:rPr>
              <w:t>Bing</w:t>
            </w:r>
            <w:r w:rsidR="005C0614" w:rsidRPr="002E114F">
              <w:rPr>
                <w:rFonts w:ascii="Tahoma" w:hAnsi="Tahoma" w:cs="Tahoma"/>
                <w:sz w:val="14"/>
                <w:szCs w:val="14"/>
                <w:lang w:val="pt-BR"/>
              </w:rPr>
              <w:t> </w:t>
            </w:r>
            <w:r w:rsidRPr="002E114F">
              <w:rPr>
                <w:rFonts w:ascii="Tahoma" w:hAnsi="Tahoma" w:cs="Tahoma"/>
                <w:sz w:val="14"/>
                <w:szCs w:val="14"/>
                <w:lang w:val="pt-BR"/>
              </w:rPr>
              <w:t>Maps</w:t>
            </w:r>
            <w:bookmarkEnd w:id="155"/>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rPr>
                <w:rFonts w:ascii="Tahoma" w:hAnsi="Tahoma" w:cs="Tahoma"/>
                <w:sz w:val="14"/>
                <w:szCs w:val="14"/>
                <w:lang w:val="pt-BR"/>
              </w:rPr>
            </w:pPr>
            <w:bookmarkStart w:id="156" w:name="_Toc352233997"/>
            <w:r w:rsidRPr="002E114F">
              <w:rPr>
                <w:rFonts w:ascii="Tahoma" w:hAnsi="Tahoma" w:cs="Tahoma"/>
                <w:sz w:val="14"/>
                <w:szCs w:val="14"/>
                <w:lang w:val="pt-BR"/>
              </w:rPr>
              <w:t>Assinatura Mensal de 8,4 Milhões de</w:t>
            </w:r>
            <w:r w:rsidR="005C0614" w:rsidRPr="002E114F">
              <w:rPr>
                <w:rFonts w:ascii="Tahoma" w:hAnsi="Tahoma" w:cs="Tahoma"/>
                <w:sz w:val="14"/>
                <w:szCs w:val="14"/>
                <w:lang w:val="pt-BR"/>
              </w:rPr>
              <w:t> </w:t>
            </w:r>
            <w:r w:rsidRPr="002E114F">
              <w:rPr>
                <w:rFonts w:ascii="Tahoma" w:hAnsi="Tahoma" w:cs="Tahoma"/>
                <w:sz w:val="14"/>
                <w:szCs w:val="14"/>
                <w:lang w:val="pt-BR"/>
              </w:rPr>
              <w:t>Transações de Uso de Site Público do</w:t>
            </w:r>
            <w:r w:rsidR="005C0614" w:rsidRPr="002E114F">
              <w:rPr>
                <w:rFonts w:ascii="Tahoma" w:hAnsi="Tahoma" w:cs="Tahoma"/>
                <w:sz w:val="14"/>
                <w:szCs w:val="14"/>
                <w:lang w:val="pt-BR"/>
              </w:rPr>
              <w:t> </w:t>
            </w:r>
            <w:r w:rsidRPr="002E114F">
              <w:rPr>
                <w:rFonts w:ascii="Tahoma" w:hAnsi="Tahoma" w:cs="Tahoma"/>
                <w:sz w:val="14"/>
                <w:szCs w:val="14"/>
                <w:lang w:val="pt-BR"/>
              </w:rPr>
              <w:t>Bing Maps</w:t>
            </w:r>
            <w:bookmarkEnd w:id="156"/>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rPr>
                <w:rFonts w:ascii="Tahoma" w:hAnsi="Tahoma" w:cs="Tahoma"/>
                <w:sz w:val="14"/>
                <w:szCs w:val="14"/>
                <w:lang w:val="pt-BR"/>
              </w:rPr>
            </w:pPr>
            <w:bookmarkStart w:id="157" w:name="_Toc352233998"/>
            <w:r w:rsidRPr="002E114F">
              <w:rPr>
                <w:rFonts w:ascii="Tahoma" w:hAnsi="Tahoma" w:cs="Tahoma"/>
                <w:sz w:val="14"/>
                <w:szCs w:val="14"/>
                <w:lang w:val="pt-BR"/>
              </w:rPr>
              <w:t>Assinatura Mensal de Transações Ilimitadas de Uso de Site Público do</w:t>
            </w:r>
            <w:r w:rsidR="005C0614" w:rsidRPr="002E114F">
              <w:rPr>
                <w:rFonts w:ascii="Tahoma" w:hAnsi="Tahoma" w:cs="Tahoma"/>
                <w:sz w:val="14"/>
                <w:szCs w:val="14"/>
                <w:lang w:val="pt-BR"/>
              </w:rPr>
              <w:t> </w:t>
            </w:r>
            <w:r w:rsidRPr="002E114F">
              <w:rPr>
                <w:rFonts w:ascii="Tahoma" w:hAnsi="Tahoma" w:cs="Tahoma"/>
                <w:sz w:val="14"/>
                <w:szCs w:val="14"/>
                <w:lang w:val="pt-BR"/>
              </w:rPr>
              <w:t>Bing</w:t>
            </w:r>
            <w:r w:rsidR="005C0614" w:rsidRPr="002E114F">
              <w:rPr>
                <w:rFonts w:ascii="Tahoma" w:hAnsi="Tahoma" w:cs="Tahoma"/>
                <w:sz w:val="14"/>
                <w:szCs w:val="14"/>
                <w:lang w:val="pt-BR"/>
              </w:rPr>
              <w:t> </w:t>
            </w:r>
            <w:r w:rsidRPr="002E114F">
              <w:rPr>
                <w:rFonts w:ascii="Tahoma" w:hAnsi="Tahoma" w:cs="Tahoma"/>
                <w:sz w:val="14"/>
                <w:szCs w:val="14"/>
                <w:lang w:val="pt-BR"/>
              </w:rPr>
              <w:t>Maps</w:t>
            </w:r>
            <w:bookmarkEnd w:id="157"/>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b/>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EE523E">
        <w:trPr>
          <w:cantSplit/>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rPr>
                <w:rFonts w:ascii="Tahoma" w:hAnsi="Tahoma" w:cs="Tahoma"/>
                <w:sz w:val="14"/>
                <w:szCs w:val="14"/>
                <w:lang w:val="pt-BR"/>
              </w:rPr>
            </w:pPr>
            <w:bookmarkStart w:id="158" w:name="_Toc352233999"/>
            <w:r w:rsidRPr="002E114F">
              <w:rPr>
                <w:rFonts w:ascii="Tahoma" w:hAnsi="Tahoma" w:cs="Tahoma"/>
                <w:sz w:val="14"/>
                <w:szCs w:val="14"/>
                <w:lang w:val="pt-BR"/>
              </w:rPr>
              <w:lastRenderedPageBreak/>
              <w:t>Assinatura Mensal de 100 Mil Transações de Uso de Site Interno do Bing Maps</w:t>
            </w:r>
            <w:bookmarkEnd w:id="158"/>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125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125</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keepNext/>
              <w:rPr>
                <w:rFonts w:ascii="Tahoma" w:hAnsi="Tahoma" w:cs="Tahoma"/>
                <w:sz w:val="14"/>
                <w:szCs w:val="14"/>
                <w:lang w:val="pt-BR"/>
              </w:rPr>
            </w:pPr>
            <w:bookmarkStart w:id="159" w:name="_Toc352234000"/>
            <w:r w:rsidRPr="002E114F">
              <w:rPr>
                <w:rFonts w:ascii="Tahoma" w:hAnsi="Tahoma" w:cs="Tahoma"/>
                <w:sz w:val="14"/>
                <w:szCs w:val="14"/>
                <w:lang w:val="pt-BR"/>
              </w:rPr>
              <w:t>Assinatura Mensal de 250 Mil Transações de Uso de Site Interno do Bing Maps</w:t>
            </w:r>
            <w:bookmarkEnd w:id="159"/>
          </w:p>
        </w:tc>
        <w:tc>
          <w:tcPr>
            <w:tcW w:w="450" w:type="dxa"/>
            <w:tcBorders>
              <w:bottom w:val="single" w:sz="4" w:space="0" w:color="auto"/>
            </w:tcBorders>
            <w:shd w:val="clear" w:color="auto" w:fill="FABF8F"/>
            <w:vAlign w:val="center"/>
          </w:tcPr>
          <w:p w:rsidR="001A63C6" w:rsidRPr="00B01D7E" w:rsidRDefault="008719E7" w:rsidP="00A86016">
            <w:pPr>
              <w:keepNext/>
              <w:keepLines/>
              <w:spacing w:before="20" w:after="20"/>
              <w:jc w:val="center"/>
              <w:rPr>
                <w:rFonts w:ascii="Trebuchet MS" w:hAnsi="Trebuchet MS" w:cs="Tahoma"/>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p>
        </w:tc>
        <w:tc>
          <w:tcPr>
            <w:tcW w:w="450" w:type="dxa"/>
            <w:tcBorders>
              <w:bottom w:val="single" w:sz="4" w:space="0" w:color="auto"/>
            </w:tcBorders>
            <w:shd w:val="clear" w:color="auto" w:fill="FABF8F"/>
            <w:vAlign w:val="center"/>
          </w:tcPr>
          <w:p w:rsidR="001A63C6" w:rsidRPr="00416070" w:rsidRDefault="001A63C6" w:rsidP="00A86016">
            <w:pPr>
              <w:keepNext/>
              <w:keepLines/>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60" w:name="_Toc352234001"/>
            <w:r w:rsidRPr="002E114F">
              <w:rPr>
                <w:rFonts w:ascii="Tahoma" w:hAnsi="Tahoma" w:cs="Tahoma"/>
                <w:sz w:val="14"/>
                <w:szCs w:val="14"/>
                <w:lang w:val="pt-BR"/>
              </w:rPr>
              <w:t>Assinatura Mensal de 420 Mil Transações de Uso de Site Interno do Bing Maps</w:t>
            </w:r>
            <w:bookmarkEnd w:id="160"/>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DD7650">
            <w:pPr>
              <w:pStyle w:val="ProductNames"/>
              <w:spacing w:beforeLines="20" w:before="48" w:afterLines="20" w:after="48"/>
              <w:rPr>
                <w:rFonts w:ascii="Tahoma" w:hAnsi="Tahoma" w:cs="Tahoma"/>
                <w:sz w:val="14"/>
                <w:szCs w:val="14"/>
                <w:lang w:val="pt-BR"/>
              </w:rPr>
            </w:pPr>
            <w:bookmarkStart w:id="161" w:name="_Toc352234002"/>
            <w:r w:rsidRPr="002E114F">
              <w:rPr>
                <w:rFonts w:ascii="Tahoma" w:hAnsi="Tahoma" w:cs="Tahoma"/>
                <w:sz w:val="14"/>
                <w:szCs w:val="14"/>
                <w:lang w:val="pt-BR"/>
              </w:rPr>
              <w:t>Assinatura Mensal de 1,</w:t>
            </w:r>
            <w:r w:rsidR="00DD7650" w:rsidRPr="002E114F">
              <w:rPr>
                <w:rFonts w:ascii="Tahoma" w:hAnsi="Tahoma" w:cs="Tahoma"/>
                <w:sz w:val="14"/>
                <w:szCs w:val="14"/>
                <w:lang w:val="pt-BR"/>
              </w:rPr>
              <w:t>2</w:t>
            </w:r>
            <w:r w:rsidRPr="002E114F">
              <w:rPr>
                <w:rFonts w:ascii="Tahoma" w:hAnsi="Tahoma" w:cs="Tahoma"/>
                <w:sz w:val="14"/>
                <w:szCs w:val="14"/>
                <w:lang w:val="pt-BR"/>
              </w:rPr>
              <w:t>5 Milhões de</w:t>
            </w:r>
            <w:r w:rsidR="00DD7650" w:rsidRPr="002E114F">
              <w:rPr>
                <w:rFonts w:ascii="Tahoma" w:hAnsi="Tahoma" w:cs="Tahoma"/>
                <w:sz w:val="14"/>
                <w:szCs w:val="14"/>
                <w:lang w:val="pt-BR"/>
              </w:rPr>
              <w:t> </w:t>
            </w:r>
            <w:r w:rsidRPr="002E114F">
              <w:rPr>
                <w:rFonts w:ascii="Tahoma" w:hAnsi="Tahoma" w:cs="Tahoma"/>
                <w:sz w:val="14"/>
                <w:szCs w:val="14"/>
                <w:lang w:val="pt-BR"/>
              </w:rPr>
              <w:t>Transações de Uso de Site Interno do</w:t>
            </w:r>
            <w:r w:rsidR="00DD7650" w:rsidRPr="002E114F">
              <w:rPr>
                <w:rFonts w:ascii="Tahoma" w:hAnsi="Tahoma" w:cs="Tahoma"/>
                <w:sz w:val="14"/>
                <w:szCs w:val="14"/>
                <w:lang w:val="pt-BR"/>
              </w:rPr>
              <w:t> </w:t>
            </w:r>
            <w:r w:rsidRPr="002E114F">
              <w:rPr>
                <w:rFonts w:ascii="Tahoma" w:hAnsi="Tahoma" w:cs="Tahoma"/>
                <w:sz w:val="14"/>
                <w:szCs w:val="14"/>
                <w:lang w:val="pt-BR"/>
              </w:rPr>
              <w:t>Bing</w:t>
            </w:r>
            <w:r w:rsidR="00A86016" w:rsidRPr="002E114F">
              <w:rPr>
                <w:rFonts w:ascii="Tahoma" w:hAnsi="Tahoma" w:cs="Tahoma"/>
                <w:sz w:val="14"/>
                <w:szCs w:val="14"/>
                <w:lang w:val="pt-BR"/>
              </w:rPr>
              <w:t> </w:t>
            </w:r>
            <w:r w:rsidRPr="002E114F">
              <w:rPr>
                <w:rFonts w:ascii="Tahoma" w:hAnsi="Tahoma" w:cs="Tahoma"/>
                <w:sz w:val="14"/>
                <w:szCs w:val="14"/>
                <w:lang w:val="pt-BR"/>
              </w:rPr>
              <w:t>Maps</w:t>
            </w:r>
            <w:bookmarkEnd w:id="161"/>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62" w:name="_Toc352234003"/>
            <w:r w:rsidRPr="002E114F">
              <w:rPr>
                <w:rFonts w:ascii="Tahoma" w:hAnsi="Tahoma" w:cs="Tahoma"/>
                <w:sz w:val="14"/>
                <w:szCs w:val="14"/>
                <w:lang w:val="pt-BR"/>
              </w:rPr>
              <w:t>Assinatura Mensal de 2,1 Milhões de Transações de Uso de Site Interno do Bing</w:t>
            </w:r>
            <w:r w:rsidR="00A86016" w:rsidRPr="002E114F">
              <w:rPr>
                <w:rFonts w:ascii="Tahoma" w:hAnsi="Tahoma" w:cs="Tahoma"/>
                <w:sz w:val="14"/>
                <w:szCs w:val="14"/>
                <w:lang w:val="pt-BR"/>
              </w:rPr>
              <w:t> </w:t>
            </w:r>
            <w:r w:rsidRPr="002E114F">
              <w:rPr>
                <w:rFonts w:ascii="Tahoma" w:hAnsi="Tahoma" w:cs="Tahoma"/>
                <w:sz w:val="14"/>
                <w:szCs w:val="14"/>
                <w:lang w:val="pt-BR"/>
              </w:rPr>
              <w:t>Maps</w:t>
            </w:r>
            <w:bookmarkEnd w:id="162"/>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EC2258">
            <w:pPr>
              <w:pStyle w:val="ProductNames"/>
              <w:spacing w:beforeLines="20" w:before="48" w:afterLines="20" w:after="48"/>
              <w:rPr>
                <w:rFonts w:ascii="Tahoma" w:hAnsi="Tahoma" w:cs="Tahoma"/>
                <w:sz w:val="14"/>
                <w:szCs w:val="14"/>
                <w:lang w:val="pt-BR"/>
              </w:rPr>
            </w:pPr>
            <w:bookmarkStart w:id="163" w:name="_Toc352234004"/>
            <w:r w:rsidRPr="002E114F">
              <w:rPr>
                <w:rFonts w:ascii="Tahoma" w:hAnsi="Tahoma" w:cs="Tahoma"/>
                <w:sz w:val="14"/>
                <w:szCs w:val="14"/>
                <w:lang w:val="pt-BR"/>
              </w:rPr>
              <w:t>Assinatura Mensal de Transações Ilimitadas de Uso de Site Interno do</w:t>
            </w:r>
            <w:r w:rsidR="00EC2258" w:rsidRPr="002E114F">
              <w:rPr>
                <w:rFonts w:ascii="Tahoma" w:hAnsi="Tahoma" w:cs="Tahoma"/>
                <w:sz w:val="14"/>
                <w:szCs w:val="14"/>
                <w:lang w:val="pt-BR"/>
              </w:rPr>
              <w:t> </w:t>
            </w:r>
            <w:r w:rsidRPr="002E114F">
              <w:rPr>
                <w:rFonts w:ascii="Tahoma" w:hAnsi="Tahoma" w:cs="Tahoma"/>
                <w:sz w:val="14"/>
                <w:szCs w:val="14"/>
                <w:lang w:val="pt-BR"/>
              </w:rPr>
              <w:t>Bing</w:t>
            </w:r>
            <w:r w:rsidR="00A86016" w:rsidRPr="002E114F">
              <w:rPr>
                <w:rFonts w:ascii="Tahoma" w:hAnsi="Tahoma" w:cs="Tahoma"/>
                <w:sz w:val="14"/>
                <w:szCs w:val="14"/>
                <w:lang w:val="pt-BR"/>
              </w:rPr>
              <w:t> </w:t>
            </w:r>
            <w:r w:rsidRPr="002E114F">
              <w:rPr>
                <w:rFonts w:ascii="Tahoma" w:hAnsi="Tahoma" w:cs="Tahoma"/>
                <w:sz w:val="14"/>
                <w:szCs w:val="14"/>
                <w:lang w:val="pt-BR"/>
              </w:rPr>
              <w:t>Maps</w:t>
            </w:r>
            <w:bookmarkEnd w:id="163"/>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E7D7C" w:rsidP="001E7D7C">
            <w:pPr>
              <w:pStyle w:val="ProductNames"/>
              <w:spacing w:beforeLines="20" w:before="48" w:afterLines="20" w:after="48"/>
              <w:rPr>
                <w:rFonts w:ascii="Tahoma" w:hAnsi="Tahoma" w:cs="Tahoma"/>
                <w:sz w:val="14"/>
                <w:szCs w:val="14"/>
                <w:lang w:val="pt-BR"/>
              </w:rPr>
            </w:pPr>
            <w:bookmarkStart w:id="164" w:name="_Toc352234005"/>
            <w:r>
              <w:rPr>
                <w:rFonts w:ascii="Tahoma" w:hAnsi="Tahoma" w:cs="Tahoma"/>
                <w:sz w:val="14"/>
                <w:szCs w:val="14"/>
                <w:lang w:val="pt-BR"/>
              </w:rPr>
              <w:t>Bing Maps</w:t>
            </w:r>
            <w:r w:rsidR="001A63C6" w:rsidRPr="002E114F">
              <w:rPr>
                <w:rFonts w:ascii="Tahoma" w:hAnsi="Tahoma" w:cs="Tahoma"/>
                <w:sz w:val="14"/>
                <w:szCs w:val="14"/>
                <w:lang w:val="pt-BR"/>
              </w:rPr>
              <w:t xml:space="preserve"> por Assinatura Mensal de Usuários</w:t>
            </w:r>
            <w:r>
              <w:rPr>
                <w:rFonts w:ascii="Tahoma" w:hAnsi="Tahoma" w:cs="Tahoma"/>
                <w:sz w:val="14"/>
                <w:szCs w:val="14"/>
                <w:lang w:val="pt-BR"/>
              </w:rPr>
              <w:t xml:space="preserve"> </w:t>
            </w:r>
            <w:r w:rsidRPr="001E7D7C">
              <w:rPr>
                <w:rFonts w:ascii="Tahoma" w:hAnsi="Tahoma" w:cs="Tahoma"/>
                <w:sz w:val="14"/>
                <w:szCs w:val="14"/>
                <w:lang w:val="pt-BR"/>
              </w:rPr>
              <w:t>Conhecidos</w:t>
            </w:r>
            <w:bookmarkEnd w:id="164"/>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E907DA" w:rsidP="00E907DA">
            <w:pPr>
              <w:pStyle w:val="ProductNames"/>
              <w:spacing w:beforeLines="20" w:before="48" w:afterLines="20" w:after="48"/>
              <w:rPr>
                <w:rFonts w:ascii="Tahoma" w:hAnsi="Tahoma" w:cs="Tahoma"/>
                <w:sz w:val="14"/>
                <w:szCs w:val="14"/>
                <w:lang w:val="pt-BR"/>
              </w:rPr>
            </w:pPr>
            <w:bookmarkStart w:id="165" w:name="_Toc352234006"/>
            <w:r>
              <w:rPr>
                <w:rFonts w:ascii="Tahoma" w:hAnsi="Tahoma" w:cs="Tahoma"/>
                <w:sz w:val="14"/>
                <w:szCs w:val="14"/>
                <w:lang w:val="pt-BR"/>
              </w:rPr>
              <w:t>Bing Maps</w:t>
            </w:r>
            <w:r w:rsidR="001A63C6" w:rsidRPr="002E114F">
              <w:rPr>
                <w:rFonts w:ascii="Tahoma" w:hAnsi="Tahoma" w:cs="Tahoma"/>
                <w:sz w:val="14"/>
                <w:szCs w:val="14"/>
                <w:lang w:val="pt-BR"/>
              </w:rPr>
              <w:t xml:space="preserve"> por Assinatura Mensal de Pacote de 5 Mil Usuários</w:t>
            </w:r>
            <w:r w:rsidR="0020386A">
              <w:rPr>
                <w:rFonts w:ascii="Tahoma" w:hAnsi="Tahoma" w:cs="Tahoma"/>
                <w:sz w:val="14"/>
                <w:szCs w:val="14"/>
                <w:lang w:val="pt-BR"/>
              </w:rPr>
              <w:t xml:space="preserve"> </w:t>
            </w:r>
            <w:r w:rsidR="0020386A" w:rsidRPr="0041202A">
              <w:rPr>
                <w:rFonts w:ascii="Tahoma" w:hAnsi="Tahoma" w:cs="Tahoma"/>
                <w:sz w:val="14"/>
                <w:szCs w:val="14"/>
                <w:lang w:val="pt-BR"/>
              </w:rPr>
              <w:t>Conhecidos</w:t>
            </w:r>
            <w:bookmarkEnd w:id="165"/>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200</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66" w:name="_Toc352234007"/>
            <w:r w:rsidRPr="002E114F">
              <w:rPr>
                <w:rFonts w:ascii="Tahoma" w:hAnsi="Tahoma" w:cs="Tahoma"/>
                <w:sz w:val="14"/>
                <w:szCs w:val="14"/>
                <w:lang w:val="pt-BR"/>
              </w:rPr>
              <w:t>Bing Maps Light Conhecido por Assinatura Mensal de Usuários</w:t>
            </w:r>
            <w:bookmarkEnd w:id="166"/>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67" w:name="_Toc352234008"/>
            <w:r w:rsidRPr="002E114F">
              <w:rPr>
                <w:rFonts w:ascii="Tahoma" w:hAnsi="Tahoma" w:cs="Tahoma"/>
                <w:sz w:val="14"/>
                <w:szCs w:val="14"/>
                <w:lang w:val="pt-BR"/>
              </w:rPr>
              <w:t>Bing Maps Light Conhecido por Assinatura Mensal de Pacote de 5 Mil Usuários</w:t>
            </w:r>
            <w:bookmarkEnd w:id="167"/>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125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125</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68" w:name="_Toc352234009"/>
            <w:r w:rsidRPr="002E114F">
              <w:rPr>
                <w:rFonts w:ascii="Tahoma" w:hAnsi="Tahoma" w:cs="Tahoma"/>
                <w:sz w:val="14"/>
                <w:szCs w:val="14"/>
                <w:lang w:val="pt-BR"/>
              </w:rPr>
              <w:t>Assinatura Mensal de Tarifa por Plataforma de Gerenciamento de Ativos Móveis do Bing Maps</w:t>
            </w:r>
            <w:bookmarkEnd w:id="168"/>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50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50</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69" w:name="_Toc352234010"/>
            <w:r w:rsidRPr="002E114F">
              <w:rPr>
                <w:rFonts w:ascii="Tahoma" w:hAnsi="Tahoma" w:cs="Tahoma"/>
                <w:sz w:val="14"/>
                <w:szCs w:val="14"/>
                <w:lang w:val="pt-BR"/>
              </w:rPr>
              <w:t xml:space="preserve">Gerenciamento de Ativos Móveis do Bing Maps </w:t>
            </w:r>
            <w:r w:rsidR="004200AA" w:rsidRPr="004200AA">
              <w:rPr>
                <w:rFonts w:ascii="Tahoma" w:hAnsi="Tahoma" w:cs="Tahoma"/>
                <w:sz w:val="14"/>
                <w:szCs w:val="14"/>
                <w:lang w:val="pt-BR"/>
              </w:rPr>
              <w:t>(América do Norte)</w:t>
            </w:r>
            <w:r w:rsidRPr="002E114F">
              <w:rPr>
                <w:rFonts w:ascii="Tahoma" w:hAnsi="Tahoma" w:cs="Tahoma"/>
                <w:sz w:val="14"/>
                <w:szCs w:val="14"/>
                <w:lang w:val="pt-BR"/>
              </w:rPr>
              <w:t xml:space="preserve"> com roteamento por Assinatura Mensal de Ativos</w:t>
            </w:r>
            <w:bookmarkEnd w:id="169"/>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1</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70" w:name="_Toc352234011"/>
            <w:r w:rsidRPr="002E114F">
              <w:rPr>
                <w:rFonts w:ascii="Tahoma" w:hAnsi="Tahoma" w:cs="Tahoma"/>
                <w:sz w:val="14"/>
                <w:szCs w:val="14"/>
                <w:lang w:val="pt-BR"/>
              </w:rPr>
              <w:t xml:space="preserve">Gerenciamento de Ativos Móveis do Bing Maps </w:t>
            </w:r>
            <w:r w:rsidR="003B3DC6" w:rsidRPr="003B3DC6">
              <w:rPr>
                <w:rFonts w:ascii="Tahoma" w:hAnsi="Tahoma" w:cs="Tahoma"/>
                <w:sz w:val="14"/>
                <w:szCs w:val="14"/>
                <w:lang w:val="pt-BR"/>
              </w:rPr>
              <w:t>(América do Norte)</w:t>
            </w:r>
            <w:r w:rsidRPr="002E114F">
              <w:rPr>
                <w:rFonts w:ascii="Tahoma" w:hAnsi="Tahoma" w:cs="Tahoma"/>
                <w:sz w:val="14"/>
                <w:szCs w:val="14"/>
                <w:lang w:val="pt-BR"/>
              </w:rPr>
              <w:t xml:space="preserve"> sem roteamento por Assinatura Mensal de Ativos</w:t>
            </w:r>
            <w:bookmarkEnd w:id="170"/>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71" w:name="_Toc352234012"/>
            <w:r w:rsidRPr="002E114F">
              <w:rPr>
                <w:rFonts w:ascii="Tahoma" w:hAnsi="Tahoma" w:cs="Tahoma"/>
                <w:sz w:val="14"/>
                <w:szCs w:val="14"/>
                <w:lang w:val="pt-BR"/>
              </w:rPr>
              <w:t>Gerenciamento de Ativos Móveis do Bing</w:t>
            </w:r>
            <w:r w:rsidR="00A86016" w:rsidRPr="002E114F">
              <w:rPr>
                <w:rFonts w:ascii="Tahoma" w:hAnsi="Tahoma" w:cs="Tahoma"/>
                <w:sz w:val="14"/>
                <w:szCs w:val="14"/>
                <w:lang w:val="pt-BR"/>
              </w:rPr>
              <w:t> </w:t>
            </w:r>
            <w:r w:rsidRPr="002E114F">
              <w:rPr>
                <w:rFonts w:ascii="Tahoma" w:hAnsi="Tahoma" w:cs="Tahoma"/>
                <w:sz w:val="14"/>
                <w:szCs w:val="14"/>
                <w:lang w:val="pt-BR"/>
              </w:rPr>
              <w:t xml:space="preserve">Maps </w:t>
            </w:r>
            <w:r w:rsidR="001C409B" w:rsidRPr="001C409B">
              <w:rPr>
                <w:rFonts w:ascii="Tahoma" w:hAnsi="Tahoma" w:cs="Tahoma"/>
                <w:sz w:val="14"/>
                <w:szCs w:val="14"/>
                <w:lang w:val="pt-BR"/>
              </w:rPr>
              <w:t>(Europa)</w:t>
            </w:r>
            <w:r w:rsidRPr="002E114F">
              <w:rPr>
                <w:rFonts w:ascii="Tahoma" w:hAnsi="Tahoma" w:cs="Tahoma"/>
                <w:sz w:val="14"/>
                <w:szCs w:val="14"/>
                <w:lang w:val="pt-BR"/>
              </w:rPr>
              <w:t xml:space="preserve"> com roteamento por</w:t>
            </w:r>
            <w:r w:rsidR="00A86016" w:rsidRPr="002E114F">
              <w:rPr>
                <w:rFonts w:ascii="Tahoma" w:hAnsi="Tahoma" w:cs="Tahoma"/>
                <w:sz w:val="14"/>
                <w:szCs w:val="14"/>
                <w:lang w:val="pt-BR"/>
              </w:rPr>
              <w:t> </w:t>
            </w:r>
            <w:r w:rsidRPr="002E114F">
              <w:rPr>
                <w:rFonts w:ascii="Tahoma" w:hAnsi="Tahoma" w:cs="Tahoma"/>
                <w:sz w:val="14"/>
                <w:szCs w:val="14"/>
                <w:lang w:val="pt-BR"/>
              </w:rPr>
              <w:t>Assinatura Mensal de Ativos</w:t>
            </w:r>
            <w:bookmarkEnd w:id="171"/>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1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4"/>
              </w:rPr>
              <w:t>1</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72" w:name="_Toc352234013"/>
            <w:r w:rsidRPr="002E114F">
              <w:rPr>
                <w:rFonts w:ascii="Tahoma" w:hAnsi="Tahoma" w:cs="Tahoma"/>
                <w:sz w:val="14"/>
                <w:szCs w:val="14"/>
                <w:lang w:val="pt-BR"/>
              </w:rPr>
              <w:t>Gerenciamento de Ativos Móveis do Bing</w:t>
            </w:r>
            <w:r w:rsidR="00A86016" w:rsidRPr="002E114F">
              <w:rPr>
                <w:rFonts w:ascii="Tahoma" w:hAnsi="Tahoma" w:cs="Tahoma"/>
                <w:sz w:val="14"/>
                <w:szCs w:val="14"/>
                <w:lang w:val="pt-BR"/>
              </w:rPr>
              <w:t> </w:t>
            </w:r>
            <w:r w:rsidRPr="002E114F">
              <w:rPr>
                <w:rFonts w:ascii="Tahoma" w:hAnsi="Tahoma" w:cs="Tahoma"/>
                <w:sz w:val="14"/>
                <w:szCs w:val="14"/>
                <w:lang w:val="pt-BR"/>
              </w:rPr>
              <w:t xml:space="preserve">Maps </w:t>
            </w:r>
            <w:r w:rsidR="001C409B" w:rsidRPr="001C409B">
              <w:rPr>
                <w:rFonts w:ascii="Tahoma" w:hAnsi="Tahoma" w:cs="Tahoma"/>
                <w:sz w:val="14"/>
                <w:szCs w:val="14"/>
                <w:lang w:val="pt-BR"/>
              </w:rPr>
              <w:t>(Europa)</w:t>
            </w:r>
            <w:r w:rsidRPr="002E114F">
              <w:rPr>
                <w:rFonts w:ascii="Tahoma" w:hAnsi="Tahoma" w:cs="Tahoma"/>
                <w:sz w:val="14"/>
                <w:szCs w:val="14"/>
                <w:lang w:val="pt-BR"/>
              </w:rPr>
              <w:t xml:space="preserve"> sem roteamento por</w:t>
            </w:r>
            <w:r w:rsidR="00A86016" w:rsidRPr="002E114F">
              <w:rPr>
                <w:rFonts w:ascii="Tahoma" w:hAnsi="Tahoma" w:cs="Tahoma"/>
                <w:sz w:val="14"/>
                <w:szCs w:val="14"/>
                <w:lang w:val="pt-BR"/>
              </w:rPr>
              <w:t> </w:t>
            </w:r>
            <w:r w:rsidRPr="002E114F">
              <w:rPr>
                <w:rFonts w:ascii="Tahoma" w:hAnsi="Tahoma" w:cs="Tahoma"/>
                <w:sz w:val="14"/>
                <w:szCs w:val="14"/>
                <w:lang w:val="pt-BR"/>
              </w:rPr>
              <w:t>Assinatura Mensal de Ativos</w:t>
            </w:r>
            <w:bookmarkEnd w:id="172"/>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Fonts w:ascii="Trebuchet MS" w:hAnsi="Trebuchet MS"/>
                <w:b/>
                <w:sz w:val="13"/>
                <w:szCs w:val="13"/>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4"/>
              </w:rPr>
              <w:t>1</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4"/>
              </w:rPr>
            </w:pPr>
            <w:r w:rsidRPr="00416070">
              <w:rPr>
                <w:rFonts w:cs="Tahoma"/>
                <w:sz w:val="13"/>
              </w:rPr>
              <w:t>LO/OV</w:t>
            </w: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sz w:val="14"/>
                <w:szCs w:val="14"/>
              </w:rPr>
            </w:pPr>
            <w:bookmarkStart w:id="173" w:name="_Toc336337910"/>
            <w:bookmarkStart w:id="174" w:name="_Toc352234014"/>
            <w:r w:rsidRPr="005C0614">
              <w:rPr>
                <w:rFonts w:ascii="Tahoma" w:hAnsi="Tahoma" w:cs="Tahoma"/>
                <w:sz w:val="14"/>
                <w:szCs w:val="14"/>
              </w:rPr>
              <w:t>CAL do Bing Maps Server</w:t>
            </w:r>
            <w:bookmarkEnd w:id="173"/>
            <w:bookmarkEnd w:id="174"/>
          </w:p>
        </w:tc>
        <w:tc>
          <w:tcPr>
            <w:tcW w:w="450" w:type="dxa"/>
            <w:tcBorders>
              <w:bottom w:val="single" w:sz="4" w:space="0" w:color="auto"/>
            </w:tcBorders>
            <w:shd w:val="clear" w:color="auto" w:fill="FABF8F"/>
            <w:vAlign w:val="center"/>
          </w:tcPr>
          <w:p w:rsidR="001A63C6" w:rsidRPr="00B01D7E" w:rsidRDefault="008719E7" w:rsidP="00CE54BA">
            <w:pPr>
              <w:spacing w:before="20" w:after="20"/>
              <w:jc w:val="center"/>
              <w:rPr>
                <w:rStyle w:val="EndnoteReference"/>
                <w:b w:val="0"/>
                <w:sz w:val="13"/>
                <w:szCs w:val="13"/>
                <w:u w:val="single"/>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1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1</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A</w:t>
            </w: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3"/>
              <w:spacing w:beforeLines="20" w:before="48" w:afterLines="20" w:after="48"/>
              <w:rPr>
                <w:rFonts w:ascii="Tahoma" w:hAnsi="Tahoma" w:cs="Tahoma"/>
                <w:b w:val="0"/>
                <w:sz w:val="14"/>
                <w:szCs w:val="14"/>
              </w:rPr>
            </w:pPr>
            <w:bookmarkStart w:id="175" w:name="_Toc315288746"/>
            <w:bookmarkStart w:id="176" w:name="_Toc336337912"/>
            <w:bookmarkStart w:id="177" w:name="_Toc352234015"/>
            <w:r w:rsidRPr="005C0614">
              <w:rPr>
                <w:rFonts w:ascii="Tahoma" w:hAnsi="Tahoma" w:cs="Tahoma"/>
                <w:b w:val="0"/>
                <w:sz w:val="14"/>
                <w:szCs w:val="14"/>
              </w:rPr>
              <w:t>CAL do Bing Maps Server com Pacote de</w:t>
            </w:r>
            <w:r w:rsidR="00A86016" w:rsidRPr="005C0614">
              <w:rPr>
                <w:rFonts w:ascii="Tahoma" w:hAnsi="Tahoma" w:cs="Tahoma"/>
                <w:sz w:val="14"/>
                <w:szCs w:val="14"/>
              </w:rPr>
              <w:t> </w:t>
            </w:r>
            <w:r w:rsidRPr="005C0614">
              <w:rPr>
                <w:rFonts w:ascii="Tahoma" w:hAnsi="Tahoma" w:cs="Tahoma"/>
                <w:b w:val="0"/>
                <w:sz w:val="14"/>
                <w:szCs w:val="14"/>
              </w:rPr>
              <w:t>Conteúdo Aprimorado</w:t>
            </w:r>
            <w:bookmarkEnd w:id="175"/>
            <w:bookmarkEnd w:id="176"/>
            <w:bookmarkEnd w:id="177"/>
          </w:p>
        </w:tc>
        <w:tc>
          <w:tcPr>
            <w:tcW w:w="450" w:type="dxa"/>
            <w:tcBorders>
              <w:bottom w:val="single" w:sz="4" w:space="0" w:color="auto"/>
            </w:tcBorders>
            <w:shd w:val="clear" w:color="auto" w:fill="auto"/>
            <w:vAlign w:val="center"/>
          </w:tcPr>
          <w:p w:rsidR="001A63C6" w:rsidRPr="00B01D7E" w:rsidRDefault="008719E7" w:rsidP="00CE54BA">
            <w:pPr>
              <w:spacing w:before="20" w:after="20"/>
              <w:jc w:val="center"/>
              <w:rPr>
                <w:rStyle w:val="EndnoteReference"/>
                <w:b w:val="0"/>
                <w:sz w:val="13"/>
                <w:szCs w:val="13"/>
                <w:u w:val="single"/>
              </w:rPr>
            </w:pPr>
            <w:hyperlink w:anchor="Srv_27BingMapsSvrandContentPack" w:history="1">
              <w:r w:rsidR="005B0EC7" w:rsidRPr="00B01D7E">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r w:rsidRPr="00416070">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r w:rsidRPr="00416070">
              <w:rPr>
                <w:rFonts w:cs="Tahoma"/>
                <w:sz w:val="13"/>
              </w:rPr>
              <w:t>27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r w:rsidRPr="00416070">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r w:rsidRPr="00416070">
              <w:rPr>
                <w:rFonts w:cs="Tahoma"/>
                <w:sz w:val="13"/>
              </w:rPr>
              <w:t>A</w:t>
            </w: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sz w:val="14"/>
                <w:szCs w:val="14"/>
              </w:rPr>
            </w:pPr>
            <w:bookmarkStart w:id="178" w:name="_Toc315288747"/>
            <w:bookmarkStart w:id="179" w:name="_Toc336337913"/>
            <w:bookmarkStart w:id="180" w:name="_Toc352234016"/>
            <w:r w:rsidRPr="005C0614">
              <w:rPr>
                <w:rFonts w:ascii="Tahoma" w:hAnsi="Tahoma"/>
                <w:sz w:val="14"/>
                <w:szCs w:val="14"/>
              </w:rPr>
              <w:t xml:space="preserve">Bing Maps Standard ou Professional </w:t>
            </w:r>
            <w:r w:rsidR="00A86016" w:rsidRPr="005C0614">
              <w:rPr>
                <w:rFonts w:ascii="Tahoma" w:hAnsi="Tahoma"/>
                <w:sz w:val="14"/>
                <w:szCs w:val="14"/>
              </w:rPr>
              <w:br/>
            </w:r>
            <w:r w:rsidRPr="005C0614">
              <w:rPr>
                <w:rFonts w:ascii="Tahoma" w:hAnsi="Tahoma"/>
                <w:sz w:val="14"/>
                <w:szCs w:val="14"/>
              </w:rPr>
              <w:t>(SL de Usuário)</w:t>
            </w:r>
            <w:bookmarkEnd w:id="178"/>
            <w:bookmarkEnd w:id="179"/>
            <w:bookmarkEnd w:id="180"/>
          </w:p>
        </w:tc>
        <w:tc>
          <w:tcPr>
            <w:tcW w:w="450" w:type="dxa"/>
            <w:tcBorders>
              <w:bottom w:val="single" w:sz="4" w:space="0" w:color="auto"/>
            </w:tcBorders>
            <w:shd w:val="clear" w:color="auto" w:fill="FABF8F"/>
            <w:vAlign w:val="center"/>
          </w:tcPr>
          <w:p w:rsidR="001A63C6" w:rsidRPr="00B01D7E" w:rsidRDefault="001A63C6" w:rsidP="00CE54BA">
            <w:pPr>
              <w:spacing w:before="20" w:after="20"/>
              <w:jc w:val="center"/>
              <w:rPr>
                <w:rStyle w:val="EndnoteReference"/>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1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P</w:t>
            </w:r>
          </w:p>
        </w:tc>
        <w:tc>
          <w:tcPr>
            <w:tcW w:w="63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FABF8F"/>
            <w:vAlign w:val="center"/>
          </w:tcPr>
          <w:p w:rsidR="001A63C6" w:rsidRPr="00416070" w:rsidRDefault="001A63C6" w:rsidP="00CE54BA">
            <w:pPr>
              <w:spacing w:before="20" w:after="20"/>
              <w:jc w:val="center"/>
              <w:rPr>
                <w:rFonts w:cs="Tahoma"/>
                <w:sz w:val="13"/>
              </w:rPr>
            </w:pPr>
            <w:r w:rsidRPr="00416070">
              <w:rPr>
                <w:rFonts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sz w:val="14"/>
                <w:szCs w:val="14"/>
              </w:rPr>
            </w:pPr>
            <w:bookmarkStart w:id="181" w:name="_Toc336337914"/>
            <w:bookmarkStart w:id="182" w:name="_Toc352234017"/>
            <w:r w:rsidRPr="005C0614">
              <w:rPr>
                <w:rFonts w:ascii="Tahoma" w:hAnsi="Tahoma"/>
                <w:sz w:val="14"/>
                <w:szCs w:val="14"/>
              </w:rPr>
              <w:t>Bing Maps Standard (SL de Serviços)</w:t>
            </w:r>
            <w:bookmarkEnd w:id="181"/>
            <w:bookmarkEnd w:id="182"/>
          </w:p>
        </w:tc>
        <w:tc>
          <w:tcPr>
            <w:tcW w:w="450" w:type="dxa"/>
            <w:tcBorders>
              <w:bottom w:val="single" w:sz="4" w:space="0" w:color="auto"/>
            </w:tcBorders>
            <w:shd w:val="clear" w:color="auto" w:fill="auto"/>
            <w:vAlign w:val="center"/>
          </w:tcPr>
          <w:p w:rsidR="001A63C6" w:rsidRPr="00B01D7E" w:rsidRDefault="001A63C6" w:rsidP="00CE54BA">
            <w:pPr>
              <w:spacing w:before="20" w:after="20"/>
              <w:jc w:val="center"/>
              <w:rPr>
                <w:rStyle w:val="EndnoteReference"/>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r w:rsidRPr="00416070">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pPr>
            <w:r w:rsidRPr="00416070">
              <w:rPr>
                <w:rFonts w:cs="Tahoma"/>
                <w:sz w:val="13"/>
              </w:rPr>
              <w:t>75 ponto</w:t>
            </w:r>
          </w:p>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r w:rsidRPr="00416070">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spacing w:before="20" w:after="20"/>
              <w:jc w:val="center"/>
              <w:rPr>
                <w:rFonts w:cs="Tahoma"/>
                <w:sz w:val="13"/>
              </w:rPr>
            </w:pPr>
            <w:r w:rsidRPr="00416070">
              <w:rPr>
                <w:rFonts w:cs="Tahoma"/>
                <w:sz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p>
        </w:tc>
        <w:tc>
          <w:tcPr>
            <w:tcW w:w="450" w:type="dxa"/>
            <w:tcBorders>
              <w:bottom w:val="single" w:sz="4" w:space="0" w:color="auto"/>
            </w:tcBorders>
            <w:shd w:val="clear" w:color="auto" w:fill="auto"/>
            <w:vAlign w:val="center"/>
          </w:tcPr>
          <w:p w:rsidR="001A63C6" w:rsidRPr="00416070" w:rsidRDefault="001A63C6" w:rsidP="00CE54BA">
            <w:pPr>
              <w:spacing w:before="20" w:after="20"/>
              <w:jc w:val="center"/>
              <w:rPr>
                <w:rFonts w:cs="Tahoma"/>
                <w:sz w:val="13"/>
              </w:rPr>
            </w:pPr>
            <w:r w:rsidRPr="00416070">
              <w:rPr>
                <w:rFonts w:cs="Tahoma"/>
                <w:sz w:val="13"/>
              </w:rPr>
              <w:t>LO/OV</w:t>
            </w:r>
          </w:p>
        </w:tc>
      </w:tr>
      <w:tr w:rsidR="00B33D0E" w:rsidRPr="00416070" w:rsidTr="005C0614">
        <w:trPr>
          <w:trHeight w:val="64"/>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183" w:name="_Toc336337919"/>
            <w:bookmarkStart w:id="184" w:name="_Toc352234018"/>
            <w:r w:rsidRPr="005C0614">
              <w:rPr>
                <w:rFonts w:ascii="Tahoma" w:hAnsi="Tahoma" w:cs="Tahoma"/>
                <w:sz w:val="14"/>
                <w:szCs w:val="14"/>
              </w:rPr>
              <w:t>BizTalk</w:t>
            </w:r>
            <w:r w:rsidR="00510A6E" w:rsidRPr="005C0614">
              <w:rPr>
                <w:rFonts w:cs="Tahoma"/>
                <w:sz w:val="14"/>
                <w:szCs w:val="14"/>
                <w:vertAlign w:val="superscript"/>
              </w:rPr>
              <w:t>®</w:t>
            </w:r>
            <w:r w:rsidRPr="005C0614">
              <w:rPr>
                <w:rFonts w:ascii="Tahoma" w:hAnsi="Tahoma" w:cs="Tahoma"/>
                <w:sz w:val="14"/>
                <w:szCs w:val="14"/>
              </w:rPr>
              <w:t xml:space="preserve"> Server 2013 Branch Edition</w:t>
            </w:r>
            <w:bookmarkEnd w:id="183"/>
            <w:bookmarkEnd w:id="184"/>
            <w:r w:rsidRPr="005C0614">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31_BizTalk_Server®" w:history="1">
              <w:r w:rsidR="005B0EC7" w:rsidRPr="00B01D7E">
                <w:rPr>
                  <w:rStyle w:val="Hyperlink"/>
                  <w:rFonts w:cs="Tahoma"/>
                  <w:b/>
                  <w:sz w:val="13"/>
                  <w:szCs w:val="13"/>
                </w:rPr>
                <w:t>31</w:t>
              </w:r>
            </w:hyperlink>
            <w:hyperlink w:anchor="Srv_26_BizTalkServerBranch" w:history="1"/>
          </w:p>
        </w:tc>
        <w:tc>
          <w:tcPr>
            <w:tcW w:w="450" w:type="dxa"/>
            <w:tcBorders>
              <w:bottom w:val="single" w:sz="4" w:space="0" w:color="auto"/>
            </w:tcBorders>
            <w:shd w:val="clear" w:color="auto" w:fill="FABF8F"/>
            <w:vAlign w:val="center"/>
          </w:tcPr>
          <w:p w:rsidR="001A63C6" w:rsidRPr="00416070" w:rsidRDefault="002B327C"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63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185" w:name="_Toc336337920"/>
            <w:bookmarkStart w:id="186" w:name="_Toc352234019"/>
            <w:r w:rsidRPr="005C0614">
              <w:rPr>
                <w:rFonts w:ascii="Tahoma" w:hAnsi="Tahoma" w:cs="Tahoma"/>
                <w:sz w:val="14"/>
                <w:szCs w:val="14"/>
              </w:rPr>
              <w:t>BizTalk</w:t>
            </w:r>
            <w:r w:rsidR="00510A6E" w:rsidRPr="005C0614">
              <w:rPr>
                <w:rFonts w:cs="Tahoma"/>
                <w:sz w:val="14"/>
                <w:szCs w:val="14"/>
                <w:vertAlign w:val="superscript"/>
              </w:rPr>
              <w:t>®</w:t>
            </w:r>
            <w:r w:rsidRPr="005C0614">
              <w:rPr>
                <w:rFonts w:ascii="Tahoma" w:hAnsi="Tahoma" w:cs="Tahoma"/>
                <w:sz w:val="14"/>
                <w:szCs w:val="14"/>
              </w:rPr>
              <w:t xml:space="preserve"> Server 2013 Enterprise Edition</w:t>
            </w:r>
            <w:bookmarkEnd w:id="185"/>
            <w:bookmarkEnd w:id="186"/>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32_BizTalk_Server®" w:history="1">
              <w:r w:rsidR="00136585" w:rsidRPr="00B01D7E">
                <w:rPr>
                  <w:rStyle w:val="Hyperlink"/>
                  <w:rFonts w:cs="Tahoma"/>
                  <w:b/>
                  <w:sz w:val="13"/>
                  <w:szCs w:val="13"/>
                </w:rPr>
                <w:t>32</w:t>
              </w:r>
            </w:hyperlink>
          </w:p>
        </w:tc>
        <w:tc>
          <w:tcPr>
            <w:tcW w:w="450" w:type="dxa"/>
            <w:tcBorders>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400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LO/OV</w:t>
            </w:r>
          </w:p>
        </w:tc>
      </w:tr>
      <w:tr w:rsidR="002B327C" w:rsidRPr="00416070" w:rsidTr="005C0614">
        <w:trPr>
          <w:trHeight w:val="145"/>
        </w:trPr>
        <w:tc>
          <w:tcPr>
            <w:tcW w:w="2734" w:type="dxa"/>
            <w:gridSpan w:val="2"/>
            <w:tcBorders>
              <w:bottom w:val="single" w:sz="4" w:space="0" w:color="auto"/>
            </w:tcBorders>
            <w:shd w:val="clear" w:color="auto" w:fill="FABF8F"/>
            <w:vAlign w:val="center"/>
          </w:tcPr>
          <w:p w:rsidR="002B327C" w:rsidRPr="005C0614" w:rsidRDefault="002B327C" w:rsidP="005C0614">
            <w:pPr>
              <w:pStyle w:val="ProductNames"/>
              <w:spacing w:beforeLines="20" w:before="48" w:afterLines="20" w:after="48"/>
              <w:rPr>
                <w:rFonts w:ascii="Tahoma" w:hAnsi="Tahoma" w:cs="Tahoma"/>
                <w:sz w:val="14"/>
                <w:szCs w:val="14"/>
              </w:rPr>
            </w:pPr>
            <w:bookmarkStart w:id="187" w:name="_Toc352234020"/>
            <w:r w:rsidRPr="005C0614">
              <w:rPr>
                <w:rFonts w:ascii="Tahoma" w:hAnsi="Tahoma" w:cs="Tahoma"/>
                <w:sz w:val="14"/>
                <w:szCs w:val="14"/>
              </w:rPr>
              <w:t>BizTalk</w:t>
            </w:r>
            <w:r w:rsidR="00510A6E" w:rsidRPr="005C0614">
              <w:rPr>
                <w:rFonts w:cs="Tahoma"/>
                <w:sz w:val="14"/>
                <w:szCs w:val="14"/>
                <w:vertAlign w:val="superscript"/>
              </w:rPr>
              <w:t>®</w:t>
            </w:r>
            <w:r w:rsidRPr="005C0614">
              <w:rPr>
                <w:rFonts w:ascii="Tahoma" w:hAnsi="Tahoma" w:cs="Tahoma"/>
                <w:sz w:val="14"/>
                <w:szCs w:val="14"/>
              </w:rPr>
              <w:t xml:space="preserve"> Server 2013 Branch IDC</w:t>
            </w:r>
            <w:bookmarkEnd w:id="187"/>
          </w:p>
        </w:tc>
        <w:tc>
          <w:tcPr>
            <w:tcW w:w="450" w:type="dxa"/>
            <w:tcBorders>
              <w:bottom w:val="single" w:sz="4" w:space="0" w:color="auto"/>
            </w:tcBorders>
            <w:shd w:val="clear" w:color="auto" w:fill="FABF8F"/>
            <w:vAlign w:val="center"/>
          </w:tcPr>
          <w:p w:rsidR="002B327C" w:rsidRPr="00B01D7E" w:rsidRDefault="002B327C" w:rsidP="00CE54BA">
            <w:pPr>
              <w:pStyle w:val="TableText"/>
              <w:widowControl w:val="0"/>
              <w:spacing w:before="20" w:after="20"/>
              <w:rPr>
                <w:b/>
                <w:sz w:val="13"/>
                <w:szCs w:val="13"/>
              </w:rPr>
            </w:pPr>
          </w:p>
        </w:tc>
        <w:tc>
          <w:tcPr>
            <w:tcW w:w="450" w:type="dxa"/>
            <w:tcBorders>
              <w:bottom w:val="single" w:sz="4" w:space="0" w:color="auto"/>
            </w:tcBorders>
            <w:shd w:val="clear" w:color="auto" w:fill="FABF8F"/>
            <w:vAlign w:val="center"/>
          </w:tcPr>
          <w:p w:rsidR="002B327C" w:rsidRPr="00416070" w:rsidDel="004D199A" w:rsidRDefault="002B327C"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r w:rsidRPr="0041607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2B327C" w:rsidRPr="00416070" w:rsidRDefault="002B327C"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188" w:name="_Toc336337922"/>
            <w:bookmarkStart w:id="189" w:name="_Toc352234021"/>
            <w:r w:rsidRPr="005C0614">
              <w:rPr>
                <w:rFonts w:ascii="Tahoma" w:hAnsi="Tahoma" w:cs="Tahoma"/>
                <w:sz w:val="14"/>
                <w:szCs w:val="14"/>
              </w:rPr>
              <w:t>BizTalk</w:t>
            </w:r>
            <w:r w:rsidR="00510A6E" w:rsidRPr="005C0614">
              <w:rPr>
                <w:rFonts w:cs="Tahoma"/>
                <w:sz w:val="14"/>
                <w:szCs w:val="14"/>
                <w:vertAlign w:val="superscript"/>
              </w:rPr>
              <w:t>®</w:t>
            </w:r>
            <w:r w:rsidRPr="005C0614">
              <w:rPr>
                <w:rFonts w:ascii="Tahoma" w:hAnsi="Tahoma" w:cs="Tahoma"/>
                <w:sz w:val="14"/>
                <w:szCs w:val="14"/>
              </w:rPr>
              <w:t xml:space="preserve"> Server 2013 Standard Edition</w:t>
            </w:r>
            <w:bookmarkEnd w:id="188"/>
            <w:bookmarkEnd w:id="189"/>
            <w:r w:rsidRPr="005C0614">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33_BizTalk_Server®" w:history="1">
              <w:r w:rsidR="00136585" w:rsidRPr="00B01D7E">
                <w:rPr>
                  <w:rStyle w:val="Hyperlink"/>
                  <w:rFonts w:cs="Tahoma"/>
                  <w:b/>
                  <w:sz w:val="13"/>
                  <w:szCs w:val="13"/>
                </w:rPr>
                <w:t>33</w:t>
              </w:r>
            </w:hyperlink>
          </w:p>
        </w:tc>
        <w:tc>
          <w:tcPr>
            <w:tcW w:w="450" w:type="dxa"/>
            <w:tcBorders>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6070" w:rsidRDefault="004D199A"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LO/OV</w:t>
            </w:r>
          </w:p>
        </w:tc>
      </w:tr>
      <w:tr w:rsidR="00B33D0E" w:rsidRPr="00416070" w:rsidDel="00E7100E" w:rsidTr="005C0614">
        <w:trPr>
          <w:trHeight w:val="145"/>
        </w:trPr>
        <w:tc>
          <w:tcPr>
            <w:tcW w:w="2734" w:type="dxa"/>
            <w:gridSpan w:val="2"/>
            <w:tcBorders>
              <w:bottom w:val="single" w:sz="4" w:space="0" w:color="auto"/>
            </w:tcBorders>
            <w:shd w:val="clear" w:color="auto" w:fill="FABF8F"/>
            <w:vAlign w:val="center"/>
          </w:tcPr>
          <w:p w:rsidR="002B327C" w:rsidRPr="005C0614" w:rsidDel="002B327C" w:rsidRDefault="002B327C" w:rsidP="005C0614">
            <w:pPr>
              <w:pStyle w:val="Heading2"/>
              <w:spacing w:beforeLines="20" w:before="48" w:afterLines="20" w:after="48"/>
              <w:ind w:left="0"/>
              <w:rPr>
                <w:rFonts w:ascii="Tahoma" w:hAnsi="Tahoma" w:cs="Tahoma"/>
                <w:b w:val="0"/>
                <w:sz w:val="14"/>
                <w:szCs w:val="14"/>
              </w:rPr>
            </w:pPr>
            <w:bookmarkStart w:id="190" w:name="_Toc352234022"/>
            <w:r w:rsidRPr="005C0614">
              <w:rPr>
                <w:rFonts w:ascii="Tahoma" w:hAnsi="Tahoma" w:cs="Tahoma"/>
                <w:b w:val="0"/>
                <w:sz w:val="14"/>
                <w:szCs w:val="14"/>
              </w:rPr>
              <w:t>BizTalk</w:t>
            </w:r>
            <w:r w:rsidR="00510A6E" w:rsidRPr="005C0614">
              <w:rPr>
                <w:rFonts w:ascii="Tahoma" w:hAnsi="Tahoma" w:cs="Tahoma"/>
                <w:b w:val="0"/>
                <w:sz w:val="14"/>
                <w:szCs w:val="14"/>
                <w:vertAlign w:val="superscript"/>
              </w:rPr>
              <w:t>®</w:t>
            </w:r>
            <w:r w:rsidRPr="005C0614">
              <w:rPr>
                <w:rFonts w:ascii="Tahoma" w:hAnsi="Tahoma" w:cs="Tahoma"/>
                <w:b w:val="0"/>
                <w:sz w:val="14"/>
                <w:szCs w:val="14"/>
              </w:rPr>
              <w:t xml:space="preserve"> Server 2013 Standard Edition IDC</w:t>
            </w:r>
            <w:bookmarkEnd w:id="190"/>
          </w:p>
        </w:tc>
        <w:tc>
          <w:tcPr>
            <w:tcW w:w="450" w:type="dxa"/>
            <w:tcBorders>
              <w:bottom w:val="single" w:sz="4" w:space="0" w:color="auto"/>
            </w:tcBorders>
            <w:shd w:val="clear" w:color="auto" w:fill="FABF8F"/>
            <w:vAlign w:val="center"/>
          </w:tcPr>
          <w:p w:rsidR="002B327C" w:rsidRPr="00B01D7E" w:rsidDel="00E7100E" w:rsidRDefault="002B327C" w:rsidP="00CE54BA">
            <w:pPr>
              <w:spacing w:before="20" w:after="20"/>
              <w:jc w:val="center"/>
              <w:rPr>
                <w:rFonts w:ascii="Trebuchet MS" w:hAnsi="Trebuchet MS"/>
                <w:b/>
                <w:sz w:val="13"/>
                <w:szCs w:val="13"/>
              </w:rPr>
            </w:pPr>
          </w:p>
        </w:tc>
        <w:tc>
          <w:tcPr>
            <w:tcW w:w="450" w:type="dxa"/>
            <w:tcBorders>
              <w:bottom w:val="single" w:sz="4" w:space="0" w:color="auto"/>
            </w:tcBorders>
            <w:shd w:val="clear" w:color="auto" w:fill="FABF8F"/>
            <w:vAlign w:val="center"/>
          </w:tcPr>
          <w:p w:rsidR="002B327C" w:rsidRPr="00416070" w:rsidDel="00A53269" w:rsidRDefault="002B327C" w:rsidP="00CE54BA">
            <w:pPr>
              <w:spacing w:before="20" w:after="20"/>
              <w:jc w:val="center"/>
              <w:rPr>
                <w:rFonts w:cs="Tahoma"/>
                <w:color w:val="000000"/>
                <w:sz w:val="13"/>
                <w:szCs w:val="13"/>
              </w:rPr>
            </w:pPr>
            <w:r w:rsidRPr="00416070">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416070" w:rsidDel="00E7100E" w:rsidRDefault="002B327C" w:rsidP="00CE54BA">
            <w:pPr>
              <w:spacing w:before="20" w:after="2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bottom w:val="single" w:sz="4"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bottom w:val="single" w:sz="4"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bottom w:val="single" w:sz="4"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bottom w:val="single" w:sz="4"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bottom w:val="single" w:sz="4"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bottom w:val="single" w:sz="4"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416070" w:rsidDel="00A53269" w:rsidRDefault="002253A3" w:rsidP="00CE54BA">
            <w:pPr>
              <w:spacing w:before="20" w:after="20"/>
              <w:jc w:val="center"/>
              <w:rPr>
                <w:rFonts w:cs="Tahoma"/>
                <w:sz w:val="13"/>
                <w:szCs w:val="13"/>
              </w:rPr>
            </w:pPr>
            <w:r w:rsidRPr="00416070">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630" w:type="dxa"/>
            <w:tcBorders>
              <w:bottom w:val="single" w:sz="4" w:space="0" w:color="auto"/>
            </w:tcBorders>
            <w:shd w:val="clear" w:color="auto" w:fill="FABF8F"/>
            <w:vAlign w:val="center"/>
          </w:tcPr>
          <w:p w:rsidR="002B327C" w:rsidRPr="00416070" w:rsidDel="00E7100E" w:rsidRDefault="002B327C" w:rsidP="00CE54BA">
            <w:pPr>
              <w:spacing w:before="20" w:after="20"/>
              <w:jc w:val="center"/>
              <w:rPr>
                <w:rFonts w:cs="Tahoma"/>
                <w:sz w:val="13"/>
                <w:szCs w:val="13"/>
              </w:rPr>
            </w:pPr>
          </w:p>
        </w:tc>
        <w:tc>
          <w:tcPr>
            <w:tcW w:w="450" w:type="dxa"/>
            <w:tcBorders>
              <w:bottom w:val="single" w:sz="4" w:space="0" w:color="auto"/>
            </w:tcBorders>
            <w:shd w:val="clear" w:color="auto" w:fill="FABF8F"/>
            <w:vAlign w:val="center"/>
          </w:tcPr>
          <w:p w:rsidR="002B327C" w:rsidRPr="00416070" w:rsidDel="00E7100E" w:rsidRDefault="002B327C" w:rsidP="00CE54BA">
            <w:pPr>
              <w:spacing w:before="20" w:after="20"/>
              <w:jc w:val="center"/>
              <w:rPr>
                <w:rFonts w:cs="Tahoma"/>
                <w:color w:val="000000"/>
                <w:sz w:val="13"/>
                <w:szCs w:val="13"/>
              </w:rPr>
            </w:pPr>
          </w:p>
        </w:tc>
      </w:tr>
      <w:tr w:rsidR="00BE2E58"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191" w:name="_Toc336337925"/>
            <w:bookmarkStart w:id="192" w:name="_Toc352234023"/>
            <w:r w:rsidRPr="005C0614">
              <w:rPr>
                <w:rFonts w:ascii="Tahoma" w:hAnsi="Tahoma" w:cs="Tahoma"/>
                <w:b w:val="0"/>
                <w:sz w:val="14"/>
                <w:szCs w:val="14"/>
              </w:rPr>
              <w:t>Business Intelligence Appliance 2012</w:t>
            </w:r>
            <w:bookmarkEnd w:id="191"/>
            <w:bookmarkEnd w:id="192"/>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34_Business_Intelligence" w:history="1">
              <w:r w:rsidR="005B0EC7" w:rsidRPr="00B01D7E">
                <w:rPr>
                  <w:rStyle w:val="Hyperlink"/>
                  <w:b/>
                  <w:sz w:val="13"/>
                  <w:szCs w:val="13"/>
                </w:rPr>
                <w:t>34</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EF228F" w:rsidRPr="00416070" w:rsidTr="00EE523E">
        <w:trPr>
          <w:cantSplit/>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93" w:name="_Toc336337926"/>
            <w:bookmarkStart w:id="194" w:name="_Toc352234024"/>
            <w:r w:rsidRPr="002E114F">
              <w:rPr>
                <w:rFonts w:ascii="Tahoma" w:hAnsi="Tahoma" w:cs="Tahoma"/>
                <w:sz w:val="14"/>
                <w:szCs w:val="14"/>
                <w:lang w:val="pt-BR"/>
              </w:rPr>
              <w:lastRenderedPageBreak/>
              <w:t>Bridge do Pacote de CALs Principais para Office 365 (Usuário e Dispositivo)</w:t>
            </w:r>
            <w:bookmarkEnd w:id="193"/>
            <w:bookmarkEnd w:id="194"/>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35_Bridge_do" w:history="1">
              <w:r w:rsidR="005B0EC7" w:rsidRPr="00B01D7E">
                <w:rPr>
                  <w:rStyle w:val="Hyperlink"/>
                  <w:b/>
                  <w:sz w:val="13"/>
                  <w:szCs w:val="13"/>
                </w:rPr>
                <w:t>35</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E</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E2E58"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EC2258">
            <w:pPr>
              <w:pStyle w:val="ProductNames"/>
              <w:keepNext/>
              <w:spacing w:beforeLines="20" w:before="48" w:afterLines="20" w:after="48"/>
              <w:rPr>
                <w:rFonts w:ascii="Tahoma" w:hAnsi="Tahoma" w:cs="Tahoma"/>
                <w:sz w:val="14"/>
                <w:szCs w:val="14"/>
                <w:lang w:val="pt-BR"/>
              </w:rPr>
            </w:pPr>
            <w:bookmarkStart w:id="195" w:name="_Toc336337927"/>
            <w:bookmarkStart w:id="196" w:name="_Toc352234025"/>
            <w:r w:rsidRPr="002E114F">
              <w:rPr>
                <w:rFonts w:ascii="Tahoma" w:hAnsi="Tahoma" w:cs="Tahoma"/>
                <w:sz w:val="14"/>
                <w:szCs w:val="14"/>
                <w:lang w:val="pt-BR"/>
              </w:rPr>
              <w:t>Bridge do Pacote de CALs Principais para Office 365 e Windows</w:t>
            </w:r>
            <w:r w:rsidR="00510A6E" w:rsidRPr="002E114F">
              <w:rPr>
                <w:rFonts w:ascii="Tahoma" w:hAnsi="Tahoma" w:cs="Tahoma"/>
                <w:sz w:val="14"/>
                <w:szCs w:val="14"/>
                <w:vertAlign w:val="superscript"/>
                <w:lang w:val="pt-BR"/>
              </w:rPr>
              <w:t>®</w:t>
            </w:r>
            <w:r w:rsidRPr="002E114F">
              <w:rPr>
                <w:rFonts w:ascii="Tahoma" w:hAnsi="Tahoma" w:cs="Tahoma"/>
                <w:sz w:val="14"/>
                <w:szCs w:val="14"/>
                <w:lang w:val="pt-BR"/>
              </w:rPr>
              <w:t xml:space="preserve"> Intune (Usuário e Dispositivo)</w:t>
            </w:r>
            <w:bookmarkEnd w:id="195"/>
            <w:bookmarkEnd w:id="196"/>
          </w:p>
        </w:tc>
        <w:tc>
          <w:tcPr>
            <w:tcW w:w="450" w:type="dxa"/>
            <w:tcBorders>
              <w:bottom w:val="single" w:sz="4" w:space="0" w:color="auto"/>
            </w:tcBorders>
            <w:shd w:val="clear" w:color="auto" w:fill="auto"/>
            <w:vAlign w:val="center"/>
          </w:tcPr>
          <w:p w:rsidR="001A63C6" w:rsidRPr="00B01D7E" w:rsidRDefault="008719E7" w:rsidP="00EC2258">
            <w:pPr>
              <w:pStyle w:val="TableText"/>
              <w:keepNext/>
              <w:keepLines/>
              <w:widowControl w:val="0"/>
              <w:spacing w:before="20" w:after="20"/>
              <w:rPr>
                <w:b/>
                <w:color w:val="0000FF"/>
                <w:sz w:val="13"/>
                <w:szCs w:val="13"/>
                <w:u w:val="single"/>
              </w:rPr>
            </w:pPr>
            <w:hyperlink w:anchor="_36_Pacote_de" w:history="1">
              <w:r w:rsidR="005B0EC7" w:rsidRPr="00B01D7E">
                <w:rPr>
                  <w:rStyle w:val="Hyperlink"/>
                  <w:b/>
                  <w:sz w:val="13"/>
                  <w:szCs w:val="13"/>
                </w:rPr>
                <w:t>36</w:t>
              </w:r>
            </w:hyperlink>
          </w:p>
        </w:tc>
        <w:tc>
          <w:tcPr>
            <w:tcW w:w="450" w:type="dxa"/>
            <w:tcBorders>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rPr>
            </w:pPr>
            <w:r w:rsidRPr="00416070">
              <w:rPr>
                <w:rFonts w:ascii="Tahoma" w:hAnsi="Tahoma" w:cs="Tahoma"/>
                <w:sz w:val="13"/>
              </w:rPr>
              <w:t>E</w:t>
            </w:r>
          </w:p>
        </w:tc>
        <w:tc>
          <w:tcPr>
            <w:tcW w:w="630" w:type="dxa"/>
            <w:tcBorders>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EC2258">
            <w:pPr>
              <w:pStyle w:val="TableText"/>
              <w:keepNext/>
              <w:keepLines/>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197" w:name="_Toc336337928"/>
            <w:bookmarkStart w:id="198" w:name="_Toc352234026"/>
            <w:r w:rsidRPr="002E114F">
              <w:rPr>
                <w:rFonts w:ascii="Tahoma" w:hAnsi="Tahoma" w:cs="Tahoma"/>
                <w:sz w:val="14"/>
                <w:szCs w:val="14"/>
                <w:lang w:val="pt-BR"/>
              </w:rPr>
              <w:t>Bridge do Pacote de CALs Principais para Windows</w:t>
            </w:r>
            <w:r w:rsidR="00510A6E" w:rsidRPr="002E114F">
              <w:rPr>
                <w:rFonts w:ascii="Tahoma" w:hAnsi="Tahoma" w:cs="Tahoma"/>
                <w:sz w:val="14"/>
                <w:szCs w:val="14"/>
                <w:vertAlign w:val="superscript"/>
                <w:lang w:val="pt-BR"/>
              </w:rPr>
              <w:t>®</w:t>
            </w:r>
            <w:r w:rsidRPr="002E114F">
              <w:rPr>
                <w:rFonts w:ascii="Tahoma" w:hAnsi="Tahoma" w:cs="Tahoma"/>
                <w:sz w:val="14"/>
                <w:szCs w:val="14"/>
                <w:lang w:val="pt-BR"/>
              </w:rPr>
              <w:t xml:space="preserve"> Intune (Usuário e Dispositivo)</w:t>
            </w:r>
            <w:bookmarkEnd w:id="197"/>
            <w:bookmarkEnd w:id="198"/>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36_Pacote_de" w:history="1">
              <w:r w:rsidR="005B0EC7" w:rsidRPr="00B01D7E">
                <w:rPr>
                  <w:rStyle w:val="Hyperlink"/>
                  <w:b/>
                  <w:sz w:val="13"/>
                  <w:szCs w:val="13"/>
                </w:rPr>
                <w:t>36</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E2E58"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199" w:name="_Toc336337929"/>
            <w:bookmarkStart w:id="200" w:name="_Toc352234027"/>
            <w:r w:rsidRPr="005C0614">
              <w:rPr>
                <w:rFonts w:ascii="Tahoma" w:hAnsi="Tahoma" w:cs="Tahoma"/>
                <w:sz w:val="14"/>
                <w:szCs w:val="14"/>
              </w:rPr>
              <w:t>Core CAL Suite (Usuário e Dispositivo)</w:t>
            </w:r>
            <w:bookmarkEnd w:id="199"/>
            <w:bookmarkEnd w:id="200"/>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36_Pacote_de" w:history="1">
              <w:r w:rsidR="005B0EC7" w:rsidRPr="00B01D7E">
                <w:rPr>
                  <w:rStyle w:val="Hyperlink"/>
                  <w:b/>
                  <w:sz w:val="13"/>
                  <w:szCs w:val="13"/>
                </w:rPr>
                <w:t>36</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E, 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E</w:t>
            </w:r>
            <w:r w:rsidRPr="00416070">
              <w:rPr>
                <w:rFonts w:ascii="Tahoma" w:hAnsi="Tahoma" w:cs="Tahoma"/>
                <w:sz w:val="13"/>
              </w:rPr>
              <w:t>,ST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spacing w:beforeLines="20" w:before="48" w:afterLines="20" w:after="48"/>
              <w:rPr>
                <w:rFonts w:ascii="Tahoma" w:hAnsi="Tahoma" w:cs="Tahoma"/>
                <w:sz w:val="14"/>
                <w:szCs w:val="14"/>
                <w:lang w:val="fr-FR"/>
              </w:rPr>
            </w:pPr>
            <w:bookmarkStart w:id="201" w:name="_Toc336337930"/>
            <w:bookmarkStart w:id="202" w:name="_Toc352234028"/>
            <w:r w:rsidRPr="002E114F">
              <w:rPr>
                <w:rFonts w:ascii="Tahoma" w:hAnsi="Tahoma" w:cs="Tahoma"/>
                <w:sz w:val="14"/>
                <w:szCs w:val="14"/>
                <w:lang w:val="fr-FR"/>
              </w:rPr>
              <w:t>Core Infrastructure Server Suite Standard</w:t>
            </w:r>
            <w:bookmarkEnd w:id="201"/>
            <w:bookmarkEnd w:id="202"/>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37_Core_Infrastructure" w:history="1">
              <w:r w:rsidR="005B0EC7" w:rsidRPr="00B01D7E">
                <w:rPr>
                  <w:rStyle w:val="Hyperlink"/>
                  <w:b/>
                  <w:sz w:val="13"/>
                  <w:szCs w:val="13"/>
                </w:rPr>
                <w:t>37</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spacing w:beforeLines="20" w:before="48" w:afterLines="20" w:after="48"/>
              <w:rPr>
                <w:rFonts w:ascii="Tahoma" w:hAnsi="Tahoma" w:cs="Tahoma"/>
                <w:sz w:val="14"/>
                <w:szCs w:val="14"/>
                <w:lang w:val="fr-FR"/>
              </w:rPr>
            </w:pPr>
            <w:bookmarkStart w:id="203" w:name="_Toc336337931"/>
            <w:bookmarkStart w:id="204" w:name="_Toc352234029"/>
            <w:r w:rsidRPr="002E114F">
              <w:rPr>
                <w:rFonts w:ascii="Tahoma" w:hAnsi="Tahoma" w:cs="Tahoma"/>
                <w:sz w:val="14"/>
                <w:szCs w:val="14"/>
                <w:lang w:val="fr-FR"/>
              </w:rPr>
              <w:t>Core Infrastructure Server Suite Enterprise</w:t>
            </w:r>
            <w:bookmarkEnd w:id="203"/>
            <w:bookmarkEnd w:id="204"/>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38_Core_Infrastructure" w:history="1">
              <w:r w:rsidR="005B0EC7" w:rsidRPr="00B01D7E">
                <w:rPr>
                  <w:rStyle w:val="Hyperlink"/>
                  <w:b/>
                  <w:sz w:val="13"/>
                  <w:szCs w:val="13"/>
                </w:rPr>
                <w:t>38</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spacing w:beforeLines="20" w:before="48" w:afterLines="20" w:after="48"/>
              <w:rPr>
                <w:rFonts w:ascii="Tahoma" w:hAnsi="Tahoma" w:cs="Tahoma"/>
                <w:sz w:val="14"/>
                <w:szCs w:val="14"/>
                <w:lang w:val="fr-FR"/>
              </w:rPr>
            </w:pPr>
            <w:bookmarkStart w:id="205" w:name="_Toc336337932"/>
            <w:bookmarkStart w:id="206" w:name="_Toc352234030"/>
            <w:r w:rsidRPr="002E114F">
              <w:rPr>
                <w:rFonts w:ascii="Tahoma" w:hAnsi="Tahoma" w:cs="Tahoma"/>
                <w:sz w:val="14"/>
                <w:szCs w:val="14"/>
                <w:lang w:val="fr-FR"/>
              </w:rPr>
              <w:t>Core Infrastructure Server Suite Datacenter</w:t>
            </w:r>
            <w:bookmarkEnd w:id="205"/>
            <w:bookmarkEnd w:id="206"/>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39_Core_Infrastructure" w:history="1">
              <w:r w:rsidR="005B0EC7" w:rsidRPr="00B01D7E">
                <w:rPr>
                  <w:rStyle w:val="Hyperlink"/>
                  <w:b/>
                  <w:sz w:val="13"/>
                  <w:szCs w:val="13"/>
                </w:rPr>
                <w:t>39</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lang w:eastAsia="ja-JP"/>
              </w:rPr>
            </w:pPr>
            <w:r w:rsidRPr="00416070">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lang w:eastAsia="ja-JP"/>
              </w:rPr>
            </w:pPr>
            <w:r w:rsidRPr="0041607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lang w:eastAsia="ja-JP"/>
              </w:rPr>
            </w:pPr>
            <w:r w:rsidRPr="00416070">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lang w:eastAsia="ja-JP"/>
              </w:rPr>
            </w:pPr>
            <w:r w:rsidRPr="0041607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lang w:eastAsia="ja-JP"/>
              </w:rPr>
            </w:pPr>
            <w:r w:rsidRPr="0041607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lang w:eastAsia="ja-JP"/>
              </w:rPr>
            </w:pPr>
            <w:r w:rsidRPr="0041607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207" w:name="_Toc336337935"/>
            <w:bookmarkStart w:id="208" w:name="_Toc352234031"/>
            <w:r w:rsidRPr="005C0614">
              <w:rPr>
                <w:rFonts w:ascii="Tahoma" w:hAnsi="Tahoma" w:cs="Tahoma"/>
                <w:color w:val="000000"/>
                <w:sz w:val="14"/>
                <w:szCs w:val="14"/>
              </w:rPr>
              <w:t>Dynamics CRM Online Extra Storage</w:t>
            </w:r>
            <w:bookmarkEnd w:id="207"/>
            <w:bookmarkEnd w:id="208"/>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40_Dynamics_CRM" w:history="1">
              <w:r w:rsidR="005B0EC7" w:rsidRPr="00B01D7E">
                <w:rPr>
                  <w:rStyle w:val="Hyperlink"/>
                  <w:b/>
                  <w:sz w:val="13"/>
                  <w:szCs w:val="13"/>
                </w:rPr>
                <w:t>40</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209" w:name="_Toc336337936"/>
            <w:bookmarkStart w:id="210" w:name="_Toc352234032"/>
            <w:r w:rsidRPr="002E114F">
              <w:rPr>
                <w:rFonts w:ascii="Tahoma" w:hAnsi="Tahoma" w:cs="Tahoma"/>
                <w:color w:val="000000"/>
                <w:sz w:val="14"/>
                <w:szCs w:val="14"/>
                <w:lang w:val="pt-BR"/>
              </w:rPr>
              <w:t>Dynamics CRM Online por Usuário</w:t>
            </w:r>
            <w:bookmarkEnd w:id="209"/>
            <w:bookmarkEnd w:id="210"/>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40_Dynamics_CRM" w:history="1">
              <w:r w:rsidR="003265DE" w:rsidRPr="00B01D7E">
                <w:rPr>
                  <w:rStyle w:val="Hyperlink"/>
                  <w:b/>
                  <w:sz w:val="13"/>
                  <w:szCs w:val="13"/>
                </w:rPr>
                <w:t>40</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211" w:name="_Toc336337937"/>
            <w:bookmarkStart w:id="212" w:name="_Toc352234033"/>
            <w:r w:rsidRPr="005C0614">
              <w:rPr>
                <w:rFonts w:ascii="Tahoma" w:hAnsi="Tahoma" w:cs="Tahoma"/>
                <w:color w:val="000000"/>
                <w:sz w:val="14"/>
                <w:szCs w:val="14"/>
              </w:rPr>
              <w:t>Dynamics CRM Online para SA</w:t>
            </w:r>
            <w:bookmarkEnd w:id="211"/>
            <w:bookmarkEnd w:id="212"/>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40_Dynamics_CRM" w:history="1">
              <w:r w:rsidR="003265DE" w:rsidRPr="00B01D7E">
                <w:rPr>
                  <w:rStyle w:val="Hyperlink"/>
                  <w:b/>
                  <w:sz w:val="13"/>
                  <w:szCs w:val="13"/>
                </w:rPr>
                <w:t>40</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213" w:name="_Toc336337942"/>
            <w:bookmarkStart w:id="214" w:name="_Toc352234034"/>
            <w:r w:rsidRPr="002E114F">
              <w:rPr>
                <w:rFonts w:ascii="Tahoma" w:hAnsi="Tahoma" w:cs="Tahoma"/>
                <w:sz w:val="14"/>
                <w:szCs w:val="14"/>
                <w:lang w:val="pt-BR"/>
              </w:rPr>
              <w:t>Bridge do Pacote de CALs Empresariais para Office 365 (Usuário e Dispositivo)</w:t>
            </w:r>
            <w:bookmarkEnd w:id="213"/>
            <w:bookmarkEnd w:id="214"/>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41_Bridge_do" w:history="1">
              <w:r w:rsidR="005B0EC7" w:rsidRPr="00B01D7E">
                <w:rPr>
                  <w:rStyle w:val="Hyperlink"/>
                  <w:b/>
                  <w:sz w:val="13"/>
                  <w:szCs w:val="13"/>
                </w:rPr>
                <w:t>41</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E</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215" w:name="_Toc336337943"/>
            <w:bookmarkStart w:id="216" w:name="_Toc352234035"/>
            <w:r w:rsidRPr="002E114F">
              <w:rPr>
                <w:rFonts w:ascii="Tahoma" w:hAnsi="Tahoma" w:cs="Tahoma"/>
                <w:sz w:val="14"/>
                <w:szCs w:val="14"/>
                <w:lang w:val="pt-BR"/>
              </w:rPr>
              <w:t>Bridge do Pacote de CALs Empresariais para Office 365 e Windows</w:t>
            </w:r>
            <w:r w:rsidR="00510A6E" w:rsidRPr="002E114F">
              <w:rPr>
                <w:rFonts w:ascii="Tahoma" w:hAnsi="Tahoma" w:cs="Tahoma"/>
                <w:sz w:val="14"/>
                <w:szCs w:val="14"/>
                <w:vertAlign w:val="superscript"/>
                <w:lang w:val="pt-BR"/>
              </w:rPr>
              <w:t>®</w:t>
            </w:r>
            <w:r w:rsidRPr="002E114F">
              <w:rPr>
                <w:rFonts w:ascii="Tahoma" w:hAnsi="Tahoma" w:cs="Tahoma"/>
                <w:sz w:val="14"/>
                <w:szCs w:val="14"/>
                <w:lang w:val="pt-BR"/>
              </w:rPr>
              <w:t xml:space="preserve"> Intune (Usuário e Dispositivo)</w:t>
            </w:r>
            <w:bookmarkEnd w:id="215"/>
            <w:bookmarkEnd w:id="216"/>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FF"/>
                <w:sz w:val="13"/>
                <w:szCs w:val="13"/>
                <w:u w:val="single"/>
              </w:rPr>
            </w:pPr>
            <w:hyperlink w:anchor="_41_Bridge_do" w:history="1">
              <w:r w:rsidR="003265DE" w:rsidRPr="00B01D7E">
                <w:rPr>
                  <w:rStyle w:val="Hyperlink"/>
                  <w:b/>
                  <w:sz w:val="13"/>
                  <w:szCs w:val="13"/>
                </w:rPr>
                <w:t>41</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E</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278"/>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217" w:name="_Toc336337944"/>
            <w:bookmarkStart w:id="218" w:name="_Toc352234036"/>
            <w:r w:rsidRPr="002E114F">
              <w:rPr>
                <w:rFonts w:ascii="Tahoma" w:hAnsi="Tahoma" w:cs="Tahoma"/>
                <w:sz w:val="14"/>
                <w:szCs w:val="14"/>
                <w:lang w:val="pt-BR"/>
              </w:rPr>
              <w:t>Bridge do Pacote de CALs Empresariais para Windows</w:t>
            </w:r>
            <w:r w:rsidR="00510A6E" w:rsidRPr="002E114F">
              <w:rPr>
                <w:rFonts w:ascii="Tahoma" w:hAnsi="Tahoma" w:cs="Tahoma"/>
                <w:sz w:val="14"/>
                <w:szCs w:val="14"/>
                <w:vertAlign w:val="superscript"/>
                <w:lang w:val="pt-BR"/>
              </w:rPr>
              <w:t>®</w:t>
            </w:r>
            <w:r w:rsidRPr="002E114F">
              <w:rPr>
                <w:rFonts w:ascii="Tahoma" w:hAnsi="Tahoma" w:cs="Tahoma"/>
                <w:sz w:val="14"/>
                <w:szCs w:val="14"/>
                <w:lang w:val="pt-BR"/>
              </w:rPr>
              <w:t xml:space="preserve"> Intune (Usuário e Dispositivo)</w:t>
            </w:r>
            <w:bookmarkEnd w:id="217"/>
            <w:bookmarkEnd w:id="218"/>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41_Bridge_do" w:history="1">
              <w:r w:rsidR="003265DE" w:rsidRPr="00B01D7E">
                <w:rPr>
                  <w:rStyle w:val="Hyperlink"/>
                  <w:b/>
                  <w:sz w:val="13"/>
                  <w:szCs w:val="13"/>
                </w:rPr>
                <w:t>41</w:t>
              </w:r>
            </w:hyperlink>
            <w:hyperlink w:anchor="Srv_45EntCALBridgeWinIntune"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spacing w:beforeLines="20" w:before="48" w:afterLines="20" w:after="48"/>
              <w:rPr>
                <w:rFonts w:ascii="Tahoma" w:hAnsi="Tahoma" w:cs="Tahoma"/>
                <w:sz w:val="14"/>
                <w:szCs w:val="14"/>
                <w:lang w:val="pt-BR"/>
              </w:rPr>
            </w:pPr>
            <w:bookmarkStart w:id="219" w:name="_Toc336337945"/>
            <w:bookmarkStart w:id="220" w:name="_Toc352234037"/>
            <w:r w:rsidRPr="002E114F">
              <w:rPr>
                <w:rFonts w:ascii="Tahoma" w:hAnsi="Tahoma" w:cs="Tahoma"/>
                <w:sz w:val="14"/>
                <w:szCs w:val="14"/>
                <w:lang w:val="pt-BR"/>
              </w:rPr>
              <w:t>Pacote de CALs Empresariais (Usuário e Dispositivo)</w:t>
            </w:r>
            <w:bookmarkEnd w:id="219"/>
            <w:bookmarkEnd w:id="220"/>
            <w:r w:rsidRPr="002E114F">
              <w:rPr>
                <w:rFonts w:ascii="Tahoma" w:hAnsi="Tahoma" w:cs="Tahoma"/>
                <w:sz w:val="14"/>
                <w:szCs w:val="14"/>
                <w:lang w:val="pt-BR"/>
              </w:rPr>
              <w:t xml:space="preserve"> </w:t>
            </w:r>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42_Pacotes_CAL" w:history="1">
              <w:r w:rsidR="005B0EC7" w:rsidRPr="00B01D7E">
                <w:rPr>
                  <w:rStyle w:val="Hyperlink"/>
                  <w:b/>
                  <w:sz w:val="13"/>
                  <w:szCs w:val="13"/>
                </w:rPr>
                <w:t>42</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bCs/>
                <w:color w:val="000000"/>
                <w:sz w:val="13"/>
              </w:rPr>
              <w:t>13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bCs/>
                <w:color w:val="000000"/>
                <w:sz w:val="13"/>
              </w:rPr>
              <w:t>10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E, 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E,ST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rPr>
                <w:rFonts w:ascii="Tahoma" w:hAnsi="Tahoma" w:cs="Tahoma"/>
                <w:sz w:val="14"/>
                <w:szCs w:val="14"/>
                <w:lang w:val="pt-BR"/>
              </w:rPr>
            </w:pPr>
            <w:bookmarkStart w:id="221" w:name="_Toc352234038"/>
            <w:r w:rsidRPr="002E114F">
              <w:rPr>
                <w:rFonts w:ascii="Tahoma" w:hAnsi="Tahoma" w:cs="Tahoma"/>
                <w:sz w:val="14"/>
                <w:szCs w:val="14"/>
                <w:lang w:val="pt-BR"/>
              </w:rPr>
              <w:t>CAL Empresarial do Exchange com Serviços 2013</w:t>
            </w:r>
            <w:bookmarkEnd w:id="221"/>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sz w:val="13"/>
                <w:szCs w:val="13"/>
                <w:u w:val="single"/>
              </w:rPr>
            </w:pPr>
            <w:hyperlink w:anchor="_43_CAL_Empresarial" w:history="1">
              <w:r w:rsidR="005B0EC7" w:rsidRPr="00B01D7E">
                <w:rPr>
                  <w:rStyle w:val="Hyperlink"/>
                  <w:b/>
                  <w:sz w:val="13"/>
                  <w:szCs w:val="13"/>
                </w:rPr>
                <w:t>43</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bCs/>
                <w:color w:val="000000"/>
                <w:sz w:val="13"/>
              </w:rPr>
            </w:pPr>
            <w:r w:rsidRPr="00416070">
              <w:rPr>
                <w:rFonts w:ascii="Tahoma" w:hAnsi="Tahoma" w:cs="Tahoma"/>
                <w:bCs/>
                <w:color w:val="000000"/>
                <w:sz w:val="13"/>
              </w:rPr>
              <w:t>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bCs/>
                <w:color w:val="000000"/>
                <w:sz w:val="13"/>
              </w:rPr>
            </w:pPr>
            <w:r w:rsidRPr="00416070">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bCs/>
                <w:color w:val="000000"/>
                <w:sz w:val="13"/>
              </w:rPr>
            </w:pPr>
            <w:r w:rsidRPr="00416070">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bCs/>
                <w:color w:val="000000"/>
                <w:sz w:val="13"/>
              </w:rPr>
            </w:pPr>
            <w:r w:rsidRPr="00416070">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bCs/>
                <w:color w:val="000000"/>
                <w:sz w:val="13"/>
              </w:rPr>
            </w:pPr>
            <w:r w:rsidRPr="00416070">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222" w:name="_Toc352234039"/>
            <w:r w:rsidRPr="005C0614">
              <w:rPr>
                <w:rFonts w:ascii="Tahoma" w:hAnsi="Tahoma" w:cs="Tahoma"/>
                <w:b w:val="0"/>
                <w:sz w:val="14"/>
                <w:szCs w:val="14"/>
              </w:rPr>
              <w:t>CAL Empresarial do Exchange sem Serviços 2013</w:t>
            </w:r>
            <w:bookmarkEnd w:id="222"/>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b/>
                <w:color w:val="0000FF"/>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223" w:name="_Toc336337946"/>
            <w:bookmarkStart w:id="224" w:name="_Toc352234040"/>
            <w:r w:rsidRPr="005C0614">
              <w:rPr>
                <w:rFonts w:ascii="Tahoma" w:hAnsi="Tahoma" w:cs="Tahoma"/>
                <w:b w:val="0"/>
                <w:sz w:val="14"/>
                <w:szCs w:val="14"/>
              </w:rPr>
              <w:t>Arquivamento do Exchange Online</w:t>
            </w:r>
            <w:bookmarkEnd w:id="223"/>
            <w:r w:rsidRPr="005C0614">
              <w:rPr>
                <w:rFonts w:ascii="Tahoma" w:hAnsi="Tahoma" w:cs="Tahoma"/>
                <w:b w:val="0"/>
                <w:sz w:val="14"/>
                <w:szCs w:val="14"/>
              </w:rPr>
              <w:t xml:space="preserve"> para Exchange Server (SL de Usuário)</w:t>
            </w:r>
            <w:bookmarkEnd w:id="224"/>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44_Arquivamento_do" w:history="1">
              <w:r w:rsidR="005B0EC7" w:rsidRPr="00B01D7E">
                <w:rPr>
                  <w:rStyle w:val="Hyperlink"/>
                  <w:b/>
                  <w:sz w:val="13"/>
                  <w:szCs w:val="13"/>
                </w:rPr>
                <w:t>44</w:t>
              </w:r>
            </w:hyperlink>
          </w:p>
        </w:tc>
        <w:tc>
          <w:tcPr>
            <w:tcW w:w="450" w:type="dxa"/>
            <w:tcBorders>
              <w:bottom w:val="single" w:sz="4" w:space="0" w:color="auto"/>
            </w:tcBorders>
            <w:shd w:val="clear" w:color="auto" w:fill="FABF8F"/>
            <w:vAlign w:val="center"/>
          </w:tcPr>
          <w:p w:rsidR="001A63C6" w:rsidRPr="00416070" w:rsidDel="00876599" w:rsidRDefault="001A63C6"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3"/>
              <w:spacing w:before="20" w:after="20"/>
              <w:rPr>
                <w:rFonts w:ascii="Tahoma" w:hAnsi="Tahoma" w:cs="Tahoma"/>
                <w:b w:val="0"/>
                <w:sz w:val="14"/>
                <w:szCs w:val="14"/>
              </w:rPr>
            </w:pPr>
            <w:bookmarkStart w:id="225" w:name="_Toc336337947"/>
            <w:bookmarkStart w:id="226" w:name="_Toc352234041"/>
            <w:r w:rsidRPr="005C0614">
              <w:rPr>
                <w:rFonts w:ascii="Tahoma" w:hAnsi="Tahoma" w:cs="Tahoma"/>
                <w:b w:val="0"/>
                <w:sz w:val="14"/>
                <w:szCs w:val="14"/>
              </w:rPr>
              <w:t>Servidor A (SL de Usuário)</w:t>
            </w:r>
            <w:bookmarkEnd w:id="225"/>
            <w:bookmarkEnd w:id="226"/>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b/>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ST (Somente EES)</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27" w:name="_Toc336337948"/>
            <w:bookmarkStart w:id="228" w:name="_Toc352234042"/>
            <w:r w:rsidRPr="005C0614">
              <w:rPr>
                <w:rFonts w:ascii="Tahoma" w:hAnsi="Tahoma" w:cs="Tahoma"/>
                <w:sz w:val="14"/>
                <w:szCs w:val="14"/>
              </w:rPr>
              <w:t>Exchange Hosted Archive (SL de Usuário)</w:t>
            </w:r>
            <w:bookmarkEnd w:id="227"/>
            <w:bookmarkEnd w:id="228"/>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00"/>
                <w:sz w:val="13"/>
                <w:szCs w:val="13"/>
                <w:u w:val="single"/>
              </w:rPr>
            </w:pPr>
            <w:hyperlink w:anchor="_45_Exchange_Hosted" w:history="1">
              <w:r w:rsidR="005B0EC7" w:rsidRPr="00B01D7E">
                <w:rPr>
                  <w:rStyle w:val="Hyperlink"/>
                  <w:b/>
                  <w:sz w:val="13"/>
                  <w:szCs w:val="13"/>
                </w:rPr>
                <w:t>45</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rPr>
                <w:rFonts w:ascii="Tahoma" w:hAnsi="Tahoma" w:cs="Tahoma"/>
                <w:sz w:val="14"/>
                <w:szCs w:val="14"/>
              </w:rPr>
            </w:pPr>
            <w:bookmarkStart w:id="229" w:name="_Toc336337949"/>
            <w:bookmarkStart w:id="230" w:name="_Toc352234043"/>
            <w:r w:rsidRPr="005C0614">
              <w:rPr>
                <w:rFonts w:ascii="Tahoma" w:hAnsi="Tahoma" w:cs="Tahoma"/>
                <w:sz w:val="14"/>
                <w:szCs w:val="14"/>
              </w:rPr>
              <w:t>Exchange Hosted Archive Extra Storage (SL de Usuário)</w:t>
            </w:r>
            <w:bookmarkEnd w:id="229"/>
            <w:bookmarkEnd w:id="230"/>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00"/>
                <w:sz w:val="13"/>
                <w:szCs w:val="13"/>
                <w:u w:val="single"/>
              </w:rPr>
            </w:pPr>
            <w:hyperlink w:anchor="_45_Exchange_Hosted" w:history="1">
              <w:r w:rsidR="005B0EC7" w:rsidRPr="00B01D7E">
                <w:rPr>
                  <w:rStyle w:val="Hyperlink"/>
                  <w:b/>
                  <w:sz w:val="13"/>
                  <w:szCs w:val="13"/>
                </w:rPr>
                <w:t>45</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rPr>
                <w:rFonts w:ascii="Tahoma" w:hAnsi="Tahoma" w:cs="Tahoma"/>
                <w:sz w:val="14"/>
                <w:szCs w:val="14"/>
                <w:lang w:val="da-DK"/>
              </w:rPr>
            </w:pPr>
            <w:bookmarkStart w:id="231" w:name="_Toc336337950"/>
            <w:bookmarkStart w:id="232" w:name="_Toc352234044"/>
            <w:r w:rsidRPr="002E114F">
              <w:rPr>
                <w:rFonts w:ascii="Tahoma" w:hAnsi="Tahoma" w:cs="Tahoma"/>
                <w:sz w:val="14"/>
                <w:szCs w:val="14"/>
                <w:lang w:val="da-DK"/>
              </w:rPr>
              <w:t xml:space="preserve">Exchange Hosted Encryption </w:t>
            </w:r>
            <w:r w:rsidR="009F0B2E" w:rsidRPr="002E114F">
              <w:rPr>
                <w:rFonts w:ascii="Tahoma" w:hAnsi="Tahoma" w:cs="Tahoma"/>
                <w:sz w:val="14"/>
                <w:szCs w:val="14"/>
                <w:lang w:val="da-DK"/>
              </w:rPr>
              <w:br/>
            </w:r>
            <w:r w:rsidRPr="002E114F">
              <w:rPr>
                <w:rFonts w:ascii="Tahoma" w:hAnsi="Tahoma" w:cs="Tahoma"/>
                <w:sz w:val="14"/>
                <w:szCs w:val="14"/>
                <w:lang w:val="da-DK"/>
              </w:rPr>
              <w:t>(SL de Usuário)</w:t>
            </w:r>
            <w:bookmarkEnd w:id="231"/>
            <w:bookmarkEnd w:id="232"/>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00"/>
                <w:sz w:val="13"/>
                <w:szCs w:val="13"/>
                <w:u w:val="single"/>
              </w:rPr>
            </w:pPr>
            <w:hyperlink w:anchor="_46_Exchange_Hosted" w:history="1">
              <w:r w:rsidR="005B0EC7" w:rsidRPr="00B01D7E">
                <w:rPr>
                  <w:rStyle w:val="Hyperlink"/>
                  <w:b/>
                  <w:sz w:val="13"/>
                  <w:szCs w:val="13"/>
                </w:rPr>
                <w:t>46</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233" w:name="_Toc352234045"/>
            <w:r w:rsidRPr="005C0614">
              <w:rPr>
                <w:rFonts w:ascii="Tahoma" w:hAnsi="Tahoma" w:cs="Tahoma"/>
                <w:b w:val="0"/>
                <w:sz w:val="14"/>
                <w:szCs w:val="14"/>
              </w:rPr>
              <w:t>Arquivamento do Exchange Online para Exchange Online A</w:t>
            </w:r>
            <w:bookmarkEnd w:id="233"/>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b/>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ST (Somente EES</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234" w:name="_Toc352234046"/>
            <w:r w:rsidRPr="005C0614">
              <w:rPr>
                <w:rFonts w:ascii="Tahoma" w:hAnsi="Tahoma" w:cs="Tahoma"/>
                <w:b w:val="0"/>
                <w:sz w:val="14"/>
                <w:szCs w:val="14"/>
              </w:rPr>
              <w:t>Arquivamento do Exchange Online para Exchange Online</w:t>
            </w:r>
            <w:bookmarkEnd w:id="234"/>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b/>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235" w:name="_Toc336337951"/>
            <w:bookmarkStart w:id="236" w:name="_Toc352234047"/>
            <w:r w:rsidRPr="005C0614">
              <w:rPr>
                <w:rFonts w:ascii="Tahoma" w:hAnsi="Tahoma" w:cs="Tahoma"/>
                <w:b w:val="0"/>
                <w:sz w:val="14"/>
                <w:szCs w:val="14"/>
              </w:rPr>
              <w:t xml:space="preserve">Quiosque do Exchange Online </w:t>
            </w:r>
            <w:r w:rsidR="009F0B2E">
              <w:rPr>
                <w:rFonts w:ascii="Tahoma" w:hAnsi="Tahoma" w:cs="Tahoma"/>
                <w:sz w:val="14"/>
                <w:szCs w:val="14"/>
              </w:rPr>
              <w:br/>
            </w:r>
            <w:r w:rsidRPr="005C0614">
              <w:rPr>
                <w:rFonts w:ascii="Tahoma" w:hAnsi="Tahoma" w:cs="Tahoma"/>
                <w:b w:val="0"/>
                <w:sz w:val="14"/>
                <w:szCs w:val="14"/>
              </w:rPr>
              <w:t>(SL de Usuário)</w:t>
            </w:r>
            <w:bookmarkEnd w:id="235"/>
            <w:bookmarkEnd w:id="236"/>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00"/>
                <w:sz w:val="13"/>
                <w:szCs w:val="13"/>
                <w:u w:val="single"/>
              </w:rPr>
            </w:pPr>
            <w:hyperlink w:anchor="Srv_45ExchangeOnDeskWork" w:history="1">
              <w:r w:rsidR="005B0EC7" w:rsidRPr="00B01D7E">
                <w:rPr>
                  <w:rStyle w:val="Hyperlink"/>
                  <w:b/>
                  <w:sz w:val="13"/>
                  <w:szCs w:val="13"/>
                </w:rPr>
                <w:t>47</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39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237" w:name="_Toc336337952"/>
            <w:bookmarkStart w:id="238" w:name="_Toc352234048"/>
            <w:r w:rsidRPr="005C0614">
              <w:rPr>
                <w:rFonts w:ascii="Tahoma" w:hAnsi="Tahoma" w:cs="Tahoma"/>
                <w:b w:val="0"/>
                <w:sz w:val="14"/>
                <w:szCs w:val="14"/>
              </w:rPr>
              <w:t>Exchange Online Plano 1 (SL de Usuário)</w:t>
            </w:r>
            <w:bookmarkEnd w:id="237"/>
            <w:bookmarkEnd w:id="238"/>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48_Exchange_Online" w:history="1">
              <w:r w:rsidR="005B0EC7" w:rsidRPr="00B01D7E">
                <w:rPr>
                  <w:rStyle w:val="Hyperlink"/>
                  <w:b/>
                  <w:sz w:val="13"/>
                  <w:szCs w:val="13"/>
                </w:rPr>
                <w:t>48</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239" w:name="_Toc336337953"/>
            <w:bookmarkStart w:id="240" w:name="_Toc352234049"/>
            <w:r w:rsidRPr="005C0614">
              <w:rPr>
                <w:rFonts w:ascii="Tahoma" w:hAnsi="Tahoma" w:cs="Tahoma"/>
                <w:b w:val="0"/>
                <w:sz w:val="14"/>
                <w:szCs w:val="14"/>
              </w:rPr>
              <w:t>Exchange Online Plano 2 (SL de Usuário)</w:t>
            </w:r>
            <w:bookmarkEnd w:id="239"/>
            <w:bookmarkEnd w:id="240"/>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00"/>
                <w:sz w:val="13"/>
                <w:szCs w:val="13"/>
                <w:u w:val="single"/>
              </w:rPr>
            </w:pPr>
            <w:hyperlink w:anchor="_49_Exchange_Online" w:history="1">
              <w:r w:rsidR="005B0EC7" w:rsidRPr="00B01D7E">
                <w:rPr>
                  <w:rStyle w:val="Hyperlink"/>
                  <w:b/>
                  <w:sz w:val="13"/>
                  <w:szCs w:val="13"/>
                </w:rPr>
                <w:t>49</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3"/>
              <w:spacing w:before="20" w:after="20"/>
              <w:rPr>
                <w:rFonts w:ascii="Tahoma" w:hAnsi="Tahoma" w:cs="Tahoma"/>
                <w:b w:val="0"/>
                <w:sz w:val="14"/>
                <w:szCs w:val="14"/>
              </w:rPr>
            </w:pPr>
            <w:bookmarkStart w:id="241" w:name="_Toc336337954"/>
            <w:bookmarkStart w:id="242" w:name="_Toc352234050"/>
            <w:r w:rsidRPr="005C0614">
              <w:rPr>
                <w:rFonts w:ascii="Tahoma" w:hAnsi="Tahoma" w:cs="Tahoma"/>
                <w:b w:val="0"/>
                <w:sz w:val="14"/>
                <w:szCs w:val="14"/>
              </w:rPr>
              <w:t xml:space="preserve">Exchange Online Plan 1A para Alunos </w:t>
            </w:r>
            <w:r w:rsidR="009F0B2E">
              <w:rPr>
                <w:rFonts w:ascii="Tahoma" w:hAnsi="Tahoma" w:cs="Tahoma"/>
                <w:sz w:val="14"/>
                <w:szCs w:val="14"/>
              </w:rPr>
              <w:br/>
            </w:r>
            <w:r w:rsidRPr="005C0614">
              <w:rPr>
                <w:rFonts w:ascii="Tahoma" w:hAnsi="Tahoma" w:cs="Tahoma"/>
                <w:b w:val="0"/>
                <w:sz w:val="14"/>
                <w:szCs w:val="14"/>
              </w:rPr>
              <w:t>(SL do Usuário)</w:t>
            </w:r>
            <w:bookmarkEnd w:id="241"/>
            <w:bookmarkEnd w:id="242"/>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b/>
                <w:color w:val="000000"/>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(somente EES)</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3"/>
              <w:spacing w:before="20" w:after="20"/>
              <w:rPr>
                <w:rFonts w:ascii="Tahoma" w:hAnsi="Tahoma" w:cs="Tahoma"/>
                <w:b w:val="0"/>
                <w:sz w:val="14"/>
                <w:szCs w:val="14"/>
              </w:rPr>
            </w:pPr>
            <w:bookmarkStart w:id="243" w:name="_Toc336337955"/>
            <w:bookmarkStart w:id="244" w:name="_Toc352234051"/>
            <w:r w:rsidRPr="005C0614">
              <w:rPr>
                <w:rFonts w:ascii="Tahoma" w:hAnsi="Tahoma" w:cs="Tahoma"/>
                <w:b w:val="0"/>
                <w:sz w:val="14"/>
                <w:szCs w:val="14"/>
              </w:rPr>
              <w:t>Exchange Online Plano 2A (SL de Usuário)</w:t>
            </w:r>
            <w:bookmarkEnd w:id="243"/>
            <w:bookmarkEnd w:id="244"/>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b/>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(somente EES)</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45" w:name="_Toc352234052"/>
            <w:r w:rsidRPr="005C0614">
              <w:rPr>
                <w:rFonts w:ascii="Tahoma" w:hAnsi="Tahoma" w:cs="Tahoma"/>
                <w:sz w:val="14"/>
                <w:szCs w:val="14"/>
              </w:rPr>
              <w:lastRenderedPageBreak/>
              <w:t xml:space="preserve">Exchange Online Protection </w:t>
            </w:r>
            <w:r w:rsidR="009F0B2E">
              <w:rPr>
                <w:rFonts w:ascii="Tahoma" w:hAnsi="Tahoma" w:cs="Tahoma"/>
                <w:sz w:val="14"/>
                <w:szCs w:val="14"/>
              </w:rPr>
              <w:br/>
            </w:r>
            <w:r w:rsidRPr="005C0614">
              <w:rPr>
                <w:rFonts w:ascii="Tahoma" w:hAnsi="Tahoma" w:cs="Tahoma"/>
                <w:sz w:val="14"/>
                <w:szCs w:val="14"/>
              </w:rPr>
              <w:t>(SL de Usuário)</w:t>
            </w:r>
            <w:bookmarkEnd w:id="245"/>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sz w:val="13"/>
                <w:szCs w:val="13"/>
              </w:rPr>
            </w:pPr>
            <w:hyperlink w:anchor="_51_50_Exchange" w:history="1">
              <w:r w:rsidR="005B0EC7" w:rsidRPr="00B01D7E">
                <w:rPr>
                  <w:rStyle w:val="Hyperlink"/>
                  <w:b/>
                  <w:sz w:val="13"/>
                  <w:szCs w:val="13"/>
                </w:rPr>
                <w:t>50</w:t>
              </w:r>
            </w:hyperlink>
            <w:hyperlink w:anchor="_49_Exchange_Server"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rPr>
                <w:rFonts w:ascii="Tahoma" w:hAnsi="Tahoma" w:cs="Tahoma"/>
                <w:sz w:val="14"/>
                <w:szCs w:val="14"/>
              </w:rPr>
            </w:pPr>
            <w:bookmarkStart w:id="246" w:name="_Toc336337958"/>
            <w:bookmarkStart w:id="247" w:name="_Toc352234053"/>
            <w:r w:rsidRPr="005C0614">
              <w:rPr>
                <w:rFonts w:ascii="Tahoma" w:hAnsi="Tahoma" w:cs="Tahoma"/>
                <w:sz w:val="14"/>
                <w:szCs w:val="14"/>
              </w:rPr>
              <w:t>Exchange Server Enterprise</w:t>
            </w:r>
            <w:bookmarkEnd w:id="246"/>
            <w:r w:rsidRPr="005C0614">
              <w:rPr>
                <w:rFonts w:ascii="Tahoma" w:hAnsi="Tahoma" w:cs="Tahoma"/>
                <w:sz w:val="14"/>
                <w:szCs w:val="14"/>
              </w:rPr>
              <w:t xml:space="preserve"> 2013</w:t>
            </w:r>
            <w:bookmarkEnd w:id="247"/>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FF"/>
                <w:sz w:val="13"/>
                <w:szCs w:val="13"/>
                <w:u w:val="single"/>
              </w:rPr>
            </w:pPr>
            <w:hyperlink w:anchor="_52_51_Exchange" w:history="1">
              <w:r w:rsidR="005B0EC7" w:rsidRPr="00B01D7E">
                <w:rPr>
                  <w:rStyle w:val="Hyperlink"/>
                  <w:b/>
                  <w:sz w:val="13"/>
                  <w:szCs w:val="13"/>
                </w:rPr>
                <w:t>51</w:t>
              </w:r>
            </w:hyperlink>
            <w:hyperlink w:anchor="_49_Exchange_Server"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48" w:name="_Toc336337959"/>
            <w:bookmarkStart w:id="249" w:name="_Toc352234054"/>
            <w:r w:rsidRPr="005C0614">
              <w:rPr>
                <w:rFonts w:ascii="Tahoma" w:hAnsi="Tahoma" w:cs="Tahoma"/>
                <w:sz w:val="14"/>
                <w:szCs w:val="14"/>
              </w:rPr>
              <w:t>Exchange Server Standard</w:t>
            </w:r>
            <w:bookmarkEnd w:id="248"/>
            <w:r w:rsidRPr="005C0614">
              <w:rPr>
                <w:rFonts w:ascii="Tahoma" w:hAnsi="Tahoma" w:cs="Tahoma"/>
                <w:sz w:val="14"/>
                <w:szCs w:val="14"/>
              </w:rPr>
              <w:t xml:space="preserve"> 2013</w:t>
            </w:r>
            <w:bookmarkEnd w:id="249"/>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52_51_Exchange" w:history="1">
              <w:r w:rsidR="005B0EC7" w:rsidRPr="00B01D7E">
                <w:rPr>
                  <w:rStyle w:val="Hyperlink"/>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9F0B2E">
            <w:pPr>
              <w:pStyle w:val="ProductNames"/>
              <w:rPr>
                <w:rFonts w:ascii="Tahoma" w:hAnsi="Tahoma" w:cs="Tahoma"/>
                <w:sz w:val="14"/>
                <w:szCs w:val="14"/>
              </w:rPr>
            </w:pPr>
            <w:bookmarkStart w:id="250" w:name="_Toc336337960"/>
            <w:bookmarkStart w:id="251" w:name="_Toc352234055"/>
            <w:r w:rsidRPr="005C0614">
              <w:rPr>
                <w:rFonts w:ascii="Tahoma" w:hAnsi="Tahoma" w:cs="Tahoma"/>
                <w:sz w:val="14"/>
                <w:szCs w:val="14"/>
              </w:rPr>
              <w:t>Exchange Server 2007 Standard for Small</w:t>
            </w:r>
            <w:r w:rsidR="009F0B2E">
              <w:rPr>
                <w:rFonts w:ascii="Tahoma" w:hAnsi="Tahoma" w:cs="Tahoma"/>
                <w:sz w:val="14"/>
                <w:szCs w:val="14"/>
              </w:rPr>
              <w:t> </w:t>
            </w:r>
            <w:r w:rsidRPr="005C0614">
              <w:rPr>
                <w:rFonts w:ascii="Tahoma" w:hAnsi="Tahoma" w:cs="Tahoma"/>
                <w:sz w:val="14"/>
                <w:szCs w:val="14"/>
              </w:rPr>
              <w:t>Business</w:t>
            </w:r>
            <w:bookmarkEnd w:id="250"/>
            <w:bookmarkEnd w:id="251"/>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52" w:name="_Toc336337961"/>
            <w:bookmarkStart w:id="253" w:name="_Toc352234056"/>
            <w:r w:rsidRPr="005C0614">
              <w:rPr>
                <w:rFonts w:ascii="Tahoma" w:hAnsi="Tahoma" w:cs="Tahoma"/>
                <w:sz w:val="14"/>
                <w:szCs w:val="14"/>
              </w:rPr>
              <w:t xml:space="preserve">CAL do Exchange Server 2007 Standard </w:t>
            </w:r>
            <w:r w:rsidR="009F0B2E">
              <w:rPr>
                <w:rFonts w:ascii="Tahoma" w:hAnsi="Tahoma" w:cs="Tahoma"/>
                <w:sz w:val="14"/>
                <w:szCs w:val="14"/>
              </w:rPr>
              <w:br/>
            </w:r>
            <w:r w:rsidRPr="005C0614">
              <w:rPr>
                <w:rFonts w:ascii="Tahoma" w:hAnsi="Tahoma" w:cs="Tahoma"/>
                <w:sz w:val="14"/>
                <w:szCs w:val="14"/>
              </w:rPr>
              <w:t>for Small Business</w:t>
            </w:r>
            <w:bookmarkEnd w:id="252"/>
            <w:bookmarkEnd w:id="253"/>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rPr>
                <w:rFonts w:ascii="Tahoma" w:hAnsi="Tahoma" w:cs="Tahoma"/>
                <w:sz w:val="14"/>
                <w:szCs w:val="14"/>
                <w:lang w:val="pt-BR"/>
              </w:rPr>
            </w:pPr>
            <w:bookmarkStart w:id="254" w:name="_Toc336337963"/>
            <w:bookmarkStart w:id="255" w:name="_Toc352234057"/>
            <w:r w:rsidRPr="002E114F">
              <w:rPr>
                <w:rFonts w:ascii="Tahoma" w:hAnsi="Tahoma" w:cs="Tahoma"/>
                <w:sz w:val="14"/>
                <w:szCs w:val="14"/>
                <w:lang w:val="pt-BR"/>
              </w:rPr>
              <w:t>CAL do Exchange Server 2010 Standard (Dispositivo e Usuário)</w:t>
            </w:r>
            <w:bookmarkEnd w:id="254"/>
            <w:bookmarkEnd w:id="255"/>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53_52_Exchange" w:history="1">
              <w:r w:rsidR="005B0EC7" w:rsidRPr="00B01D7E">
                <w:rPr>
                  <w:rStyle w:val="Hyperlink"/>
                  <w:b/>
                  <w:sz w:val="13"/>
                  <w:szCs w:val="13"/>
                </w:rPr>
                <w:t>52</w:t>
              </w:r>
            </w:hyperlink>
            <w:hyperlink w:anchor="_50_Exchange_Server"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Del="00515A83" w:rsidTr="005C0614">
        <w:trPr>
          <w:trHeight w:val="145"/>
        </w:trPr>
        <w:tc>
          <w:tcPr>
            <w:tcW w:w="2734" w:type="dxa"/>
            <w:gridSpan w:val="2"/>
            <w:tcBorders>
              <w:bottom w:val="single" w:sz="4" w:space="0" w:color="auto"/>
            </w:tcBorders>
            <w:shd w:val="clear" w:color="auto" w:fill="FABF8F"/>
            <w:vAlign w:val="center"/>
          </w:tcPr>
          <w:p w:rsidR="001A63C6" w:rsidRPr="005C0614" w:rsidDel="00515A83" w:rsidRDefault="001A63C6" w:rsidP="005C0614">
            <w:pPr>
              <w:pStyle w:val="ProductNames"/>
              <w:rPr>
                <w:rFonts w:ascii="Tahoma" w:hAnsi="Tahoma" w:cs="Tahoma"/>
                <w:sz w:val="14"/>
                <w:szCs w:val="14"/>
              </w:rPr>
            </w:pPr>
            <w:bookmarkStart w:id="256" w:name="_Toc336337965"/>
            <w:bookmarkStart w:id="257" w:name="_Toc352234058"/>
            <w:r w:rsidRPr="005C0614">
              <w:rPr>
                <w:rFonts w:ascii="Tahoma" w:hAnsi="Tahoma" w:cs="Tahoma"/>
                <w:sz w:val="14"/>
                <w:szCs w:val="14"/>
              </w:rPr>
              <w:t>Forefront Endpoint Protection</w:t>
            </w:r>
            <w:bookmarkEnd w:id="256"/>
            <w:bookmarkEnd w:id="257"/>
          </w:p>
        </w:tc>
        <w:tc>
          <w:tcPr>
            <w:tcW w:w="450" w:type="dxa"/>
            <w:tcBorders>
              <w:bottom w:val="single" w:sz="4" w:space="0" w:color="auto"/>
            </w:tcBorders>
            <w:shd w:val="clear" w:color="auto" w:fill="FABF8F"/>
            <w:vAlign w:val="center"/>
          </w:tcPr>
          <w:p w:rsidR="001A63C6" w:rsidRPr="00B01D7E" w:rsidDel="00515A83" w:rsidRDefault="008719E7" w:rsidP="00CE54BA">
            <w:pPr>
              <w:pStyle w:val="TableText"/>
              <w:widowControl w:val="0"/>
              <w:spacing w:before="20" w:after="20"/>
              <w:rPr>
                <w:rStyle w:val="EndnoteReference"/>
                <w:b w:val="0"/>
                <w:color w:val="000000"/>
                <w:sz w:val="13"/>
                <w:szCs w:val="13"/>
                <w:u w:val="single"/>
              </w:rPr>
            </w:pPr>
            <w:hyperlink w:anchor="_53_Forefront_Endpoint" w:history="1">
              <w:r w:rsidR="005B0EC7" w:rsidRPr="00B01D7E">
                <w:rPr>
                  <w:rStyle w:val="Hyperlink"/>
                  <w:b/>
                  <w:sz w:val="13"/>
                  <w:szCs w:val="13"/>
                </w:rPr>
                <w:t>53</w:t>
              </w:r>
            </w:hyperlink>
          </w:p>
        </w:tc>
        <w:tc>
          <w:tcPr>
            <w:tcW w:w="450" w:type="dxa"/>
            <w:tcBorders>
              <w:bottom w:val="single" w:sz="4"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515A83"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2E114F" w:rsidRDefault="001A63C6" w:rsidP="005C0614">
            <w:pPr>
              <w:pStyle w:val="ProductNames"/>
              <w:rPr>
                <w:rFonts w:ascii="Tahoma" w:hAnsi="Tahoma" w:cs="Tahoma"/>
                <w:sz w:val="14"/>
                <w:szCs w:val="14"/>
                <w:lang w:val="pt-BR"/>
              </w:rPr>
            </w:pPr>
            <w:bookmarkStart w:id="258" w:name="_Toc336337966"/>
            <w:bookmarkStart w:id="259" w:name="_Toc352234059"/>
            <w:r w:rsidRPr="002E114F">
              <w:rPr>
                <w:rFonts w:ascii="Tahoma" w:hAnsi="Tahoma" w:cs="Tahoma"/>
                <w:sz w:val="14"/>
                <w:szCs w:val="14"/>
                <w:lang w:val="pt-BR"/>
              </w:rPr>
              <w:t>CAL do Forefront Identity Manager 2010 R2 (Somente usuário)</w:t>
            </w:r>
            <w:bookmarkEnd w:id="258"/>
            <w:bookmarkEnd w:id="259"/>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54_Forefront_Identity" w:history="1">
              <w:r w:rsidR="005B0EC7" w:rsidRPr="00B01D7E">
                <w:rPr>
                  <w:rStyle w:val="Hyperlink"/>
                  <w:b/>
                  <w:sz w:val="13"/>
                  <w:szCs w:val="13"/>
                </w:rPr>
                <w:t>54</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60" w:name="_Toc336337967"/>
            <w:bookmarkStart w:id="261" w:name="_Toc352234060"/>
            <w:r w:rsidRPr="005C0614">
              <w:rPr>
                <w:rFonts w:ascii="Tahoma" w:hAnsi="Tahoma" w:cs="Tahoma"/>
                <w:sz w:val="14"/>
                <w:szCs w:val="14"/>
              </w:rPr>
              <w:t>Forefront Identity Manager 2010 R2 External Connector</w:t>
            </w:r>
            <w:bookmarkEnd w:id="260"/>
            <w:bookmarkEnd w:id="261"/>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00"/>
                <w:sz w:val="13"/>
                <w:szCs w:val="13"/>
                <w:u w:val="single"/>
              </w:rPr>
            </w:pPr>
            <w:hyperlink w:anchor="_54_Forefront_Identity" w:history="1">
              <w:r w:rsidR="005B0EC7" w:rsidRPr="00B01D7E">
                <w:rPr>
                  <w:rStyle w:val="Hyperlink"/>
                  <w:b/>
                  <w:sz w:val="13"/>
                  <w:szCs w:val="13"/>
                </w:rPr>
                <w:t>54</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313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250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rPr>
                <w:rFonts w:ascii="Tahoma" w:hAnsi="Tahoma" w:cs="Tahoma"/>
                <w:sz w:val="14"/>
                <w:szCs w:val="14"/>
              </w:rPr>
            </w:pPr>
            <w:bookmarkStart w:id="262" w:name="_Toc336337968"/>
            <w:bookmarkStart w:id="263" w:name="_Toc352234061"/>
            <w:r w:rsidRPr="005C0614">
              <w:rPr>
                <w:rFonts w:ascii="Tahoma" w:hAnsi="Tahoma" w:cs="Tahoma"/>
                <w:sz w:val="14"/>
                <w:szCs w:val="14"/>
              </w:rPr>
              <w:t>Forefront Identity Manager 2010 R2 Server</w:t>
            </w:r>
            <w:bookmarkEnd w:id="262"/>
            <w:bookmarkEnd w:id="263"/>
            <w:r w:rsidRPr="005C0614">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00"/>
                <w:sz w:val="13"/>
                <w:szCs w:val="13"/>
                <w:u w:val="single"/>
              </w:rPr>
            </w:pPr>
            <w:hyperlink w:anchor="_54_Forefront_Identity" w:history="1">
              <w:r w:rsidR="005B0EC7" w:rsidRPr="00B01D7E">
                <w:rPr>
                  <w:rStyle w:val="Hyperlink"/>
                  <w:b/>
                  <w:sz w:val="13"/>
                  <w:szCs w:val="13"/>
                </w:rPr>
                <w:t>54</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264" w:name="_Toc336337969"/>
            <w:bookmarkStart w:id="265" w:name="_Toc352234062"/>
            <w:r w:rsidRPr="005C0614">
              <w:rPr>
                <w:rFonts w:ascii="Tahoma" w:hAnsi="Tahoma" w:cs="Tahoma"/>
                <w:b w:val="0"/>
                <w:sz w:val="14"/>
                <w:szCs w:val="14"/>
              </w:rPr>
              <w:t>Forefront Identity Manager 2010 R2 – Windows Live Edition</w:t>
            </w:r>
            <w:bookmarkEnd w:id="264"/>
            <w:bookmarkEnd w:id="265"/>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55_Forefront_Identity" w:history="1">
              <w:r w:rsidR="005B0EC7" w:rsidRPr="00B01D7E">
                <w:rPr>
                  <w:rStyle w:val="Hyperlink"/>
                  <w:b/>
                  <w:sz w:val="13"/>
                  <w:szCs w:val="13"/>
                </w:rPr>
                <w:t>55</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szCs w:val="13"/>
              </w:rPr>
            </w:pPr>
            <w:r w:rsidRPr="0041607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rPr>
                <w:rFonts w:ascii="Tahoma" w:hAnsi="Tahoma" w:cs="Tahoma"/>
                <w:sz w:val="14"/>
                <w:szCs w:val="14"/>
              </w:rPr>
            </w:pPr>
            <w:bookmarkStart w:id="266" w:name="_Toc336337971"/>
            <w:bookmarkStart w:id="267" w:name="_Toc352234063"/>
            <w:r w:rsidRPr="005C0614">
              <w:rPr>
                <w:rFonts w:ascii="Tahoma" w:hAnsi="Tahoma" w:cs="Tahoma"/>
                <w:sz w:val="14"/>
                <w:szCs w:val="14"/>
              </w:rPr>
              <w:t>Forefront Protection 2010 for Exchange Server (SL de Dispositivo e Usuário)</w:t>
            </w:r>
            <w:bookmarkEnd w:id="266"/>
            <w:bookmarkEnd w:id="267"/>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00"/>
                <w:sz w:val="13"/>
                <w:szCs w:val="13"/>
                <w:u w:val="single"/>
              </w:rPr>
            </w:pPr>
            <w:hyperlink w:anchor="_56_Forefront_Protection" w:history="1">
              <w:r w:rsidR="005B0EC7" w:rsidRPr="003265DE">
                <w:rPr>
                  <w:rStyle w:val="Hyperlink"/>
                  <w:b/>
                  <w:sz w:val="13"/>
                  <w:szCs w:val="13"/>
                </w:rPr>
                <w:t>56</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68" w:name="_Toc336337973"/>
            <w:bookmarkStart w:id="269" w:name="_Toc352234064"/>
            <w:r w:rsidRPr="005C0614">
              <w:rPr>
                <w:rFonts w:ascii="Tahoma" w:hAnsi="Tahoma" w:cs="Tahoma"/>
                <w:sz w:val="14"/>
                <w:szCs w:val="14"/>
              </w:rPr>
              <w:t xml:space="preserve">Forefront Protection Suite </w:t>
            </w:r>
            <w:r w:rsidR="009F0B2E">
              <w:rPr>
                <w:rFonts w:ascii="Tahoma" w:hAnsi="Tahoma" w:cs="Tahoma"/>
                <w:sz w:val="14"/>
                <w:szCs w:val="14"/>
              </w:rPr>
              <w:br/>
            </w:r>
            <w:r w:rsidRPr="005C0614">
              <w:rPr>
                <w:rFonts w:ascii="Tahoma" w:hAnsi="Tahoma" w:cs="Tahoma"/>
                <w:sz w:val="14"/>
                <w:szCs w:val="14"/>
              </w:rPr>
              <w:t>(SL de Dispositivo e Usuário)</w:t>
            </w:r>
            <w:bookmarkEnd w:id="268"/>
            <w:bookmarkEnd w:id="269"/>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57_Forefront_Protection" w:history="1">
              <w:r w:rsidR="005B0EC7" w:rsidRPr="003265DE">
                <w:rPr>
                  <w:rStyle w:val="Hyperlink"/>
                  <w:b/>
                  <w:sz w:val="13"/>
                  <w:szCs w:val="13"/>
                </w:rPr>
                <w:t>57</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rPr>
                <w:rFonts w:ascii="Tahoma" w:hAnsi="Tahoma" w:cs="Tahoma"/>
                <w:sz w:val="14"/>
                <w:szCs w:val="14"/>
              </w:rPr>
            </w:pPr>
            <w:bookmarkStart w:id="270" w:name="_Toc336337974"/>
            <w:bookmarkStart w:id="271" w:name="_Toc352234065"/>
            <w:r w:rsidRPr="005C0614">
              <w:rPr>
                <w:rFonts w:ascii="Tahoma" w:hAnsi="Tahoma" w:cs="Tahoma"/>
                <w:sz w:val="14"/>
                <w:szCs w:val="14"/>
              </w:rPr>
              <w:t xml:space="preserve">Forefront Security for Office Communications Server </w:t>
            </w:r>
            <w:r w:rsidR="009F0B2E">
              <w:rPr>
                <w:rFonts w:ascii="Tahoma" w:hAnsi="Tahoma" w:cs="Tahoma"/>
                <w:sz w:val="14"/>
                <w:szCs w:val="14"/>
              </w:rPr>
              <w:br/>
            </w:r>
            <w:r w:rsidRPr="005C0614">
              <w:rPr>
                <w:rFonts w:ascii="Tahoma" w:hAnsi="Tahoma" w:cs="Tahoma"/>
                <w:sz w:val="14"/>
                <w:szCs w:val="14"/>
              </w:rPr>
              <w:t>(SL de Dispositivo e Usuário)</w:t>
            </w:r>
            <w:bookmarkEnd w:id="270"/>
            <w:bookmarkEnd w:id="271"/>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00"/>
                <w:sz w:val="13"/>
                <w:szCs w:val="13"/>
                <w:u w:val="single"/>
              </w:rPr>
            </w:pPr>
            <w:hyperlink w:anchor="_58_Forefront_Security" w:history="1">
              <w:r w:rsidR="005B0EC7" w:rsidRPr="003265DE">
                <w:rPr>
                  <w:rStyle w:val="Hyperlink"/>
                  <w:b/>
                  <w:sz w:val="13"/>
                  <w:szCs w:val="13"/>
                </w:rPr>
                <w:t>58</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72" w:name="_Toc336337976"/>
            <w:bookmarkStart w:id="273" w:name="_Toc352234066"/>
            <w:r w:rsidRPr="005C0614">
              <w:rPr>
                <w:rFonts w:ascii="Tahoma" w:hAnsi="Tahoma" w:cs="Tahoma"/>
                <w:sz w:val="14"/>
                <w:szCs w:val="14"/>
              </w:rPr>
              <w:t>Forefront Protection 2010 for SharePoint (SL de Dispositivo e Usuário)</w:t>
            </w:r>
            <w:bookmarkEnd w:id="272"/>
            <w:bookmarkEnd w:id="273"/>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00"/>
                <w:sz w:val="13"/>
                <w:szCs w:val="13"/>
                <w:u w:val="single"/>
              </w:rPr>
            </w:pPr>
            <w:hyperlink w:anchor="_54_Forefront_Protection" w:history="1">
              <w:r w:rsidR="005B0EC7" w:rsidRPr="003265DE">
                <w:rPr>
                  <w:rStyle w:val="Hyperlink"/>
                  <w:b/>
                  <w:sz w:val="13"/>
                  <w:szCs w:val="13"/>
                </w:rPr>
                <w:t>56</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rPr>
                <w:rFonts w:ascii="Tahoma" w:hAnsi="Tahoma" w:cs="Tahoma"/>
                <w:sz w:val="14"/>
                <w:szCs w:val="14"/>
              </w:rPr>
            </w:pPr>
            <w:bookmarkStart w:id="274" w:name="_Toc336337977"/>
            <w:bookmarkStart w:id="275" w:name="_Toc352234067"/>
            <w:r w:rsidRPr="005C0614">
              <w:rPr>
                <w:rFonts w:ascii="Tahoma" w:hAnsi="Tahoma" w:cs="Tahoma"/>
                <w:sz w:val="14"/>
                <w:szCs w:val="14"/>
              </w:rPr>
              <w:t>Forefront Protection 2010 for SharePoint for Internet Sites (SL Complementar)</w:t>
            </w:r>
            <w:bookmarkEnd w:id="274"/>
            <w:bookmarkEnd w:id="275"/>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00"/>
                <w:sz w:val="13"/>
                <w:szCs w:val="13"/>
                <w:u w:val="single"/>
              </w:rPr>
            </w:pPr>
            <w:hyperlink w:anchor="_54_Forefront_Protection" w:history="1">
              <w:r w:rsidR="005B0EC7" w:rsidRPr="003265DE">
                <w:rPr>
                  <w:rStyle w:val="Hyperlink"/>
                  <w:b/>
                  <w:sz w:val="13"/>
                  <w:szCs w:val="13"/>
                </w:rPr>
                <w:t>56</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OV</w:t>
            </w: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76" w:name="_Toc336337981"/>
            <w:bookmarkStart w:id="277" w:name="_Toc352234068"/>
            <w:r w:rsidRPr="005C0614">
              <w:rPr>
                <w:rFonts w:ascii="Tahoma" w:hAnsi="Tahoma" w:cs="Tahoma"/>
                <w:sz w:val="14"/>
                <w:szCs w:val="14"/>
              </w:rPr>
              <w:t>Forefront Threat Management Gateway Web Protection Services</w:t>
            </w:r>
            <w:bookmarkEnd w:id="276"/>
            <w:bookmarkEnd w:id="277"/>
            <w:r w:rsidRPr="005C0614">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59_Forefront_Threat" w:history="1">
              <w:r w:rsidR="004E5F2F" w:rsidRPr="003265DE">
                <w:rPr>
                  <w:rStyle w:val="Hyperlink"/>
                  <w:b/>
                  <w:sz w:val="13"/>
                  <w:szCs w:val="13"/>
                </w:rPr>
                <w:t>59</w:t>
              </w:r>
            </w:hyperlink>
            <w:hyperlink w:anchor="_57_Forefront_Threat"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9F0B2E">
            <w:pPr>
              <w:pStyle w:val="ProductNames"/>
              <w:rPr>
                <w:rFonts w:ascii="Tahoma" w:hAnsi="Tahoma" w:cs="Tahoma"/>
                <w:sz w:val="14"/>
                <w:szCs w:val="14"/>
              </w:rPr>
            </w:pPr>
            <w:bookmarkStart w:id="278" w:name="_Toc336337982"/>
            <w:bookmarkStart w:id="279" w:name="_Toc352234069"/>
            <w:r w:rsidRPr="005C0614">
              <w:rPr>
                <w:rFonts w:ascii="Tahoma" w:hAnsi="Tahoma" w:cs="Tahoma"/>
                <w:sz w:val="14"/>
                <w:szCs w:val="14"/>
              </w:rPr>
              <w:t>Forefront Unified Access Gateway Server</w:t>
            </w:r>
            <w:r w:rsidR="009F0B2E">
              <w:rPr>
                <w:rFonts w:ascii="Tahoma" w:hAnsi="Tahoma" w:cs="Tahoma"/>
                <w:sz w:val="14"/>
                <w:szCs w:val="14"/>
              </w:rPr>
              <w:t> </w:t>
            </w:r>
            <w:r w:rsidRPr="005C0614">
              <w:rPr>
                <w:rFonts w:ascii="Tahoma" w:hAnsi="Tahoma" w:cs="Tahoma"/>
                <w:sz w:val="14"/>
                <w:szCs w:val="14"/>
              </w:rPr>
              <w:t>2010</w:t>
            </w:r>
            <w:bookmarkEnd w:id="278"/>
            <w:bookmarkEnd w:id="279"/>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00"/>
                <w:sz w:val="13"/>
                <w:szCs w:val="13"/>
                <w:u w:val="single"/>
              </w:rPr>
            </w:pPr>
            <w:hyperlink w:anchor="_60_Forefront_Unified" w:history="1">
              <w:r w:rsidR="00EF228F" w:rsidRPr="003265DE">
                <w:rPr>
                  <w:rStyle w:val="Hyperlink"/>
                  <w:b/>
                  <w:sz w:val="13"/>
                  <w:szCs w:val="13"/>
                </w:rPr>
                <w:t>60</w:t>
              </w:r>
            </w:hyperlink>
            <w:hyperlink w:anchor="Srv_52ForefrontUnifiedAccessGtwy2010"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80" w:name="_Toc336337983"/>
            <w:bookmarkStart w:id="281" w:name="_Toc352234070"/>
            <w:r w:rsidRPr="005C0614">
              <w:rPr>
                <w:rFonts w:ascii="Tahoma" w:hAnsi="Tahoma" w:cs="Tahoma"/>
                <w:sz w:val="14"/>
                <w:szCs w:val="14"/>
              </w:rPr>
              <w:t>External Connector do Forefront Unified Access Gateway 2010</w:t>
            </w:r>
            <w:bookmarkEnd w:id="280"/>
            <w:bookmarkEnd w:id="281"/>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00"/>
                <w:sz w:val="13"/>
                <w:szCs w:val="13"/>
                <w:u w:val="single"/>
              </w:rPr>
            </w:pPr>
            <w:hyperlink w:anchor="_60_Forefront_Unified" w:history="1">
              <w:r w:rsidR="003265DE" w:rsidRPr="003265DE">
                <w:rPr>
                  <w:rStyle w:val="Hyperlink"/>
                  <w:b/>
                  <w:sz w:val="13"/>
                  <w:szCs w:val="13"/>
                </w:rPr>
                <w:t>60</w:t>
              </w:r>
            </w:hyperlink>
            <w:hyperlink w:anchor="Srv_56ForefrontUnifiedAccessGtwy2010"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9F0B2E">
            <w:pPr>
              <w:pStyle w:val="ProductNames"/>
              <w:rPr>
                <w:rFonts w:ascii="Tahoma" w:hAnsi="Tahoma" w:cs="Tahoma"/>
                <w:sz w:val="14"/>
                <w:szCs w:val="14"/>
              </w:rPr>
            </w:pPr>
            <w:bookmarkStart w:id="282" w:name="_Toc336337984"/>
            <w:bookmarkStart w:id="283" w:name="_Toc352234071"/>
            <w:r w:rsidRPr="005C0614">
              <w:rPr>
                <w:rFonts w:ascii="Tahoma" w:hAnsi="Tahoma" w:cs="Tahoma"/>
                <w:sz w:val="14"/>
                <w:szCs w:val="14"/>
              </w:rPr>
              <w:t>CAL do Forefront Unified Access Gateway</w:t>
            </w:r>
            <w:r w:rsidR="009F0B2E">
              <w:rPr>
                <w:rFonts w:ascii="Tahoma" w:hAnsi="Tahoma" w:cs="Tahoma"/>
                <w:sz w:val="14"/>
                <w:szCs w:val="14"/>
              </w:rPr>
              <w:t> </w:t>
            </w:r>
            <w:r w:rsidRPr="005C0614">
              <w:rPr>
                <w:rFonts w:ascii="Tahoma" w:hAnsi="Tahoma" w:cs="Tahoma"/>
                <w:sz w:val="14"/>
                <w:szCs w:val="14"/>
              </w:rPr>
              <w:t>2010</w:t>
            </w:r>
            <w:bookmarkEnd w:id="282"/>
            <w:bookmarkEnd w:id="283"/>
            <w:r w:rsidRPr="005C0614">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00"/>
                <w:sz w:val="13"/>
                <w:szCs w:val="13"/>
                <w:u w:val="single"/>
              </w:rPr>
            </w:pPr>
            <w:hyperlink w:anchor="_60_Forefront_Unified" w:history="1">
              <w:r w:rsidR="003265DE" w:rsidRPr="003265DE">
                <w:rPr>
                  <w:rStyle w:val="Hyperlink"/>
                  <w:b/>
                  <w:sz w:val="13"/>
                  <w:szCs w:val="13"/>
                </w:rPr>
                <w:t>60</w:t>
              </w:r>
            </w:hyperlink>
            <w:hyperlink w:anchor="Srv_52ForefrontUnifiedAccessGtwy2010"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84" w:name="_Toc336337985"/>
            <w:bookmarkStart w:id="285" w:name="_Toc352234072"/>
            <w:r w:rsidRPr="005C0614">
              <w:rPr>
                <w:rFonts w:ascii="Tahoma" w:hAnsi="Tahoma" w:cs="Tahoma"/>
                <w:sz w:val="14"/>
                <w:szCs w:val="14"/>
              </w:rPr>
              <w:t>Pacote CAL do Forefront Unified Access Gateway 2010 10K</w:t>
            </w:r>
            <w:bookmarkEnd w:id="284"/>
            <w:bookmarkEnd w:id="285"/>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00"/>
                <w:sz w:val="13"/>
                <w:szCs w:val="13"/>
                <w:u w:val="single"/>
              </w:rPr>
            </w:pPr>
            <w:hyperlink w:anchor="_60_Forefront_Unified" w:history="1">
              <w:r w:rsidR="003265DE" w:rsidRPr="003265DE">
                <w:rPr>
                  <w:rStyle w:val="Hyperlink"/>
                  <w:b/>
                  <w:sz w:val="13"/>
                  <w:szCs w:val="13"/>
                </w:rPr>
                <w:t>60</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rPr>
                <w:rFonts w:ascii="Tahoma" w:hAnsi="Tahoma" w:cs="Tahoma"/>
                <w:sz w:val="14"/>
                <w:szCs w:val="14"/>
              </w:rPr>
            </w:pPr>
            <w:bookmarkStart w:id="286" w:name="_Toc336337986"/>
            <w:bookmarkStart w:id="287" w:name="_Toc352234073"/>
            <w:r w:rsidRPr="005C0614">
              <w:rPr>
                <w:rFonts w:ascii="Tahoma" w:hAnsi="Tahoma" w:cs="Tahoma"/>
                <w:sz w:val="14"/>
                <w:szCs w:val="14"/>
              </w:rPr>
              <w:t>GeoSynth Server</w:t>
            </w:r>
            <w:bookmarkEnd w:id="286"/>
            <w:bookmarkEnd w:id="287"/>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b/>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88" w:name="_Toc336337990"/>
            <w:bookmarkStart w:id="289" w:name="_Toc352234074"/>
            <w:r w:rsidRPr="005C0614">
              <w:rPr>
                <w:rFonts w:ascii="Tahoma" w:hAnsi="Tahoma" w:cs="Tahoma"/>
                <w:sz w:val="14"/>
                <w:szCs w:val="14"/>
              </w:rPr>
              <w:t>HPC Pack 2008 R2 Enterprise</w:t>
            </w:r>
            <w:bookmarkEnd w:id="288"/>
            <w:bookmarkEnd w:id="289"/>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color w:val="000000"/>
                <w:sz w:val="13"/>
                <w:szCs w:val="13"/>
                <w:u w:val="single"/>
              </w:rPr>
            </w:pPr>
            <w:hyperlink w:anchor="_51_High_Performance" w:history="1">
              <w:r w:rsidR="005B0EC7" w:rsidRPr="00B01D7E">
                <w:rPr>
                  <w:rStyle w:val="Hyperlink"/>
                  <w:b/>
                  <w:sz w:val="13"/>
                  <w:szCs w:val="13"/>
                </w:rPr>
                <w:t>61</w:t>
              </w:r>
            </w:hyperlink>
            <w:hyperlink w:anchor="Srv_54HighPerfComputingPack"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rPr>
                <w:rFonts w:ascii="Tahoma" w:hAnsi="Tahoma" w:cs="Tahoma"/>
                <w:sz w:val="14"/>
                <w:szCs w:val="14"/>
              </w:rPr>
            </w:pPr>
            <w:bookmarkStart w:id="290" w:name="_Toc336337991"/>
            <w:bookmarkStart w:id="291" w:name="_Toc352234075"/>
            <w:r w:rsidRPr="005C0614">
              <w:rPr>
                <w:rFonts w:ascii="Tahoma" w:hAnsi="Tahoma" w:cs="Tahoma"/>
                <w:sz w:val="14"/>
                <w:szCs w:val="14"/>
              </w:rPr>
              <w:t>HPC Pack 2008 R2 para Workstation</w:t>
            </w:r>
            <w:bookmarkEnd w:id="290"/>
            <w:bookmarkEnd w:id="291"/>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00"/>
                <w:sz w:val="13"/>
                <w:szCs w:val="13"/>
                <w:u w:val="single"/>
              </w:rPr>
            </w:pPr>
            <w:hyperlink w:anchor="_63_61_HPC" w:history="1">
              <w:r w:rsidR="005B0EC7" w:rsidRPr="00B01D7E">
                <w:rPr>
                  <w:rStyle w:val="Hyperlink"/>
                  <w:b/>
                  <w:sz w:val="13"/>
                  <w:szCs w:val="13"/>
                </w:rPr>
                <w:t>61</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rPr>
                <w:rFonts w:ascii="Tahoma" w:hAnsi="Tahoma" w:cs="Tahoma"/>
                <w:sz w:val="14"/>
                <w:szCs w:val="14"/>
              </w:rPr>
            </w:pPr>
            <w:bookmarkStart w:id="292" w:name="_Toc336337992"/>
            <w:bookmarkStart w:id="293" w:name="_Toc352234076"/>
            <w:r w:rsidRPr="005C0614">
              <w:rPr>
                <w:rFonts w:ascii="Tahoma" w:hAnsi="Tahoma" w:cs="Tahoma"/>
                <w:sz w:val="14"/>
                <w:szCs w:val="14"/>
              </w:rPr>
              <w:t xml:space="preserve">Learning Solutions Combination </w:t>
            </w:r>
            <w:r w:rsidR="009F0B2E">
              <w:rPr>
                <w:rFonts w:ascii="Tahoma" w:hAnsi="Tahoma" w:cs="Tahoma"/>
                <w:sz w:val="14"/>
                <w:szCs w:val="14"/>
              </w:rPr>
              <w:br/>
            </w:r>
            <w:r w:rsidRPr="005C0614">
              <w:rPr>
                <w:rFonts w:ascii="Tahoma" w:hAnsi="Tahoma" w:cs="Tahoma"/>
                <w:sz w:val="14"/>
                <w:szCs w:val="14"/>
              </w:rPr>
              <w:t>E-Reference Library (SL de Usuário)</w:t>
            </w:r>
            <w:bookmarkEnd w:id="292"/>
            <w:bookmarkEnd w:id="293"/>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rPr>
                <w:rFonts w:ascii="Tahoma" w:hAnsi="Tahoma" w:cs="Tahoma"/>
                <w:sz w:val="14"/>
                <w:szCs w:val="14"/>
              </w:rPr>
            </w:pPr>
            <w:bookmarkStart w:id="294" w:name="_Toc336337993"/>
            <w:bookmarkStart w:id="295" w:name="_Toc352234077"/>
            <w:r w:rsidRPr="005C0614">
              <w:rPr>
                <w:rFonts w:ascii="Tahoma" w:hAnsi="Tahoma" w:cs="Tahoma"/>
                <w:sz w:val="14"/>
                <w:szCs w:val="14"/>
              </w:rPr>
              <w:t xml:space="preserve">Learning Solutions IT Academy </w:t>
            </w:r>
            <w:r w:rsidR="009F0B2E">
              <w:rPr>
                <w:rFonts w:ascii="Tahoma" w:hAnsi="Tahoma" w:cs="Tahoma"/>
                <w:sz w:val="14"/>
                <w:szCs w:val="14"/>
              </w:rPr>
              <w:br/>
            </w:r>
            <w:r w:rsidRPr="005C0614">
              <w:rPr>
                <w:rFonts w:ascii="Tahoma" w:hAnsi="Tahoma" w:cs="Tahoma"/>
                <w:sz w:val="14"/>
                <w:szCs w:val="14"/>
              </w:rPr>
              <w:t>(SL de Serviços)</w:t>
            </w:r>
            <w:bookmarkEnd w:id="294"/>
            <w:bookmarkEnd w:id="295"/>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b/>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2E114F" w:rsidRDefault="001A63C6" w:rsidP="005C0614">
            <w:pPr>
              <w:pStyle w:val="ProductNames"/>
              <w:rPr>
                <w:rFonts w:ascii="Tahoma" w:hAnsi="Tahoma" w:cs="Tahoma"/>
                <w:sz w:val="14"/>
                <w:szCs w:val="14"/>
                <w:lang w:val="pt-BR"/>
              </w:rPr>
            </w:pPr>
            <w:bookmarkStart w:id="296" w:name="_Toc336337994"/>
            <w:bookmarkStart w:id="297" w:name="_Toc352234078"/>
            <w:r w:rsidRPr="002E114F">
              <w:rPr>
                <w:rFonts w:ascii="Tahoma" w:hAnsi="Tahoma" w:cs="Tahoma"/>
                <w:sz w:val="14"/>
                <w:szCs w:val="14"/>
                <w:lang w:val="pt-BR"/>
              </w:rPr>
              <w:t>Cupons do Learning Solutions MCP 1 Exam/Mês (SL de Serviços)</w:t>
            </w:r>
            <w:bookmarkEnd w:id="296"/>
            <w:bookmarkEnd w:id="297"/>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00"/>
                <w:sz w:val="13"/>
                <w:szCs w:val="13"/>
                <w:u w:val="single"/>
              </w:rPr>
            </w:pPr>
            <w:hyperlink w:anchor="_64_62_Learning" w:history="1">
              <w:r w:rsidR="005B0EC7" w:rsidRPr="00B01D7E">
                <w:rPr>
                  <w:rStyle w:val="Hyperlink"/>
                  <w:b/>
                  <w:sz w:val="13"/>
                  <w:szCs w:val="13"/>
                </w:rPr>
                <w:t>62</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298" w:name="_Toc336337995"/>
            <w:bookmarkStart w:id="299" w:name="_Toc352234079"/>
            <w:r w:rsidRPr="005C0614">
              <w:rPr>
                <w:rFonts w:ascii="Tahoma" w:hAnsi="Tahoma" w:cs="Tahoma"/>
                <w:b w:val="0"/>
                <w:sz w:val="14"/>
                <w:szCs w:val="14"/>
              </w:rPr>
              <w:t>Lync Online Plano 1 (SL de Usuário)</w:t>
            </w:r>
            <w:bookmarkEnd w:id="298"/>
            <w:bookmarkEnd w:id="299"/>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FF"/>
                <w:sz w:val="13"/>
                <w:szCs w:val="13"/>
                <w:u w:val="single"/>
              </w:rPr>
            </w:pPr>
            <w:hyperlink w:anchor="_65_63_Lync" w:history="1">
              <w:hyperlink w:anchor="Srv_65LyncOnlinePlan1and2" w:history="1">
                <w:r w:rsidR="005B0EC7" w:rsidRPr="00B01D7E">
                  <w:rPr>
                    <w:rStyle w:val="Hyperlink"/>
                    <w:b/>
                    <w:sz w:val="13"/>
                    <w:szCs w:val="13"/>
                  </w:rPr>
                  <w:t>6</w:t>
                </w:r>
              </w:hyperlink>
              <w:r w:rsidR="005B0EC7" w:rsidRPr="00B01D7E">
                <w:rPr>
                  <w:rStyle w:val="Hyperlink"/>
                  <w:b/>
                  <w:sz w:val="13"/>
                  <w:szCs w:val="13"/>
                </w:rPr>
                <w:t>3</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E2E58"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300" w:name="_Toc336337996"/>
            <w:bookmarkStart w:id="301" w:name="_Toc352234080"/>
            <w:r w:rsidRPr="005C0614">
              <w:rPr>
                <w:rFonts w:ascii="Tahoma" w:hAnsi="Tahoma" w:cs="Tahoma"/>
                <w:b w:val="0"/>
                <w:sz w:val="14"/>
                <w:szCs w:val="14"/>
              </w:rPr>
              <w:t>Lync Online Plano 2 (SL de Usuário)</w:t>
            </w:r>
            <w:bookmarkEnd w:id="300"/>
            <w:bookmarkEnd w:id="301"/>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65_63_Lync" w:history="1">
              <w:hyperlink w:anchor="Srv_65LyncOnlinePlan1and2" w:history="1">
                <w:r w:rsidR="005B0EC7" w:rsidRPr="00B01D7E">
                  <w:rPr>
                    <w:rStyle w:val="Hyperlink"/>
                    <w:b/>
                    <w:sz w:val="13"/>
                    <w:szCs w:val="13"/>
                  </w:rPr>
                  <w:t>6</w:t>
                </w:r>
              </w:hyperlink>
              <w:r w:rsidR="005B0EC7" w:rsidRPr="00B01D7E">
                <w:rPr>
                  <w:rStyle w:val="Hyperlink"/>
                  <w:b/>
                  <w:sz w:val="13"/>
                  <w:szCs w:val="13"/>
                </w:rPr>
                <w:t>3</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302" w:name="_Toc336337997"/>
            <w:bookmarkStart w:id="303" w:name="_Toc352234081"/>
            <w:r w:rsidRPr="005C0614">
              <w:rPr>
                <w:rFonts w:ascii="Tahoma" w:hAnsi="Tahoma" w:cs="Tahoma"/>
                <w:b w:val="0"/>
                <w:sz w:val="14"/>
                <w:szCs w:val="14"/>
              </w:rPr>
              <w:t>Lync Online Plano 3 (SL de Usuário)</w:t>
            </w:r>
            <w:bookmarkEnd w:id="302"/>
            <w:bookmarkEnd w:id="303"/>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FF"/>
                <w:sz w:val="13"/>
                <w:szCs w:val="13"/>
                <w:u w:val="single"/>
              </w:rPr>
            </w:pPr>
            <w:hyperlink w:anchor="_65_63_Lync" w:history="1">
              <w:hyperlink w:anchor="Srv_65LyncOnlinePlan1and2" w:history="1">
                <w:r w:rsidR="005B0EC7" w:rsidRPr="00B01D7E">
                  <w:rPr>
                    <w:rStyle w:val="Hyperlink"/>
                    <w:b/>
                    <w:sz w:val="13"/>
                    <w:szCs w:val="13"/>
                  </w:rPr>
                  <w:t>6</w:t>
                </w:r>
              </w:hyperlink>
              <w:r w:rsidR="005B0EC7" w:rsidRPr="00B01D7E">
                <w:rPr>
                  <w:rStyle w:val="Hyperlink"/>
                  <w:b/>
                  <w:sz w:val="13"/>
                  <w:szCs w:val="13"/>
                </w:rPr>
                <w:t>3</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E2E58"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304" w:name="_Toc336337998"/>
            <w:bookmarkStart w:id="305" w:name="_Toc352234082"/>
            <w:r w:rsidRPr="005C0614">
              <w:rPr>
                <w:rFonts w:ascii="Tahoma" w:hAnsi="Tahoma" w:cs="Tahoma"/>
                <w:b w:val="0"/>
                <w:sz w:val="14"/>
                <w:szCs w:val="14"/>
              </w:rPr>
              <w:t>Lync Online Plano 3A (SL de Usuário)</w:t>
            </w:r>
            <w:bookmarkEnd w:id="304"/>
            <w:bookmarkEnd w:id="305"/>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65_63_Lync" w:history="1">
              <w:hyperlink w:anchor="Srv_65LyncOnlinePlan1and2" w:history="1">
                <w:r w:rsidR="005B0EC7" w:rsidRPr="00B01D7E">
                  <w:rPr>
                    <w:rStyle w:val="Hyperlink"/>
                    <w:b/>
                    <w:sz w:val="13"/>
                    <w:szCs w:val="13"/>
                  </w:rPr>
                  <w:t>6</w:t>
                </w:r>
              </w:hyperlink>
              <w:r w:rsidR="005B0EC7" w:rsidRPr="00B01D7E">
                <w:rPr>
                  <w:rStyle w:val="Hyperlink"/>
                  <w:b/>
                  <w:sz w:val="13"/>
                  <w:szCs w:val="13"/>
                </w:rPr>
                <w:t>3</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ST (Somente EES)</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306" w:name="_Toc336337999"/>
            <w:bookmarkStart w:id="307" w:name="_Toc352234083"/>
            <w:r w:rsidRPr="005C0614">
              <w:rPr>
                <w:rFonts w:ascii="Tahoma" w:hAnsi="Tahoma" w:cs="Tahoma"/>
                <w:b w:val="0"/>
                <w:sz w:val="14"/>
                <w:szCs w:val="14"/>
              </w:rPr>
              <w:t xml:space="preserve">Lync Server </w:t>
            </w:r>
            <w:bookmarkEnd w:id="306"/>
            <w:r w:rsidRPr="005C0614">
              <w:rPr>
                <w:rFonts w:ascii="Tahoma" w:hAnsi="Tahoma" w:cs="Tahoma"/>
                <w:b w:val="0"/>
                <w:sz w:val="14"/>
                <w:szCs w:val="14"/>
              </w:rPr>
              <w:t>2013</w:t>
            </w:r>
            <w:bookmarkEnd w:id="307"/>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FF"/>
                <w:sz w:val="13"/>
                <w:szCs w:val="13"/>
                <w:u w:val="single"/>
              </w:rPr>
            </w:pPr>
            <w:hyperlink w:anchor="_62_Lync_Server" w:history="1">
              <w:r w:rsidR="005B0EC7" w:rsidRPr="00B01D7E">
                <w:rPr>
                  <w:rStyle w:val="Hyperlink"/>
                  <w:b/>
                  <w:sz w:val="13"/>
                  <w:szCs w:val="13"/>
                </w:rPr>
                <w:t>64</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Del="006A2F66" w:rsidRDefault="001A63C6" w:rsidP="005C0614">
            <w:pPr>
              <w:pStyle w:val="Heading2"/>
              <w:spacing w:before="20" w:after="20"/>
              <w:ind w:left="0"/>
              <w:rPr>
                <w:rFonts w:ascii="Tahoma" w:hAnsi="Tahoma" w:cs="Tahoma"/>
                <w:b w:val="0"/>
                <w:sz w:val="14"/>
                <w:szCs w:val="14"/>
              </w:rPr>
            </w:pPr>
            <w:bookmarkStart w:id="308" w:name="_Toc336338000"/>
            <w:bookmarkStart w:id="309" w:name="_Toc352234084"/>
            <w:r w:rsidRPr="005C0614">
              <w:rPr>
                <w:rFonts w:ascii="Tahoma" w:hAnsi="Tahoma" w:cs="Tahoma"/>
                <w:b w:val="0"/>
                <w:sz w:val="14"/>
                <w:szCs w:val="14"/>
              </w:rPr>
              <w:t>CAL Empresarial do Lync Server</w:t>
            </w:r>
            <w:bookmarkEnd w:id="308"/>
            <w:r w:rsidRPr="005C0614">
              <w:rPr>
                <w:rFonts w:ascii="Tahoma" w:hAnsi="Tahoma" w:cs="Tahoma"/>
                <w:b w:val="0"/>
                <w:sz w:val="14"/>
                <w:szCs w:val="14"/>
              </w:rPr>
              <w:t xml:space="preserve"> 2013</w:t>
            </w:r>
            <w:bookmarkEnd w:id="309"/>
          </w:p>
        </w:tc>
        <w:tc>
          <w:tcPr>
            <w:tcW w:w="450" w:type="dxa"/>
            <w:tcBorders>
              <w:bottom w:val="single" w:sz="4" w:space="0" w:color="auto"/>
            </w:tcBorders>
            <w:shd w:val="clear" w:color="auto" w:fill="FABF8F"/>
            <w:vAlign w:val="center"/>
          </w:tcPr>
          <w:p w:rsidR="001A63C6" w:rsidRPr="00B01D7E" w:rsidDel="006A2F66" w:rsidRDefault="001A63C6" w:rsidP="00CE54BA">
            <w:pPr>
              <w:pStyle w:val="TableText"/>
              <w:widowControl w:val="0"/>
              <w:spacing w:before="20" w:after="20"/>
              <w:rPr>
                <w:b/>
                <w:color w:val="0000FF"/>
                <w:sz w:val="13"/>
                <w:szCs w:val="13"/>
                <w:u w:val="single"/>
              </w:rPr>
            </w:pP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Del="006A2F66" w:rsidRDefault="001A63C6" w:rsidP="005C0614">
            <w:pPr>
              <w:pStyle w:val="Heading2"/>
              <w:spacing w:before="20" w:after="20"/>
              <w:ind w:left="0"/>
              <w:rPr>
                <w:rFonts w:ascii="Tahoma" w:hAnsi="Tahoma" w:cs="Tahoma"/>
                <w:b w:val="0"/>
                <w:sz w:val="14"/>
                <w:szCs w:val="14"/>
              </w:rPr>
            </w:pPr>
            <w:bookmarkStart w:id="310" w:name="_Toc336338002"/>
            <w:bookmarkStart w:id="311" w:name="_Toc352234085"/>
            <w:r w:rsidRPr="005C0614">
              <w:rPr>
                <w:rFonts w:ascii="Tahoma" w:hAnsi="Tahoma" w:cs="Tahoma"/>
                <w:b w:val="0"/>
                <w:sz w:val="14"/>
                <w:szCs w:val="14"/>
              </w:rPr>
              <w:t>CAL do Lync Server Plus</w:t>
            </w:r>
            <w:bookmarkEnd w:id="310"/>
            <w:r w:rsidRPr="005C0614">
              <w:rPr>
                <w:rFonts w:ascii="Tahoma" w:hAnsi="Tahoma" w:cs="Tahoma"/>
                <w:b w:val="0"/>
                <w:sz w:val="14"/>
                <w:szCs w:val="14"/>
              </w:rPr>
              <w:t xml:space="preserve"> 2013</w:t>
            </w:r>
            <w:bookmarkEnd w:id="311"/>
          </w:p>
        </w:tc>
        <w:tc>
          <w:tcPr>
            <w:tcW w:w="450" w:type="dxa"/>
            <w:tcBorders>
              <w:bottom w:val="single" w:sz="4" w:space="0" w:color="auto"/>
            </w:tcBorders>
            <w:shd w:val="clear" w:color="auto" w:fill="auto"/>
            <w:vAlign w:val="center"/>
          </w:tcPr>
          <w:p w:rsidR="001A63C6" w:rsidRPr="00B01D7E" w:rsidDel="006A2F66" w:rsidRDefault="001A63C6" w:rsidP="00CE54BA">
            <w:pPr>
              <w:pStyle w:val="TableText"/>
              <w:widowControl w:val="0"/>
              <w:spacing w:before="20" w:after="20"/>
              <w:rPr>
                <w:b/>
                <w:color w:val="0000FF"/>
                <w:sz w:val="13"/>
                <w:szCs w:val="13"/>
                <w:u w:val="single"/>
              </w:rPr>
            </w:pPr>
            <w:bookmarkStart w:id="312" w:name="_Hlt335908886"/>
          </w:p>
        </w:tc>
        <w:bookmarkEnd w:id="312"/>
        <w:tc>
          <w:tcPr>
            <w:tcW w:w="450" w:type="dxa"/>
            <w:tcBorders>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Del="006A2F66" w:rsidRDefault="001A63C6" w:rsidP="005C0614">
            <w:pPr>
              <w:pStyle w:val="Heading2"/>
              <w:spacing w:before="20" w:after="20"/>
              <w:ind w:left="0"/>
              <w:rPr>
                <w:rFonts w:ascii="Tahoma" w:hAnsi="Tahoma" w:cs="Tahoma"/>
                <w:b w:val="0"/>
                <w:sz w:val="14"/>
                <w:szCs w:val="14"/>
              </w:rPr>
            </w:pPr>
            <w:bookmarkStart w:id="313" w:name="_Toc336338005"/>
            <w:bookmarkStart w:id="314" w:name="_Toc352234086"/>
            <w:r w:rsidRPr="005C0614">
              <w:rPr>
                <w:rFonts w:ascii="Tahoma" w:hAnsi="Tahoma" w:cs="Tahoma"/>
                <w:b w:val="0"/>
                <w:sz w:val="14"/>
                <w:szCs w:val="14"/>
              </w:rPr>
              <w:lastRenderedPageBreak/>
              <w:t>CAL Padrão do Lync Server</w:t>
            </w:r>
            <w:bookmarkEnd w:id="313"/>
            <w:r w:rsidRPr="005C0614">
              <w:rPr>
                <w:rFonts w:ascii="Tahoma" w:hAnsi="Tahoma" w:cs="Tahoma"/>
                <w:b w:val="0"/>
                <w:sz w:val="14"/>
                <w:szCs w:val="14"/>
              </w:rPr>
              <w:t xml:space="preserve"> 2013</w:t>
            </w:r>
            <w:bookmarkEnd w:id="314"/>
          </w:p>
        </w:tc>
        <w:tc>
          <w:tcPr>
            <w:tcW w:w="450" w:type="dxa"/>
            <w:tcBorders>
              <w:bottom w:val="single" w:sz="4" w:space="0" w:color="auto"/>
            </w:tcBorders>
            <w:shd w:val="clear" w:color="auto" w:fill="FABF8F"/>
            <w:vAlign w:val="center"/>
          </w:tcPr>
          <w:p w:rsidR="001A63C6" w:rsidRPr="00B01D7E" w:rsidDel="006A2F66" w:rsidRDefault="001A63C6" w:rsidP="00CE54BA">
            <w:pPr>
              <w:pStyle w:val="TableText"/>
              <w:widowControl w:val="0"/>
              <w:spacing w:before="20" w:after="20"/>
              <w:rPr>
                <w:b/>
                <w:color w:val="0000FF"/>
                <w:sz w:val="13"/>
                <w:szCs w:val="13"/>
                <w:u w:val="single"/>
              </w:rPr>
            </w:pP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Del="006A2F66"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70"/>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315" w:name="_Toc336338007"/>
            <w:bookmarkStart w:id="316" w:name="_Toc352234087"/>
            <w:r w:rsidRPr="005C0614">
              <w:rPr>
                <w:rFonts w:ascii="Tahoma" w:hAnsi="Tahoma" w:cs="Tahoma"/>
                <w:b w:val="0"/>
                <w:sz w:val="14"/>
                <w:szCs w:val="14"/>
              </w:rPr>
              <w:t>CAL Empresarial Aditiva do Microsoft Dynamics AX 2012 R2 (Usuário e Dispositivo)</w:t>
            </w:r>
            <w:bookmarkEnd w:id="315"/>
            <w:bookmarkEnd w:id="316"/>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_65_Microsoft_Dynamics" w:history="1">
              <w:r w:rsidR="00FD7426" w:rsidRPr="00B01D7E">
                <w:rPr>
                  <w:rStyle w:val="Hyperlink"/>
                  <w:rFonts w:cs="Tahoma"/>
                  <w:b/>
                  <w:sz w:val="13"/>
                  <w:szCs w:val="13"/>
                </w:rPr>
                <w:t>65</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E2E58"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317" w:name="_Toc336338008"/>
            <w:bookmarkStart w:id="318" w:name="_Toc352234088"/>
            <w:r w:rsidRPr="005C0614">
              <w:rPr>
                <w:rFonts w:ascii="Tahoma" w:hAnsi="Tahoma" w:cs="Tahoma"/>
                <w:b w:val="0"/>
                <w:sz w:val="14"/>
                <w:szCs w:val="14"/>
              </w:rPr>
              <w:t>CAL Empresarial do Microsoft Dynamics AX 2012 R2 (Usuário e Dispositivo)</w:t>
            </w:r>
            <w:bookmarkEnd w:id="317"/>
            <w:bookmarkEnd w:id="318"/>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_65_Microsoft_Dynamics" w:history="1">
              <w:r w:rsidR="00FD7426" w:rsidRPr="00B01D7E">
                <w:rPr>
                  <w:rStyle w:val="Hyperlink"/>
                  <w:rFonts w:cs="Tahoma"/>
                  <w:b/>
                  <w:sz w:val="13"/>
                  <w:szCs w:val="13"/>
                </w:rPr>
                <w:t>65</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319" w:name="_Toc336338009"/>
            <w:bookmarkStart w:id="320" w:name="_Toc352234089"/>
            <w:r w:rsidRPr="005C0614">
              <w:rPr>
                <w:rFonts w:ascii="Tahoma" w:hAnsi="Tahoma" w:cs="Tahoma"/>
                <w:b w:val="0"/>
                <w:sz w:val="14"/>
                <w:szCs w:val="14"/>
              </w:rPr>
              <w:t>CAL Aditiva do Microsoft Dynamics AX 2012 R2 Funcional (Usuário e Dispositivo)</w:t>
            </w:r>
            <w:bookmarkEnd w:id="319"/>
            <w:bookmarkEnd w:id="320"/>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_65_Microsoft_Dynamics" w:history="1">
              <w:r w:rsidR="00FD7426" w:rsidRPr="00B01D7E">
                <w:rPr>
                  <w:rStyle w:val="Hyperlink"/>
                  <w:rFonts w:cs="Tahoma"/>
                  <w:b/>
                  <w:sz w:val="13"/>
                  <w:szCs w:val="13"/>
                </w:rPr>
                <w:t>65</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E2E58"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321" w:name="_Toc336338010"/>
            <w:bookmarkStart w:id="322" w:name="_Toc352234090"/>
            <w:r w:rsidRPr="005C0614">
              <w:rPr>
                <w:rFonts w:ascii="Tahoma" w:hAnsi="Tahoma" w:cs="Tahoma"/>
                <w:b w:val="0"/>
                <w:sz w:val="14"/>
                <w:szCs w:val="14"/>
              </w:rPr>
              <w:t>CAL Funcional do Microsoft Dynamics AX 2012 R2 (Usuário e Dispositivo)</w:t>
            </w:r>
            <w:bookmarkEnd w:id="321"/>
            <w:bookmarkEnd w:id="322"/>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_65_Microsoft_Dynamics" w:history="1">
              <w:r w:rsidR="00FD7426" w:rsidRPr="00B01D7E">
                <w:rPr>
                  <w:rStyle w:val="Hyperlink"/>
                  <w:rFonts w:cs="Tahoma"/>
                  <w:b/>
                  <w:sz w:val="13"/>
                  <w:szCs w:val="13"/>
                </w:rPr>
                <w:t>65</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33"/>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323" w:name="_Toc336338011"/>
            <w:bookmarkStart w:id="324" w:name="_Toc352234091"/>
            <w:r w:rsidRPr="005C0614">
              <w:rPr>
                <w:rFonts w:ascii="Tahoma" w:hAnsi="Tahoma" w:cs="Tahoma"/>
                <w:b w:val="0"/>
                <w:sz w:val="14"/>
                <w:szCs w:val="14"/>
              </w:rPr>
              <w:t>CAL de Autoatendimento do Microsoft Dynamics AX 2012 R2 (Usuário e Dispositivo)</w:t>
            </w:r>
            <w:bookmarkEnd w:id="323"/>
            <w:bookmarkEnd w:id="324"/>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_65_Microsoft_Dynamics" w:history="1">
              <w:r w:rsidR="00FD7426" w:rsidRPr="00B01D7E">
                <w:rPr>
                  <w:rStyle w:val="Hyperlink"/>
                  <w:rFonts w:cs="Tahoma"/>
                  <w:b/>
                  <w:sz w:val="13"/>
                  <w:szCs w:val="13"/>
                </w:rPr>
                <w:t>65</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E2E58" w:rsidRPr="00416070" w:rsidTr="005C0614">
        <w:trPr>
          <w:trHeight w:val="242"/>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325" w:name="_Toc336338012"/>
            <w:bookmarkStart w:id="326" w:name="_Toc352234092"/>
            <w:r w:rsidRPr="005C0614">
              <w:rPr>
                <w:rFonts w:ascii="Tahoma" w:hAnsi="Tahoma" w:cs="Tahoma"/>
                <w:b w:val="0"/>
                <w:sz w:val="14"/>
                <w:szCs w:val="14"/>
              </w:rPr>
              <w:t>Microsoft Dynamics AX 2012 R2 Server</w:t>
            </w:r>
            <w:bookmarkEnd w:id="325"/>
            <w:bookmarkEnd w:id="326"/>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_65_Microsoft_Dynamics" w:history="1">
              <w:r w:rsidR="00FD7426" w:rsidRPr="00B01D7E">
                <w:rPr>
                  <w:rStyle w:val="Hyperlink"/>
                  <w:rFonts w:cs="Tahoma"/>
                  <w:b/>
                  <w:sz w:val="13"/>
                  <w:szCs w:val="13"/>
                </w:rPr>
                <w:t>65</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78"/>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327" w:name="_Toc336338013"/>
            <w:bookmarkStart w:id="328" w:name="_Toc352234093"/>
            <w:r w:rsidRPr="005C0614">
              <w:rPr>
                <w:rFonts w:ascii="Tahoma" w:hAnsi="Tahoma" w:cs="Tahoma"/>
                <w:b w:val="0"/>
                <w:sz w:val="14"/>
                <w:szCs w:val="14"/>
              </w:rPr>
              <w:t>CAL Aditiva de Tarefa do Microsoft Dynamics AX 2012 R2 (Usuário e Dispositivo)</w:t>
            </w:r>
            <w:bookmarkEnd w:id="327"/>
            <w:bookmarkEnd w:id="328"/>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_65_Microsoft_Dynamics" w:history="1">
              <w:r w:rsidR="00FD7426" w:rsidRPr="00B01D7E">
                <w:rPr>
                  <w:rStyle w:val="Hyperlink"/>
                  <w:rFonts w:cs="Tahoma"/>
                  <w:b/>
                  <w:sz w:val="13"/>
                  <w:szCs w:val="13"/>
                </w:rPr>
                <w:t>65</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E2E58"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329" w:name="_Toc336338014"/>
            <w:bookmarkStart w:id="330" w:name="_Toc352234094"/>
            <w:r w:rsidRPr="005C0614">
              <w:rPr>
                <w:rFonts w:ascii="Tahoma" w:hAnsi="Tahoma" w:cs="Tahoma"/>
                <w:b w:val="0"/>
                <w:sz w:val="14"/>
                <w:szCs w:val="14"/>
              </w:rPr>
              <w:t>CAL de Tarefa do Microsoft Dynamics AX 2012 R2 (Usuário e Dispositivo)</w:t>
            </w:r>
            <w:bookmarkEnd w:id="329"/>
            <w:bookmarkEnd w:id="330"/>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_65_Microsoft_Dynamics" w:history="1">
              <w:r w:rsidR="00FD7426" w:rsidRPr="00B01D7E">
                <w:rPr>
                  <w:rStyle w:val="Hyperlink"/>
                  <w:rFonts w:cs="Tahoma"/>
                  <w:b/>
                  <w:sz w:val="13"/>
                  <w:szCs w:val="13"/>
                </w:rPr>
                <w:t>65</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331" w:name="_Toc336338015"/>
            <w:bookmarkStart w:id="332" w:name="_Toc352234095"/>
            <w:r w:rsidRPr="005C0614">
              <w:rPr>
                <w:rFonts w:ascii="Tahoma" w:hAnsi="Tahoma" w:cs="Tahoma"/>
                <w:b w:val="0"/>
                <w:sz w:val="14"/>
                <w:szCs w:val="14"/>
              </w:rPr>
              <w:t>CAL do Microsoft Dynamics CRM 2011 (Usuário e Dispositivo)</w:t>
            </w:r>
            <w:bookmarkEnd w:id="331"/>
            <w:bookmarkEnd w:id="332"/>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FF"/>
                <w:sz w:val="13"/>
                <w:szCs w:val="13"/>
                <w:u w:val="single"/>
              </w:rPr>
            </w:pPr>
            <w:hyperlink w:anchor="_68_Microsoft_Dynamics" w:history="1">
              <w:r w:rsidR="001A63C6" w:rsidRPr="00FD7426">
                <w:rPr>
                  <w:rStyle w:val="Hyperlink"/>
                  <w:b/>
                  <w:sz w:val="13"/>
                  <w:szCs w:val="13"/>
                </w:rPr>
                <w:t>66</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BE2E58"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333" w:name="_Toc336338016"/>
            <w:bookmarkStart w:id="334" w:name="_Toc352234096"/>
            <w:r w:rsidRPr="005C0614">
              <w:rPr>
                <w:rFonts w:ascii="Tahoma" w:hAnsi="Tahoma" w:cs="Tahoma"/>
                <w:b w:val="0"/>
                <w:sz w:val="14"/>
                <w:szCs w:val="14"/>
              </w:rPr>
              <w:t>CAL do Microsoft Dynamics CRM 2011 Employee Self Service (Usuário e Dispositivo)</w:t>
            </w:r>
            <w:bookmarkEnd w:id="333"/>
            <w:bookmarkEnd w:id="334"/>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68_Microsoft_Dynamics" w:history="1">
              <w:r w:rsidR="005B0EC7" w:rsidRPr="00B01D7E">
                <w:rPr>
                  <w:rStyle w:val="Hyperlink"/>
                  <w:b/>
                  <w:sz w:val="13"/>
                  <w:szCs w:val="13"/>
                </w:rPr>
                <w:t>66</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335" w:name="_Toc336338017"/>
            <w:bookmarkStart w:id="336" w:name="_Toc352234097"/>
            <w:r w:rsidRPr="005C0614">
              <w:rPr>
                <w:rFonts w:ascii="Tahoma" w:hAnsi="Tahoma" w:cs="Tahoma"/>
                <w:b w:val="0"/>
                <w:sz w:val="14"/>
                <w:szCs w:val="14"/>
              </w:rPr>
              <w:t>Conector Externo para Microsoft Dynamics CRM 2011</w:t>
            </w:r>
            <w:bookmarkEnd w:id="335"/>
            <w:bookmarkEnd w:id="336"/>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FF"/>
                <w:sz w:val="13"/>
                <w:szCs w:val="13"/>
                <w:u w:val="single"/>
              </w:rPr>
            </w:pPr>
            <w:hyperlink w:anchor="_68_Microsoft_Dynamics" w:history="1">
              <w:r w:rsidR="005B0EC7" w:rsidRPr="00B01D7E">
                <w:rPr>
                  <w:rStyle w:val="Hyperlink"/>
                  <w:b/>
                  <w:sz w:val="13"/>
                  <w:szCs w:val="13"/>
                </w:rPr>
                <w:t>66</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337" w:name="_Toc336338018"/>
            <w:bookmarkStart w:id="338" w:name="_Toc352234098"/>
            <w:r w:rsidRPr="005C0614">
              <w:rPr>
                <w:rFonts w:ascii="Tahoma" w:hAnsi="Tahoma" w:cs="Tahoma"/>
                <w:b w:val="0"/>
                <w:sz w:val="14"/>
                <w:szCs w:val="14"/>
              </w:rPr>
              <w:t xml:space="preserve">CAL Adicional de Uso Completo do Microsoft Dynamics CRM 2011 </w:t>
            </w:r>
            <w:r w:rsidR="009F0B2E" w:rsidRPr="002E114F">
              <w:rPr>
                <w:rFonts w:ascii="Tahoma" w:hAnsi="Tahoma" w:cs="Tahoma"/>
                <w:b w:val="0"/>
                <w:sz w:val="14"/>
                <w:szCs w:val="14"/>
                <w:lang w:val="pt-BR"/>
              </w:rPr>
              <w:br/>
            </w:r>
            <w:r w:rsidRPr="005C0614">
              <w:rPr>
                <w:rFonts w:ascii="Tahoma" w:hAnsi="Tahoma" w:cs="Tahoma"/>
                <w:b w:val="0"/>
                <w:sz w:val="14"/>
                <w:szCs w:val="14"/>
              </w:rPr>
              <w:t>(Usuário e Dispositivo)</w:t>
            </w:r>
            <w:bookmarkEnd w:id="337"/>
            <w:bookmarkEnd w:id="338"/>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68_Microsoft_Dynamics" w:history="1">
              <w:r w:rsidR="005B0EC7" w:rsidRPr="00B01D7E">
                <w:rPr>
                  <w:rStyle w:val="Hyperlink"/>
                  <w:b/>
                  <w:sz w:val="13"/>
                  <w:szCs w:val="13"/>
                </w:rPr>
                <w:t>66</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339" w:name="_Toc336338019"/>
            <w:bookmarkStart w:id="340" w:name="_Toc352234099"/>
            <w:r w:rsidRPr="005C0614">
              <w:rPr>
                <w:rFonts w:ascii="Tahoma" w:hAnsi="Tahoma" w:cs="Tahoma"/>
                <w:b w:val="0"/>
                <w:sz w:val="14"/>
                <w:szCs w:val="14"/>
              </w:rPr>
              <w:t>CAL Limitada para Microsoft Dynamics CRM 2011 (Usuários e Dispositivo)</w:t>
            </w:r>
            <w:bookmarkEnd w:id="339"/>
            <w:bookmarkEnd w:id="340"/>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FF"/>
                <w:sz w:val="13"/>
                <w:szCs w:val="13"/>
                <w:u w:val="single"/>
              </w:rPr>
            </w:pPr>
            <w:hyperlink w:anchor="_68_Microsoft_Dynamics" w:history="1">
              <w:r w:rsidR="005B0EC7" w:rsidRPr="00B01D7E">
                <w:rPr>
                  <w:rStyle w:val="Hyperlink"/>
                  <w:b/>
                  <w:sz w:val="13"/>
                  <w:szCs w:val="13"/>
                </w:rPr>
                <w:t>66</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341" w:name="_Toc336338020"/>
            <w:bookmarkStart w:id="342" w:name="_Toc352234100"/>
            <w:r w:rsidRPr="005C0614">
              <w:rPr>
                <w:rFonts w:ascii="Tahoma" w:hAnsi="Tahoma" w:cs="Tahoma"/>
                <w:b w:val="0"/>
                <w:sz w:val="14"/>
                <w:szCs w:val="14"/>
              </w:rPr>
              <w:t xml:space="preserve">CAL Adicional de Uso Limitado do </w:t>
            </w:r>
            <w:r w:rsidR="00DE1733" w:rsidRPr="002E114F">
              <w:rPr>
                <w:rFonts w:ascii="Tahoma" w:hAnsi="Tahoma" w:cs="Tahoma"/>
                <w:b w:val="0"/>
                <w:sz w:val="14"/>
                <w:szCs w:val="14"/>
                <w:lang w:val="pt-BR"/>
              </w:rPr>
              <w:br/>
            </w:r>
            <w:r w:rsidRPr="005C0614">
              <w:rPr>
                <w:rFonts w:ascii="Tahoma" w:hAnsi="Tahoma" w:cs="Tahoma"/>
                <w:b w:val="0"/>
                <w:sz w:val="14"/>
                <w:szCs w:val="14"/>
              </w:rPr>
              <w:t xml:space="preserve">Microsoft Dynamics CRM 2011 </w:t>
            </w:r>
            <w:r w:rsidR="00DE1733" w:rsidRPr="002E114F">
              <w:rPr>
                <w:rFonts w:ascii="Tahoma" w:hAnsi="Tahoma" w:cs="Tahoma"/>
                <w:b w:val="0"/>
                <w:sz w:val="14"/>
                <w:szCs w:val="14"/>
                <w:lang w:val="pt-BR"/>
              </w:rPr>
              <w:br/>
            </w:r>
            <w:r w:rsidRPr="005C0614">
              <w:rPr>
                <w:rFonts w:ascii="Tahoma" w:hAnsi="Tahoma" w:cs="Tahoma"/>
                <w:b w:val="0"/>
                <w:sz w:val="14"/>
                <w:szCs w:val="14"/>
              </w:rPr>
              <w:t>(Usuário e Dispositivo)</w:t>
            </w:r>
            <w:bookmarkEnd w:id="341"/>
            <w:bookmarkEnd w:id="342"/>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68_Microsoft_Dynamics" w:history="1">
              <w:r w:rsidR="005B0EC7" w:rsidRPr="00B01D7E">
                <w:rPr>
                  <w:rStyle w:val="Hyperlink"/>
                  <w:b/>
                  <w:sz w:val="13"/>
                  <w:szCs w:val="13"/>
                </w:rPr>
                <w:t>66</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343" w:name="_Toc336338021"/>
            <w:bookmarkStart w:id="344" w:name="_Toc352234101"/>
            <w:r w:rsidRPr="005C0614">
              <w:rPr>
                <w:rFonts w:ascii="Tahoma" w:hAnsi="Tahoma" w:cs="Tahoma"/>
                <w:b w:val="0"/>
                <w:sz w:val="14"/>
                <w:szCs w:val="14"/>
              </w:rPr>
              <w:t>Microsoft Dynamics CRM Server 2011</w:t>
            </w:r>
            <w:bookmarkEnd w:id="343"/>
            <w:bookmarkEnd w:id="344"/>
            <w:r w:rsidRPr="005C0614">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FF"/>
                <w:sz w:val="13"/>
                <w:szCs w:val="13"/>
                <w:u w:val="single"/>
              </w:rPr>
            </w:pPr>
            <w:hyperlink w:anchor="_66_Microsoft_Dynamics" w:history="1">
              <w:r w:rsidR="005B0EC7" w:rsidRPr="00B01D7E">
                <w:rPr>
                  <w:rStyle w:val="Hyperlink"/>
                  <w:b/>
                  <w:sz w:val="13"/>
                  <w:szCs w:val="13"/>
                </w:rPr>
                <w:t>67</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345" w:name="_Toc336338022"/>
            <w:bookmarkStart w:id="346" w:name="_Toc352234102"/>
            <w:r w:rsidRPr="005C0614">
              <w:rPr>
                <w:rFonts w:ascii="Tahoma" w:hAnsi="Tahoma" w:cs="Tahoma"/>
                <w:b w:val="0"/>
                <w:sz w:val="14"/>
                <w:szCs w:val="14"/>
              </w:rPr>
              <w:t>Microsoft Dynamics CRM Workgroup Server 2011</w:t>
            </w:r>
            <w:bookmarkEnd w:id="345"/>
            <w:bookmarkEnd w:id="346"/>
            <w:r w:rsidRPr="005C0614">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66_Microsoft_Dynamics" w:history="1">
              <w:r w:rsidR="005B0EC7" w:rsidRPr="00B01D7E">
                <w:rPr>
                  <w:rStyle w:val="Hyperlink"/>
                  <w:b/>
                  <w:sz w:val="13"/>
                  <w:szCs w:val="13"/>
                </w:rPr>
                <w:t>67</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60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1A63C6" w:rsidRPr="00416070" w:rsidDel="00436016"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15" w:firstLine="15"/>
              <w:rPr>
                <w:rFonts w:ascii="Tahoma" w:hAnsi="Tahoma" w:cs="Tahoma"/>
                <w:b w:val="0"/>
                <w:sz w:val="14"/>
                <w:szCs w:val="14"/>
              </w:rPr>
            </w:pPr>
            <w:bookmarkStart w:id="347" w:name="_Toc336338023"/>
            <w:bookmarkStart w:id="348" w:name="_Toc352234103"/>
            <w:r w:rsidRPr="005C0614">
              <w:rPr>
                <w:rFonts w:ascii="Tahoma" w:hAnsi="Tahoma" w:cs="Tahoma"/>
                <w:b w:val="0"/>
                <w:sz w:val="14"/>
                <w:szCs w:val="14"/>
              </w:rPr>
              <w:t>API do Tradutor da Microsoft</w:t>
            </w:r>
            <w:bookmarkEnd w:id="347"/>
            <w:bookmarkEnd w:id="348"/>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b/>
                <w:color w:val="0000FF"/>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r>
      <w:tr w:rsidR="006D1AA6" w:rsidRPr="00416070" w:rsidDel="00436016" w:rsidTr="005C0614">
        <w:trPr>
          <w:trHeight w:val="145"/>
        </w:trPr>
        <w:tc>
          <w:tcPr>
            <w:tcW w:w="2734" w:type="dxa"/>
            <w:gridSpan w:val="2"/>
            <w:tcBorders>
              <w:bottom w:val="single" w:sz="4" w:space="0" w:color="auto"/>
            </w:tcBorders>
            <w:shd w:val="clear" w:color="auto" w:fill="FABF8F"/>
            <w:vAlign w:val="center"/>
          </w:tcPr>
          <w:p w:rsidR="006D1AA6" w:rsidRPr="005C0614" w:rsidRDefault="006D1AA6" w:rsidP="005C0614">
            <w:pPr>
              <w:pStyle w:val="Heading2"/>
              <w:spacing w:before="20" w:after="20"/>
              <w:ind w:left="-15" w:firstLine="15"/>
              <w:rPr>
                <w:rFonts w:ascii="Tahoma" w:hAnsi="Tahoma" w:cs="Tahoma"/>
                <w:b w:val="0"/>
                <w:sz w:val="14"/>
                <w:szCs w:val="14"/>
              </w:rPr>
            </w:pPr>
            <w:bookmarkStart w:id="349" w:name="_Toc352234104"/>
            <w:r w:rsidRPr="005C0614">
              <w:rPr>
                <w:rFonts w:ascii="Tahoma" w:hAnsi="Tahoma" w:cs="Tahoma"/>
                <w:b w:val="0"/>
                <w:sz w:val="14"/>
                <w:szCs w:val="14"/>
              </w:rPr>
              <w:t xml:space="preserve">Office 365 Midsize Business </w:t>
            </w:r>
            <w:r w:rsidR="00DE1733">
              <w:rPr>
                <w:rFonts w:ascii="Tahoma" w:hAnsi="Tahoma" w:cs="Tahoma"/>
                <w:b w:val="0"/>
                <w:sz w:val="14"/>
                <w:szCs w:val="14"/>
                <w:lang w:val="en-US"/>
              </w:rPr>
              <w:br/>
            </w:r>
            <w:r w:rsidRPr="005C0614">
              <w:rPr>
                <w:rFonts w:ascii="Tahoma" w:hAnsi="Tahoma" w:cs="Tahoma"/>
                <w:b w:val="0"/>
                <w:sz w:val="14"/>
                <w:szCs w:val="14"/>
              </w:rPr>
              <w:t>(SL de Usuário)</w:t>
            </w:r>
            <w:bookmarkEnd w:id="349"/>
          </w:p>
        </w:tc>
        <w:tc>
          <w:tcPr>
            <w:tcW w:w="450" w:type="dxa"/>
            <w:tcBorders>
              <w:bottom w:val="single" w:sz="4" w:space="0" w:color="auto"/>
            </w:tcBorders>
            <w:shd w:val="clear" w:color="auto" w:fill="FABF8F"/>
            <w:vAlign w:val="center"/>
          </w:tcPr>
          <w:p w:rsidR="006D1AA6" w:rsidRPr="00B01D7E" w:rsidRDefault="006D1AA6" w:rsidP="00CE54BA">
            <w:pPr>
              <w:pStyle w:val="TableText"/>
              <w:widowControl w:val="0"/>
              <w:spacing w:before="20" w:after="20"/>
              <w:rPr>
                <w:b/>
                <w:color w:val="0000FF"/>
                <w:sz w:val="13"/>
                <w:szCs w:val="13"/>
                <w:u w:val="single"/>
              </w:rPr>
            </w:pPr>
          </w:p>
        </w:tc>
        <w:tc>
          <w:tcPr>
            <w:tcW w:w="450" w:type="dxa"/>
            <w:tcBorders>
              <w:bottom w:val="single" w:sz="4" w:space="0" w:color="auto"/>
            </w:tcBorders>
            <w:shd w:val="clear" w:color="auto" w:fill="FABF8F"/>
            <w:vAlign w:val="center"/>
          </w:tcPr>
          <w:p w:rsidR="006D1AA6" w:rsidRPr="00416070" w:rsidRDefault="006D1AA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416070" w:rsidRDefault="006D1AA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416070" w:rsidRDefault="006D1AA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6D1AA6" w:rsidRPr="00416070" w:rsidRDefault="006D1AA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6D1AA6" w:rsidRPr="00416070" w:rsidDel="00436016" w:rsidRDefault="006D1AA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B33D0E" w:rsidRPr="00416070" w:rsidDel="00436016" w:rsidTr="005C0614">
        <w:trPr>
          <w:trHeight w:val="145"/>
        </w:trPr>
        <w:tc>
          <w:tcPr>
            <w:tcW w:w="2734" w:type="dxa"/>
            <w:gridSpan w:val="2"/>
            <w:tcBorders>
              <w:bottom w:val="single" w:sz="4" w:space="0" w:color="auto"/>
            </w:tcBorders>
            <w:shd w:val="clear" w:color="auto" w:fill="FFFFFF"/>
            <w:vAlign w:val="center"/>
          </w:tcPr>
          <w:p w:rsidR="001A63C6" w:rsidRPr="005C0614" w:rsidRDefault="001A63C6" w:rsidP="005C0614">
            <w:pPr>
              <w:pStyle w:val="Heading2"/>
              <w:spacing w:before="20" w:after="20"/>
              <w:ind w:left="-15" w:firstLine="15"/>
              <w:rPr>
                <w:rFonts w:ascii="Tahoma" w:hAnsi="Tahoma" w:cs="Tahoma"/>
                <w:b w:val="0"/>
                <w:sz w:val="14"/>
                <w:szCs w:val="14"/>
              </w:rPr>
            </w:pPr>
            <w:bookmarkStart w:id="350" w:name="_Toc336338024"/>
            <w:bookmarkStart w:id="351" w:name="_Toc352234105"/>
            <w:r w:rsidRPr="005C0614">
              <w:rPr>
                <w:rFonts w:ascii="Tahoma" w:hAnsi="Tahoma" w:cs="Tahoma"/>
                <w:b w:val="0"/>
                <w:sz w:val="14"/>
                <w:szCs w:val="14"/>
              </w:rPr>
              <w:t>Office 365 Education A2 (SL de Usuário)</w:t>
            </w:r>
            <w:bookmarkEnd w:id="350"/>
            <w:bookmarkEnd w:id="351"/>
          </w:p>
        </w:tc>
        <w:tc>
          <w:tcPr>
            <w:tcW w:w="450" w:type="dxa"/>
            <w:tcBorders>
              <w:bottom w:val="single" w:sz="4" w:space="0" w:color="auto"/>
            </w:tcBorders>
            <w:shd w:val="clear" w:color="auto" w:fill="FFFFFF"/>
            <w:vAlign w:val="center"/>
          </w:tcPr>
          <w:p w:rsidR="001A63C6" w:rsidRPr="00B01D7E" w:rsidRDefault="008719E7" w:rsidP="00CE54BA">
            <w:pPr>
              <w:pStyle w:val="TableText"/>
              <w:widowControl w:val="0"/>
              <w:spacing w:before="20" w:after="20"/>
              <w:rPr>
                <w:b/>
                <w:color w:val="0000FF"/>
                <w:sz w:val="13"/>
                <w:szCs w:val="13"/>
                <w:u w:val="single"/>
              </w:rPr>
            </w:pPr>
            <w:hyperlink w:anchor="_45_Office_365" w:history="1">
              <w:r w:rsidR="005B0EC7" w:rsidRPr="00B01D7E">
                <w:rPr>
                  <w:rStyle w:val="Hyperlink"/>
                  <w:b/>
                  <w:sz w:val="13"/>
                  <w:szCs w:val="13"/>
                </w:rPr>
                <w:t>4</w:t>
              </w:r>
            </w:hyperlink>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A, ST (Somente EES)</w:t>
            </w: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r>
      <w:tr w:rsidR="00B33D0E" w:rsidRPr="00416070" w:rsidDel="00436016"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15" w:firstLine="15"/>
              <w:rPr>
                <w:rFonts w:ascii="Tahoma" w:hAnsi="Tahoma" w:cs="Tahoma"/>
                <w:b w:val="0"/>
                <w:sz w:val="14"/>
                <w:szCs w:val="14"/>
              </w:rPr>
            </w:pPr>
            <w:bookmarkStart w:id="352" w:name="_Toc336338025"/>
            <w:bookmarkStart w:id="353" w:name="_Toc352234106"/>
            <w:r w:rsidRPr="005C0614">
              <w:rPr>
                <w:rFonts w:ascii="Tahoma" w:hAnsi="Tahoma" w:cs="Tahoma"/>
                <w:b w:val="0"/>
                <w:sz w:val="14"/>
                <w:szCs w:val="14"/>
              </w:rPr>
              <w:t>Office 365 Education A3 (SL de Usuário)</w:t>
            </w:r>
            <w:bookmarkEnd w:id="352"/>
            <w:bookmarkEnd w:id="353"/>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FF"/>
                <w:sz w:val="13"/>
                <w:szCs w:val="13"/>
                <w:u w:val="single"/>
              </w:rPr>
            </w:pPr>
            <w:hyperlink w:anchor="_45_Office_365" w:history="1">
              <w:r w:rsidR="005B0EC7" w:rsidRPr="00B01D7E">
                <w:rPr>
                  <w:rStyle w:val="Hyperlink"/>
                  <w:b/>
                  <w:sz w:val="13"/>
                  <w:szCs w:val="13"/>
                </w:rPr>
                <w:t>4</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EOLS (Somente EES)</w:t>
            </w: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r>
      <w:tr w:rsidR="00B33D0E" w:rsidRPr="00416070" w:rsidDel="00436016" w:rsidTr="005C0614">
        <w:trPr>
          <w:trHeight w:val="145"/>
        </w:trPr>
        <w:tc>
          <w:tcPr>
            <w:tcW w:w="2734" w:type="dxa"/>
            <w:gridSpan w:val="2"/>
            <w:tcBorders>
              <w:bottom w:val="single" w:sz="4" w:space="0" w:color="auto"/>
            </w:tcBorders>
            <w:shd w:val="clear" w:color="auto" w:fill="FFFFFF"/>
            <w:vAlign w:val="center"/>
          </w:tcPr>
          <w:p w:rsidR="001A63C6" w:rsidRPr="005C0614" w:rsidRDefault="001A63C6" w:rsidP="005C0614">
            <w:pPr>
              <w:pStyle w:val="Heading2"/>
              <w:spacing w:beforeLines="20" w:before="48" w:afterLines="20" w:after="48"/>
              <w:ind w:left="0" w:firstLine="15"/>
              <w:rPr>
                <w:rFonts w:ascii="Tahoma" w:hAnsi="Tahoma" w:cs="Tahoma"/>
                <w:b w:val="0"/>
                <w:sz w:val="14"/>
                <w:szCs w:val="14"/>
              </w:rPr>
            </w:pPr>
            <w:bookmarkStart w:id="354" w:name="_Toc336338026"/>
            <w:bookmarkStart w:id="355" w:name="_Toc352234107"/>
            <w:r w:rsidRPr="005C0614">
              <w:rPr>
                <w:rFonts w:ascii="Tahoma" w:hAnsi="Tahoma" w:cs="Tahoma"/>
                <w:b w:val="0"/>
                <w:sz w:val="14"/>
                <w:szCs w:val="14"/>
              </w:rPr>
              <w:t>Office 365 Education A4 (SL de Usuário)</w:t>
            </w:r>
            <w:bookmarkEnd w:id="354"/>
            <w:bookmarkEnd w:id="355"/>
          </w:p>
        </w:tc>
        <w:tc>
          <w:tcPr>
            <w:tcW w:w="450" w:type="dxa"/>
            <w:tcBorders>
              <w:bottom w:val="single" w:sz="4" w:space="0" w:color="auto"/>
            </w:tcBorders>
            <w:shd w:val="clear" w:color="auto" w:fill="FFFFFF"/>
            <w:vAlign w:val="center"/>
          </w:tcPr>
          <w:p w:rsidR="001A63C6" w:rsidRPr="00B01D7E" w:rsidRDefault="008719E7" w:rsidP="00CE54BA">
            <w:pPr>
              <w:pStyle w:val="TableText"/>
              <w:widowControl w:val="0"/>
              <w:spacing w:before="20" w:after="20"/>
              <w:rPr>
                <w:b/>
                <w:color w:val="0000FF"/>
                <w:sz w:val="13"/>
                <w:szCs w:val="13"/>
                <w:u w:val="single"/>
              </w:rPr>
            </w:pPr>
            <w:hyperlink w:anchor="_45_Office_365" w:history="1">
              <w:r w:rsidR="005B0EC7" w:rsidRPr="00B01D7E">
                <w:rPr>
                  <w:rStyle w:val="Hyperlink"/>
                  <w:b/>
                  <w:sz w:val="13"/>
                  <w:szCs w:val="13"/>
                </w:rPr>
                <w:t>4</w:t>
              </w:r>
            </w:hyperlink>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EOLS (Somente EES)</w:t>
            </w: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r>
      <w:tr w:rsidR="00B33D0E" w:rsidRPr="00416070" w:rsidDel="00436016" w:rsidTr="005C0614">
        <w:trPr>
          <w:trHeight w:val="145"/>
        </w:trPr>
        <w:tc>
          <w:tcPr>
            <w:tcW w:w="2734" w:type="dxa"/>
            <w:gridSpan w:val="2"/>
            <w:tcBorders>
              <w:bottom w:val="single" w:sz="4" w:space="0" w:color="auto"/>
            </w:tcBorders>
            <w:shd w:val="clear" w:color="auto" w:fill="FABF8F"/>
            <w:vAlign w:val="center"/>
          </w:tcPr>
          <w:p w:rsidR="001A63C6" w:rsidRPr="005C0614" w:rsidDel="00436016" w:rsidRDefault="001A63C6" w:rsidP="005C0614">
            <w:pPr>
              <w:pStyle w:val="Heading2"/>
              <w:spacing w:beforeLines="20" w:before="48" w:afterLines="20" w:after="48"/>
              <w:ind w:left="0" w:firstLine="15"/>
              <w:rPr>
                <w:rFonts w:ascii="Tahoma" w:hAnsi="Tahoma" w:cs="Tahoma"/>
                <w:b w:val="0"/>
                <w:sz w:val="14"/>
                <w:szCs w:val="14"/>
              </w:rPr>
            </w:pPr>
            <w:bookmarkStart w:id="356" w:name="_Toc336338027"/>
            <w:bookmarkStart w:id="357" w:name="_Toc352234108"/>
            <w:r w:rsidRPr="005C0614">
              <w:rPr>
                <w:rFonts w:ascii="Tahoma" w:hAnsi="Tahoma" w:cs="Tahoma"/>
                <w:b w:val="0"/>
                <w:sz w:val="14"/>
                <w:szCs w:val="14"/>
              </w:rPr>
              <w:t>Office 365 Enterprise E1 (SL de Usuário)</w:t>
            </w:r>
            <w:bookmarkEnd w:id="356"/>
            <w:bookmarkEnd w:id="357"/>
          </w:p>
        </w:tc>
        <w:tc>
          <w:tcPr>
            <w:tcW w:w="450" w:type="dxa"/>
            <w:tcBorders>
              <w:bottom w:val="single" w:sz="4" w:space="0" w:color="auto"/>
            </w:tcBorders>
            <w:shd w:val="clear" w:color="auto" w:fill="FABF8F"/>
            <w:vAlign w:val="center"/>
          </w:tcPr>
          <w:p w:rsidR="001A63C6" w:rsidRPr="00B01D7E" w:rsidDel="00436016" w:rsidRDefault="008719E7" w:rsidP="00CE54BA">
            <w:pPr>
              <w:pStyle w:val="TableText"/>
              <w:widowControl w:val="0"/>
              <w:spacing w:before="20" w:after="20"/>
              <w:rPr>
                <w:b/>
                <w:color w:val="0000FF"/>
                <w:sz w:val="13"/>
                <w:szCs w:val="13"/>
                <w:u w:val="single"/>
              </w:rPr>
            </w:pPr>
            <w:hyperlink w:anchor="_70_68_Office" w:history="1">
              <w:r w:rsidR="005B0EC7" w:rsidRPr="00B01D7E">
                <w:rPr>
                  <w:rStyle w:val="Hyperlink"/>
                  <w:b/>
                  <w:sz w:val="13"/>
                  <w:szCs w:val="13"/>
                </w:rPr>
                <w:t>68</w:t>
              </w:r>
            </w:hyperlink>
            <w:hyperlink w:anchor="_65_Office_365" w:history="1"/>
            <w:hyperlink w:anchor="_71_Office_365_1" w:history="1"/>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r>
      <w:tr w:rsidR="00B33D0E" w:rsidRPr="00416070" w:rsidDel="00436016" w:rsidTr="005C0614">
        <w:trPr>
          <w:trHeight w:val="145"/>
        </w:trPr>
        <w:tc>
          <w:tcPr>
            <w:tcW w:w="2734" w:type="dxa"/>
            <w:gridSpan w:val="2"/>
            <w:tcBorders>
              <w:bottom w:val="single" w:sz="4" w:space="0" w:color="auto"/>
            </w:tcBorders>
            <w:shd w:val="clear" w:color="auto" w:fill="FFFFFF"/>
            <w:vAlign w:val="center"/>
          </w:tcPr>
          <w:p w:rsidR="001A63C6" w:rsidRPr="00DE1733" w:rsidDel="00436016" w:rsidRDefault="001A63C6" w:rsidP="005C0614">
            <w:pPr>
              <w:pStyle w:val="Heading2"/>
              <w:spacing w:beforeLines="20" w:before="48" w:afterLines="20" w:after="48"/>
              <w:ind w:left="0" w:firstLine="15"/>
              <w:rPr>
                <w:rFonts w:ascii="Tahoma" w:hAnsi="Tahoma" w:cs="Tahoma"/>
                <w:b w:val="0"/>
                <w:sz w:val="14"/>
                <w:szCs w:val="14"/>
              </w:rPr>
            </w:pPr>
            <w:bookmarkStart w:id="358" w:name="_Toc336338028"/>
            <w:bookmarkStart w:id="359" w:name="_Toc352234109"/>
            <w:r w:rsidRPr="00DE1733">
              <w:rPr>
                <w:rFonts w:ascii="Tahoma" w:hAnsi="Tahoma" w:cs="Tahoma"/>
                <w:b w:val="0"/>
                <w:sz w:val="14"/>
                <w:szCs w:val="14"/>
              </w:rPr>
              <w:t xml:space="preserve">Office 365 Enterprise E2 - E4 </w:t>
            </w:r>
            <w:r w:rsidR="00DE1733" w:rsidRPr="008D38F6">
              <w:rPr>
                <w:rFonts w:ascii="Tahoma" w:hAnsi="Tahoma" w:cs="Tahoma"/>
                <w:b w:val="0"/>
                <w:sz w:val="14"/>
                <w:szCs w:val="14"/>
                <w:lang w:val="pt-BR"/>
              </w:rPr>
              <w:br/>
            </w:r>
            <w:r w:rsidRPr="00DE1733">
              <w:rPr>
                <w:rFonts w:ascii="Tahoma" w:hAnsi="Tahoma" w:cs="Tahoma"/>
                <w:b w:val="0"/>
                <w:sz w:val="14"/>
                <w:szCs w:val="14"/>
              </w:rPr>
              <w:t>(SL de Usuário)</w:t>
            </w:r>
            <w:bookmarkEnd w:id="358"/>
            <w:bookmarkEnd w:id="359"/>
          </w:p>
        </w:tc>
        <w:tc>
          <w:tcPr>
            <w:tcW w:w="450" w:type="dxa"/>
            <w:tcBorders>
              <w:bottom w:val="single" w:sz="4" w:space="0" w:color="auto"/>
            </w:tcBorders>
            <w:shd w:val="clear" w:color="auto" w:fill="FFFFFF"/>
            <w:vAlign w:val="center"/>
          </w:tcPr>
          <w:p w:rsidR="001A63C6" w:rsidRPr="00B01D7E" w:rsidDel="00436016" w:rsidRDefault="008719E7" w:rsidP="00CE54BA">
            <w:pPr>
              <w:pStyle w:val="TableText"/>
              <w:widowControl w:val="0"/>
              <w:spacing w:before="20" w:after="20"/>
              <w:rPr>
                <w:b/>
                <w:color w:val="0000FF"/>
                <w:sz w:val="13"/>
                <w:szCs w:val="13"/>
                <w:u w:val="single"/>
              </w:rPr>
            </w:pPr>
            <w:hyperlink w:anchor="_65_Office_365" w:history="1">
              <w:r w:rsidR="005B0EC7" w:rsidRPr="00B01D7E">
                <w:rPr>
                  <w:rStyle w:val="Hyperlink"/>
                  <w:b/>
                  <w:sz w:val="13"/>
                  <w:szCs w:val="13"/>
                </w:rPr>
                <w:t>5</w:t>
              </w:r>
            </w:hyperlink>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Del="00436016" w:rsidRDefault="001A63C6" w:rsidP="00CE54BA">
            <w:pPr>
              <w:pStyle w:val="TableText"/>
              <w:widowControl w:val="0"/>
              <w:spacing w:before="20" w:after="20"/>
              <w:rPr>
                <w:rFonts w:ascii="Tahoma" w:hAnsi="Tahoma" w:cs="Tahoma"/>
                <w:sz w:val="13"/>
              </w:rPr>
            </w:pPr>
          </w:p>
        </w:tc>
      </w:tr>
      <w:tr w:rsidR="00B33D0E" w:rsidRPr="00416070" w:rsidDel="00436016" w:rsidTr="005C0614">
        <w:trPr>
          <w:trHeight w:val="145"/>
        </w:trPr>
        <w:tc>
          <w:tcPr>
            <w:tcW w:w="2734" w:type="dxa"/>
            <w:gridSpan w:val="2"/>
            <w:tcBorders>
              <w:bottom w:val="single" w:sz="4" w:space="0" w:color="auto"/>
            </w:tcBorders>
            <w:shd w:val="clear" w:color="auto" w:fill="FABF8F"/>
            <w:vAlign w:val="center"/>
          </w:tcPr>
          <w:p w:rsidR="001A63C6" w:rsidRPr="00DE1733" w:rsidDel="00436016" w:rsidRDefault="001A63C6" w:rsidP="005C0614">
            <w:pPr>
              <w:pStyle w:val="Heading2"/>
              <w:spacing w:beforeLines="20" w:before="48" w:afterLines="20" w:after="48"/>
              <w:ind w:left="0" w:firstLine="15"/>
              <w:rPr>
                <w:rFonts w:ascii="Tahoma" w:hAnsi="Tahoma" w:cs="Tahoma"/>
                <w:b w:val="0"/>
                <w:sz w:val="14"/>
                <w:szCs w:val="14"/>
              </w:rPr>
            </w:pPr>
            <w:bookmarkStart w:id="360" w:name="_Toc336338030"/>
            <w:bookmarkStart w:id="361" w:name="_Toc352234110"/>
            <w:r w:rsidRPr="00DE1733">
              <w:rPr>
                <w:rFonts w:ascii="Tahoma" w:hAnsi="Tahoma" w:cs="Tahoma"/>
                <w:b w:val="0"/>
                <w:sz w:val="14"/>
                <w:szCs w:val="14"/>
              </w:rPr>
              <w:t>Office 365 Enterprise K1 (SL de Usuário)</w:t>
            </w:r>
            <w:bookmarkEnd w:id="360"/>
            <w:bookmarkEnd w:id="361"/>
          </w:p>
        </w:tc>
        <w:tc>
          <w:tcPr>
            <w:tcW w:w="450" w:type="dxa"/>
            <w:tcBorders>
              <w:bottom w:val="single" w:sz="4" w:space="0" w:color="auto"/>
            </w:tcBorders>
            <w:shd w:val="clear" w:color="auto" w:fill="FABF8F"/>
            <w:vAlign w:val="center"/>
          </w:tcPr>
          <w:p w:rsidR="001A63C6" w:rsidRPr="00B01D7E" w:rsidDel="00436016" w:rsidRDefault="008719E7" w:rsidP="00CE54BA">
            <w:pPr>
              <w:pStyle w:val="TableText"/>
              <w:widowControl w:val="0"/>
              <w:spacing w:before="20" w:after="20"/>
              <w:rPr>
                <w:b/>
                <w:color w:val="0000FF"/>
                <w:sz w:val="13"/>
                <w:szCs w:val="13"/>
                <w:u w:val="single"/>
              </w:rPr>
            </w:pPr>
            <w:hyperlink w:anchor="_69_Office_365_1" w:history="1">
              <w:r w:rsidR="005B0EC7" w:rsidRPr="00B01D7E">
                <w:rPr>
                  <w:rStyle w:val="Hyperlink"/>
                  <w:b/>
                  <w:sz w:val="13"/>
                  <w:szCs w:val="13"/>
                </w:rPr>
                <w:t>69</w:t>
              </w:r>
            </w:hyperlink>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Del="00436016" w:rsidRDefault="001A63C6" w:rsidP="00CE54BA">
            <w:pPr>
              <w:pStyle w:val="TableText"/>
              <w:widowControl w:val="0"/>
              <w:spacing w:before="20" w:after="20"/>
              <w:rPr>
                <w:rFonts w:ascii="Tahoma" w:hAnsi="Tahoma" w:cs="Tahoma"/>
                <w:sz w:val="13"/>
              </w:rPr>
            </w:pPr>
          </w:p>
        </w:tc>
      </w:tr>
      <w:tr w:rsidR="00B33D0E" w:rsidRPr="00416070" w:rsidDel="00436016" w:rsidTr="005C0614">
        <w:trPr>
          <w:trHeight w:val="145"/>
        </w:trPr>
        <w:tc>
          <w:tcPr>
            <w:tcW w:w="2734" w:type="dxa"/>
            <w:gridSpan w:val="2"/>
            <w:tcBorders>
              <w:bottom w:val="single" w:sz="4" w:space="0" w:color="auto"/>
            </w:tcBorders>
            <w:shd w:val="clear" w:color="auto" w:fill="auto"/>
            <w:vAlign w:val="center"/>
          </w:tcPr>
          <w:p w:rsidR="001A63C6" w:rsidRPr="00DE1733" w:rsidDel="00436016" w:rsidRDefault="001A63C6" w:rsidP="005C0614">
            <w:pPr>
              <w:pStyle w:val="Heading2"/>
              <w:spacing w:beforeLines="20" w:before="48" w:afterLines="20" w:after="48"/>
              <w:ind w:left="0" w:firstLine="15"/>
              <w:rPr>
                <w:rFonts w:ascii="Tahoma" w:hAnsi="Tahoma" w:cs="Tahoma"/>
                <w:b w:val="0"/>
                <w:sz w:val="14"/>
                <w:szCs w:val="14"/>
              </w:rPr>
            </w:pPr>
            <w:bookmarkStart w:id="362" w:name="_Toc336338031"/>
            <w:bookmarkStart w:id="363" w:name="_Toc352234111"/>
            <w:r w:rsidRPr="00DE1733">
              <w:rPr>
                <w:rFonts w:ascii="Tahoma" w:hAnsi="Tahoma" w:cs="Tahoma"/>
                <w:b w:val="0"/>
                <w:sz w:val="14"/>
                <w:szCs w:val="14"/>
              </w:rPr>
              <w:t>Office 365 Enterprise K2 (SL de Usuário)</w:t>
            </w:r>
            <w:bookmarkEnd w:id="362"/>
            <w:bookmarkEnd w:id="363"/>
          </w:p>
        </w:tc>
        <w:tc>
          <w:tcPr>
            <w:tcW w:w="450" w:type="dxa"/>
            <w:tcBorders>
              <w:bottom w:val="single" w:sz="4" w:space="0" w:color="auto"/>
            </w:tcBorders>
            <w:shd w:val="clear" w:color="auto" w:fill="auto"/>
            <w:vAlign w:val="center"/>
          </w:tcPr>
          <w:p w:rsidR="001A63C6" w:rsidRPr="00B01D7E" w:rsidDel="00436016" w:rsidRDefault="008719E7" w:rsidP="00CE54BA">
            <w:pPr>
              <w:pStyle w:val="TableText"/>
              <w:widowControl w:val="0"/>
              <w:spacing w:before="20" w:after="20"/>
              <w:rPr>
                <w:b/>
                <w:color w:val="0000FF"/>
                <w:sz w:val="13"/>
                <w:szCs w:val="13"/>
                <w:u w:val="single"/>
              </w:rPr>
            </w:pPr>
            <w:hyperlink w:anchor="_69_Office_365_1" w:history="1">
              <w:r w:rsidR="005B0EC7" w:rsidRPr="00B01D7E">
                <w:rPr>
                  <w:rStyle w:val="Hyperlink"/>
                  <w:b/>
                  <w:sz w:val="13"/>
                  <w:szCs w:val="13"/>
                </w:rPr>
                <w:t>69</w:t>
              </w:r>
            </w:hyperlink>
            <w:hyperlink w:anchor="Srv_74Office365PlanK1K2" w:history="1"/>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Del="00436016" w:rsidRDefault="001A63C6" w:rsidP="00CE54BA">
            <w:pPr>
              <w:pStyle w:val="TableText"/>
              <w:widowControl w:val="0"/>
              <w:spacing w:before="20" w:after="20"/>
              <w:rPr>
                <w:rFonts w:ascii="Tahoma" w:hAnsi="Tahoma" w:cs="Tahoma"/>
                <w:sz w:val="13"/>
              </w:rPr>
            </w:pPr>
          </w:p>
        </w:tc>
      </w:tr>
      <w:tr w:rsidR="00871AE2" w:rsidRPr="00416070" w:rsidDel="00436016" w:rsidTr="005C0614">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5C0614" w:rsidRDefault="00871AE2" w:rsidP="005C0614">
            <w:pPr>
              <w:pStyle w:val="Heading2"/>
              <w:spacing w:beforeLines="20" w:before="48" w:afterLines="20" w:after="48"/>
              <w:ind w:left="0" w:firstLine="15"/>
              <w:rPr>
                <w:rFonts w:ascii="Tahoma" w:hAnsi="Tahoma" w:cs="Tahoma"/>
                <w:b w:val="0"/>
                <w:sz w:val="14"/>
                <w:szCs w:val="14"/>
              </w:rPr>
            </w:pPr>
            <w:bookmarkStart w:id="364" w:name="_Toc352234112"/>
            <w:r w:rsidRPr="005C0614">
              <w:rPr>
                <w:rFonts w:ascii="Tahoma" w:hAnsi="Tahoma" w:cs="Tahoma"/>
                <w:b w:val="0"/>
                <w:sz w:val="14"/>
                <w:szCs w:val="14"/>
              </w:rPr>
              <w:t xml:space="preserve">Office 365 Government G1 - G4 </w:t>
            </w:r>
            <w:r w:rsidR="00DE1733">
              <w:rPr>
                <w:rFonts w:ascii="Tahoma" w:hAnsi="Tahoma" w:cs="Tahoma"/>
                <w:b w:val="0"/>
                <w:sz w:val="14"/>
                <w:szCs w:val="14"/>
                <w:lang w:val="en-US"/>
              </w:rPr>
              <w:br/>
            </w:r>
            <w:r w:rsidRPr="005C0614">
              <w:rPr>
                <w:rFonts w:ascii="Tahoma" w:hAnsi="Tahoma" w:cs="Tahoma"/>
                <w:b w:val="0"/>
                <w:sz w:val="14"/>
                <w:szCs w:val="14"/>
              </w:rPr>
              <w:t>(SL de Usuário)</w:t>
            </w:r>
            <w:bookmarkEnd w:id="36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01D7E" w:rsidRDefault="008719E7" w:rsidP="00CE54BA">
            <w:pPr>
              <w:pStyle w:val="TableText"/>
              <w:widowControl w:val="0"/>
              <w:spacing w:before="20" w:after="20"/>
              <w:rPr>
                <w:b/>
                <w:sz w:val="13"/>
                <w:szCs w:val="13"/>
              </w:rPr>
            </w:pPr>
            <w:hyperlink w:anchor="_70_Office_365" w:history="1">
              <w:r w:rsidR="005B0EC7" w:rsidRPr="00B01D7E">
                <w:rPr>
                  <w:rStyle w:val="Hyperlink"/>
                  <w:b/>
                  <w:sz w:val="13"/>
                  <w:szCs w:val="13"/>
                </w:rPr>
                <w:t>70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16070" w:rsidRDefault="00871AE2"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416070" w:rsidRDefault="00871AE2" w:rsidP="00CE54BA">
            <w:pPr>
              <w:pStyle w:val="TableText"/>
              <w:widowControl w:val="0"/>
              <w:spacing w:before="20" w:after="20"/>
              <w:rPr>
                <w:rFonts w:ascii="Tahoma" w:hAnsi="Tahoma" w:cs="Tahoma"/>
                <w:sz w:val="13"/>
              </w:rPr>
            </w:pPr>
            <w:r w:rsidRPr="00416070">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416070" w:rsidRDefault="00871AE2" w:rsidP="00CE54BA">
            <w:pPr>
              <w:pStyle w:val="TableText"/>
              <w:widowControl w:val="0"/>
              <w:spacing w:before="20" w:after="20"/>
              <w:rPr>
                <w:rFonts w:ascii="Tahoma" w:hAnsi="Tahoma" w:cs="Tahoma"/>
                <w:sz w:val="13"/>
              </w:rPr>
            </w:pPr>
            <w:r w:rsidRPr="00416070">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416070" w:rsidDel="00436016" w:rsidRDefault="00871AE2" w:rsidP="00CE54BA">
            <w:pPr>
              <w:pStyle w:val="TableText"/>
              <w:widowControl w:val="0"/>
              <w:spacing w:before="20" w:after="20"/>
              <w:rPr>
                <w:rFonts w:ascii="Tahoma" w:hAnsi="Tahoma" w:cs="Tahoma"/>
                <w:sz w:val="13"/>
              </w:rPr>
            </w:pPr>
          </w:p>
        </w:tc>
      </w:tr>
      <w:tr w:rsidR="00B33D0E" w:rsidRPr="00416070" w:rsidTr="00CA15C4">
        <w:trPr>
          <w:cantSplit/>
          <w:trHeight w:val="145"/>
        </w:trPr>
        <w:tc>
          <w:tcPr>
            <w:tcW w:w="2734" w:type="dxa"/>
            <w:gridSpan w:val="2"/>
            <w:tcBorders>
              <w:bottom w:val="single" w:sz="4" w:space="0" w:color="auto"/>
            </w:tcBorders>
            <w:shd w:val="clear" w:color="auto" w:fill="FFFFFF"/>
            <w:vAlign w:val="center"/>
          </w:tcPr>
          <w:p w:rsidR="001A63C6" w:rsidRPr="008D38F6" w:rsidRDefault="001A63C6" w:rsidP="005C0614">
            <w:pPr>
              <w:pStyle w:val="ProductNames"/>
              <w:rPr>
                <w:rFonts w:ascii="Tahoma" w:hAnsi="Tahoma" w:cs="Tahoma"/>
                <w:sz w:val="14"/>
                <w:szCs w:val="14"/>
                <w:lang w:val="pt-BR"/>
              </w:rPr>
            </w:pPr>
            <w:bookmarkStart w:id="365" w:name="_Toc336338032"/>
            <w:bookmarkStart w:id="366" w:name="_Toc352234113"/>
            <w:r w:rsidRPr="008D38F6">
              <w:rPr>
                <w:rFonts w:ascii="Tahoma" w:hAnsi="Tahoma" w:cs="Tahoma"/>
                <w:sz w:val="14"/>
                <w:szCs w:val="14"/>
                <w:lang w:val="pt-BR"/>
              </w:rPr>
              <w:lastRenderedPageBreak/>
              <w:t>Aplicativos da Web do Office com SharePoint Plano 2A (SL do Usuário)</w:t>
            </w:r>
            <w:bookmarkEnd w:id="365"/>
            <w:bookmarkEnd w:id="366"/>
          </w:p>
        </w:tc>
        <w:tc>
          <w:tcPr>
            <w:tcW w:w="450" w:type="dxa"/>
            <w:tcBorders>
              <w:bottom w:val="single" w:sz="4" w:space="0" w:color="auto"/>
            </w:tcBorders>
            <w:shd w:val="clear" w:color="auto" w:fill="FFFFFF"/>
            <w:vAlign w:val="center"/>
          </w:tcPr>
          <w:p w:rsidR="001A63C6" w:rsidRPr="00B01D7E" w:rsidRDefault="001A63C6" w:rsidP="00CE54BA">
            <w:pPr>
              <w:pStyle w:val="TableText"/>
              <w:widowControl w:val="0"/>
              <w:spacing w:before="20" w:after="20"/>
              <w:rPr>
                <w:b/>
                <w:color w:val="0000FF"/>
                <w:sz w:val="13"/>
                <w:szCs w:val="13"/>
                <w:u w:val="single"/>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ST (Somente EES)</w:t>
            </w: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367" w:name="_Toc352234114"/>
            <w:r w:rsidRPr="005C0614">
              <w:rPr>
                <w:rFonts w:ascii="Tahoma" w:hAnsi="Tahoma" w:cs="Tahoma"/>
                <w:sz w:val="14"/>
                <w:szCs w:val="14"/>
              </w:rPr>
              <w:t>Project Online</w:t>
            </w:r>
            <w:bookmarkEnd w:id="367"/>
            <w:r w:rsidR="00FB5496" w:rsidRPr="005C0614">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color w:val="0000FF"/>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368" w:name="_Toc352234115"/>
            <w:r w:rsidRPr="005C0614">
              <w:rPr>
                <w:rFonts w:ascii="Tahoma" w:hAnsi="Tahoma" w:cs="Tahoma"/>
                <w:sz w:val="14"/>
                <w:szCs w:val="14"/>
              </w:rPr>
              <w:t>Project Online A</w:t>
            </w:r>
            <w:bookmarkEnd w:id="368"/>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color w:val="0000FF"/>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369" w:name="_Toc336338033"/>
            <w:bookmarkStart w:id="370" w:name="_Toc352234116"/>
            <w:r w:rsidRPr="005C0614">
              <w:rPr>
                <w:rFonts w:ascii="Tahoma" w:hAnsi="Tahoma" w:cs="Tahoma"/>
                <w:sz w:val="14"/>
                <w:szCs w:val="14"/>
              </w:rPr>
              <w:t xml:space="preserve">Project Server </w:t>
            </w:r>
            <w:bookmarkEnd w:id="369"/>
            <w:r w:rsidRPr="005C0614">
              <w:rPr>
                <w:rFonts w:ascii="Tahoma" w:hAnsi="Tahoma" w:cs="Tahoma"/>
                <w:sz w:val="14"/>
                <w:szCs w:val="14"/>
              </w:rPr>
              <w:t>2013</w:t>
            </w:r>
            <w:bookmarkEnd w:id="370"/>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color w:val="0000FF"/>
                <w:sz w:val="13"/>
                <w:szCs w:val="13"/>
                <w:u w:val="single"/>
              </w:rPr>
            </w:pPr>
            <w:bookmarkStart w:id="371" w:name="_Hlt336249768"/>
          </w:p>
        </w:tc>
        <w:bookmarkEnd w:id="371"/>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372" w:name="_Toc336338034"/>
            <w:bookmarkStart w:id="373" w:name="_Toc352234117"/>
            <w:r w:rsidRPr="005C0614">
              <w:rPr>
                <w:rFonts w:ascii="Tahoma" w:hAnsi="Tahoma" w:cs="Tahoma"/>
                <w:sz w:val="14"/>
                <w:szCs w:val="14"/>
              </w:rPr>
              <w:t>CAL do Project Server</w:t>
            </w:r>
            <w:bookmarkEnd w:id="372"/>
            <w:r w:rsidRPr="005C0614">
              <w:rPr>
                <w:rFonts w:ascii="Tahoma" w:hAnsi="Tahoma" w:cs="Tahoma"/>
                <w:sz w:val="14"/>
                <w:szCs w:val="14"/>
              </w:rPr>
              <w:t xml:space="preserve"> 2013</w:t>
            </w:r>
            <w:bookmarkEnd w:id="373"/>
            <w:r w:rsidRPr="005C0614">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DE1733">
            <w:pPr>
              <w:pStyle w:val="Heading2"/>
              <w:keepNext/>
              <w:keepLines/>
              <w:spacing w:beforeLines="20" w:before="48" w:afterLines="20" w:after="48"/>
              <w:ind w:left="0" w:firstLine="15"/>
              <w:rPr>
                <w:rFonts w:ascii="Tahoma" w:hAnsi="Tahoma" w:cs="Tahoma"/>
                <w:b w:val="0"/>
                <w:sz w:val="14"/>
                <w:szCs w:val="14"/>
              </w:rPr>
            </w:pPr>
            <w:bookmarkStart w:id="374" w:name="_Toc336338036"/>
            <w:bookmarkStart w:id="375" w:name="_Toc352234118"/>
            <w:r w:rsidRPr="005C0614">
              <w:rPr>
                <w:rFonts w:ascii="Tahoma" w:hAnsi="Tahoma" w:cs="Tahoma"/>
                <w:b w:val="0"/>
                <w:sz w:val="14"/>
                <w:szCs w:val="14"/>
              </w:rPr>
              <w:t>Armazenamento Extra do SharePoint™ Online de 1 GB (SL Complementar)</w:t>
            </w:r>
            <w:bookmarkEnd w:id="374"/>
            <w:bookmarkEnd w:id="375"/>
          </w:p>
        </w:tc>
        <w:tc>
          <w:tcPr>
            <w:tcW w:w="450" w:type="dxa"/>
            <w:tcBorders>
              <w:bottom w:val="single" w:sz="4" w:space="0" w:color="auto"/>
            </w:tcBorders>
            <w:shd w:val="clear" w:color="auto" w:fill="FABF8F"/>
            <w:vAlign w:val="center"/>
          </w:tcPr>
          <w:p w:rsidR="001A63C6" w:rsidRPr="00B01D7E" w:rsidRDefault="001A63C6" w:rsidP="00DE1733">
            <w:pPr>
              <w:pStyle w:val="TableText"/>
              <w:keepNext/>
              <w:keepLines/>
              <w:widowControl w:val="0"/>
              <w:spacing w:before="20" w:after="20"/>
              <w:rPr>
                <w:b/>
                <w:color w:val="000000"/>
                <w:sz w:val="13"/>
                <w:szCs w:val="13"/>
                <w:u w:val="single"/>
              </w:rPr>
            </w:pPr>
          </w:p>
        </w:tc>
        <w:tc>
          <w:tcPr>
            <w:tcW w:w="450" w:type="dxa"/>
            <w:tcBorders>
              <w:bottom w:val="single" w:sz="4" w:space="0" w:color="auto"/>
            </w:tcBorders>
            <w:shd w:val="clear" w:color="auto" w:fill="FABF8F"/>
            <w:vAlign w:val="center"/>
          </w:tcPr>
          <w:p w:rsidR="001A63C6" w:rsidRPr="00416070" w:rsidDel="008F575D" w:rsidRDefault="001A63C6" w:rsidP="00DE1733">
            <w:pPr>
              <w:pStyle w:val="TableText"/>
              <w:keepNext/>
              <w:keepLines/>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DE1733">
            <w:pPr>
              <w:pStyle w:val="TableText"/>
              <w:keepNext/>
              <w:keepLines/>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firstLine="15"/>
              <w:rPr>
                <w:rFonts w:ascii="Tahoma" w:hAnsi="Tahoma" w:cs="Tahoma"/>
                <w:b w:val="0"/>
                <w:sz w:val="14"/>
                <w:szCs w:val="14"/>
              </w:rPr>
            </w:pPr>
            <w:bookmarkStart w:id="376" w:name="_Toc336338037"/>
            <w:bookmarkStart w:id="377" w:name="_Toc352234119"/>
            <w:r w:rsidRPr="005C0614">
              <w:rPr>
                <w:rFonts w:ascii="Tahoma" w:hAnsi="Tahoma" w:cs="Tahoma"/>
                <w:b w:val="0"/>
                <w:sz w:val="14"/>
                <w:szCs w:val="14"/>
              </w:rPr>
              <w:t>Armazenamento Extra do SharePoint™ Online de A 1 GB (SL Complementar)</w:t>
            </w:r>
            <w:bookmarkEnd w:id="376"/>
            <w:bookmarkEnd w:id="377"/>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ST (Somente EES)</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Lines="20" w:before="48" w:afterLines="20" w:after="48"/>
              <w:ind w:left="0" w:firstLine="15"/>
              <w:rPr>
                <w:rFonts w:ascii="Tahoma" w:hAnsi="Tahoma" w:cs="Tahoma"/>
                <w:b w:val="0"/>
                <w:sz w:val="14"/>
                <w:szCs w:val="14"/>
              </w:rPr>
            </w:pPr>
            <w:bookmarkStart w:id="378" w:name="_Toc336338038"/>
            <w:bookmarkStart w:id="379" w:name="_Toc352234120"/>
            <w:r w:rsidRPr="005C0614">
              <w:rPr>
                <w:rFonts w:ascii="Tahoma" w:hAnsi="Tahoma" w:cs="Tahoma"/>
                <w:b w:val="0"/>
                <w:sz w:val="14"/>
                <w:szCs w:val="14"/>
              </w:rPr>
              <w:t xml:space="preserve">SharePoint™ Online Plano 1 </w:t>
            </w:r>
            <w:r w:rsidR="00DE1733" w:rsidRPr="008D38F6">
              <w:rPr>
                <w:rFonts w:ascii="Tahoma" w:hAnsi="Tahoma" w:cs="Tahoma"/>
                <w:b w:val="0"/>
                <w:sz w:val="14"/>
                <w:szCs w:val="14"/>
                <w:lang w:val="pt-BR"/>
              </w:rPr>
              <w:br/>
            </w:r>
            <w:r w:rsidRPr="005C0614">
              <w:rPr>
                <w:rFonts w:ascii="Tahoma" w:hAnsi="Tahoma" w:cs="Tahoma"/>
                <w:b w:val="0"/>
                <w:sz w:val="14"/>
                <w:szCs w:val="14"/>
              </w:rPr>
              <w:t>(SL de Usuário)</w:t>
            </w:r>
            <w:bookmarkEnd w:id="378"/>
            <w:bookmarkEnd w:id="379"/>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71_SharePoint_Online" w:history="1">
              <w:r w:rsidR="005B0EC7" w:rsidRPr="00B01D7E">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380" w:name="_Toc336338039"/>
            <w:bookmarkStart w:id="381" w:name="_Toc352234121"/>
            <w:r w:rsidRPr="008D38F6">
              <w:rPr>
                <w:rFonts w:ascii="Tahoma" w:hAnsi="Tahoma" w:cs="Tahoma"/>
                <w:sz w:val="14"/>
                <w:szCs w:val="14"/>
                <w:lang w:val="pt-BR"/>
              </w:rPr>
              <w:t xml:space="preserve">SharePoint™ Online Plano 2 </w:t>
            </w:r>
            <w:r w:rsidR="00DE1733" w:rsidRPr="008D38F6">
              <w:rPr>
                <w:rFonts w:ascii="Tahoma" w:hAnsi="Tahoma" w:cs="Tahoma"/>
                <w:sz w:val="14"/>
                <w:szCs w:val="14"/>
                <w:lang w:val="pt-BR"/>
              </w:rPr>
              <w:br/>
            </w:r>
            <w:r w:rsidRPr="008D38F6">
              <w:rPr>
                <w:rFonts w:ascii="Tahoma" w:hAnsi="Tahoma" w:cs="Tahoma"/>
                <w:sz w:val="14"/>
                <w:szCs w:val="14"/>
                <w:lang w:val="pt-BR"/>
              </w:rPr>
              <w:t>(SL de Usuário)</w:t>
            </w:r>
            <w:bookmarkEnd w:id="380"/>
            <w:bookmarkEnd w:id="381"/>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00"/>
                <w:sz w:val="13"/>
                <w:szCs w:val="13"/>
                <w:u w:val="single"/>
              </w:rPr>
            </w:pPr>
            <w:hyperlink w:anchor="_71_SharePoint_Online" w:history="1">
              <w:r w:rsidR="005B0EC7" w:rsidRPr="00B01D7E">
                <w:rPr>
                  <w:rStyle w:val="Hyperlink"/>
                  <w:rFonts w:cs="Tahoma"/>
                  <w:b/>
                  <w:sz w:val="13"/>
                  <w:szCs w:val="13"/>
                </w:rPr>
                <w:t>71</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382" w:name="_Toc336338040"/>
            <w:bookmarkStart w:id="383" w:name="_Toc352234122"/>
            <w:r w:rsidRPr="005C0614">
              <w:rPr>
                <w:rFonts w:ascii="Tahoma" w:hAnsi="Tahoma" w:cs="Tahoma"/>
                <w:sz w:val="14"/>
                <w:szCs w:val="14"/>
              </w:rPr>
              <w:t xml:space="preserve">SharePoint™ Server </w:t>
            </w:r>
            <w:bookmarkEnd w:id="382"/>
            <w:r w:rsidRPr="005C0614">
              <w:rPr>
                <w:rFonts w:ascii="Tahoma" w:hAnsi="Tahoma" w:cs="Tahoma"/>
                <w:sz w:val="14"/>
                <w:szCs w:val="14"/>
              </w:rPr>
              <w:t>2013</w:t>
            </w:r>
            <w:bookmarkEnd w:id="383"/>
            <w:r w:rsidRPr="005C0614">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00"/>
                <w:sz w:val="13"/>
                <w:szCs w:val="13"/>
                <w:u w:val="single"/>
              </w:rPr>
            </w:pPr>
            <w:hyperlink w:anchor="_74_72_SharePoint" w:history="1">
              <w:r w:rsidR="005B0EC7" w:rsidRPr="00B01D7E">
                <w:rPr>
                  <w:rStyle w:val="Hyperlink"/>
                  <w:b/>
                  <w:sz w:val="13"/>
                  <w:szCs w:val="13"/>
                </w:rPr>
                <w:t>72</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DE1733">
            <w:pPr>
              <w:pStyle w:val="ProductNames"/>
              <w:spacing w:beforeLines="20" w:before="48" w:afterLines="20" w:after="48"/>
              <w:rPr>
                <w:rFonts w:ascii="Tahoma" w:hAnsi="Tahoma" w:cs="Tahoma"/>
                <w:sz w:val="14"/>
                <w:szCs w:val="14"/>
                <w:lang w:val="pt-BR"/>
              </w:rPr>
            </w:pPr>
            <w:bookmarkStart w:id="384" w:name="_Toc336338041"/>
            <w:bookmarkStart w:id="385" w:name="_Toc352234123"/>
            <w:r w:rsidRPr="008D38F6">
              <w:rPr>
                <w:rFonts w:ascii="Tahoma" w:hAnsi="Tahoma" w:cs="Tahoma"/>
                <w:sz w:val="14"/>
                <w:szCs w:val="14"/>
                <w:lang w:val="pt-BR"/>
              </w:rPr>
              <w:t>CAL Empresarial do SharePoint™ Server</w:t>
            </w:r>
            <w:bookmarkEnd w:id="384"/>
            <w:r w:rsidR="00DE1733" w:rsidRPr="008D38F6">
              <w:rPr>
                <w:rFonts w:ascii="Tahoma" w:hAnsi="Tahoma" w:cs="Tahoma"/>
                <w:sz w:val="14"/>
                <w:szCs w:val="14"/>
                <w:lang w:val="pt-BR"/>
              </w:rPr>
              <w:t> </w:t>
            </w:r>
            <w:r w:rsidRPr="008D38F6">
              <w:rPr>
                <w:rFonts w:ascii="Tahoma" w:hAnsi="Tahoma" w:cs="Tahoma"/>
                <w:sz w:val="14"/>
                <w:szCs w:val="14"/>
                <w:lang w:val="pt-BR"/>
              </w:rPr>
              <w:t>2013</w:t>
            </w:r>
            <w:bookmarkEnd w:id="385"/>
            <w:r w:rsidRPr="008D38F6">
              <w:rPr>
                <w:rFonts w:ascii="Tahoma" w:hAnsi="Tahoma" w:cs="Tahoma"/>
                <w:sz w:val="14"/>
                <w:szCs w:val="14"/>
                <w:lang w:val="pt-BR"/>
              </w:rPr>
              <w:t xml:space="preserve"> </w:t>
            </w:r>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60"/>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386" w:name="_Toc336338044"/>
            <w:bookmarkStart w:id="387" w:name="_Toc352234124"/>
            <w:r w:rsidRPr="008D38F6">
              <w:rPr>
                <w:rFonts w:ascii="Tahoma" w:hAnsi="Tahoma" w:cs="Tahoma"/>
                <w:sz w:val="14"/>
                <w:szCs w:val="14"/>
                <w:lang w:val="pt-BR"/>
              </w:rPr>
              <w:t>CAL Padrão do SharePoint™ Server</w:t>
            </w:r>
            <w:bookmarkEnd w:id="386"/>
            <w:r w:rsidRPr="008D38F6">
              <w:rPr>
                <w:rFonts w:ascii="Tahoma" w:hAnsi="Tahoma" w:cs="Tahoma"/>
                <w:sz w:val="14"/>
                <w:szCs w:val="14"/>
                <w:lang w:val="pt-BR"/>
              </w:rPr>
              <w:t xml:space="preserve"> 2013</w:t>
            </w:r>
            <w:bookmarkEnd w:id="387"/>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color w:val="000000"/>
                <w:sz w:val="13"/>
              </w:rPr>
            </w:pPr>
            <w:r w:rsidRPr="00416070">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Lines="20" w:before="48" w:afterLines="20" w:after="48"/>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lang w:val="pt-BR"/>
              </w:rPr>
            </w:pPr>
            <w:bookmarkStart w:id="388" w:name="_Toc336338045"/>
            <w:bookmarkStart w:id="389" w:name="_Toc352234125"/>
            <w:r w:rsidRPr="008D38F6">
              <w:rPr>
                <w:rFonts w:ascii="Tahoma" w:hAnsi="Tahoma" w:cs="Tahoma"/>
                <w:sz w:val="14"/>
                <w:szCs w:val="14"/>
                <w:lang w:val="pt-BR"/>
              </w:rPr>
              <w:t>Licença para um processador do SQL Server</w:t>
            </w:r>
            <w:r w:rsidR="00510A6E" w:rsidRPr="008D38F6">
              <w:rPr>
                <w:rFonts w:ascii="Tahoma" w:eastAsia="Times New Roman" w:hAnsi="Tahoma" w:cs="Tahoma"/>
                <w:color w:val="000000"/>
                <w:sz w:val="14"/>
                <w:szCs w:val="14"/>
                <w:vertAlign w:val="superscript"/>
                <w:lang w:val="pt-BR"/>
              </w:rPr>
              <w:t>®</w:t>
            </w:r>
            <w:r w:rsidRPr="008D38F6">
              <w:rPr>
                <w:rFonts w:ascii="Tahoma" w:hAnsi="Tahoma" w:cs="Tahoma"/>
                <w:sz w:val="14"/>
                <w:szCs w:val="14"/>
                <w:lang w:val="pt-BR"/>
              </w:rPr>
              <w:t xml:space="preserve"> 2008 R2 Datacenter</w:t>
            </w:r>
            <w:bookmarkEnd w:id="388"/>
            <w:bookmarkEnd w:id="389"/>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FF"/>
                <w:sz w:val="13"/>
                <w:szCs w:val="13"/>
                <w:u w:val="single"/>
              </w:rPr>
            </w:pPr>
            <w:hyperlink w:anchor="_75_73_SQL" w:history="1">
              <w:r w:rsidR="005B0EC7" w:rsidRPr="00B01D7E">
                <w:rPr>
                  <w:rStyle w:val="Hyperlink"/>
                  <w:b/>
                  <w:sz w:val="13"/>
                  <w:szCs w:val="13"/>
                </w:rPr>
                <w:t>73</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390" w:name="_Toc336338048"/>
            <w:bookmarkStart w:id="391" w:name="_Toc352234126"/>
            <w:r w:rsidRPr="005C0614">
              <w:rPr>
                <w:rFonts w:ascii="Tahoma" w:hAnsi="Tahoma" w:cs="Tahoma"/>
                <w:sz w:val="14"/>
                <w:szCs w:val="14"/>
              </w:rPr>
              <w:t>SQL Server</w:t>
            </w:r>
            <w:r w:rsidR="00510A6E" w:rsidRPr="005C0614">
              <w:rPr>
                <w:rFonts w:ascii="Tahoma" w:eastAsia="Times New Roman" w:hAnsi="Tahoma" w:cs="Tahoma"/>
                <w:color w:val="000000"/>
                <w:sz w:val="14"/>
                <w:szCs w:val="14"/>
                <w:vertAlign w:val="superscript"/>
              </w:rPr>
              <w:t>®</w:t>
            </w:r>
            <w:r w:rsidRPr="005C0614">
              <w:rPr>
                <w:rFonts w:ascii="Tahoma" w:hAnsi="Tahoma" w:cs="Tahoma"/>
                <w:sz w:val="14"/>
                <w:szCs w:val="14"/>
              </w:rPr>
              <w:t xml:space="preserve"> 2008 R2 Small Business</w:t>
            </w:r>
            <w:bookmarkEnd w:id="390"/>
            <w:bookmarkEnd w:id="391"/>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color w:val="000000"/>
                <w:sz w:val="13"/>
                <w:szCs w:val="13"/>
                <w:u w:val="single"/>
              </w:rPr>
            </w:pPr>
            <w:hyperlink w:anchor="_76_74_SQL" w:history="1">
              <w:r w:rsidR="005B0EC7" w:rsidRPr="00B01D7E">
                <w:rPr>
                  <w:rStyle w:val="Hyperlink"/>
                  <w:b/>
                  <w:sz w:val="13"/>
                  <w:szCs w:val="13"/>
                </w:rPr>
                <w:t>74</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392" w:name="_Toc336338049"/>
            <w:bookmarkStart w:id="393" w:name="_Toc352234127"/>
            <w:r w:rsidRPr="005C0614">
              <w:rPr>
                <w:rFonts w:ascii="Tahoma" w:hAnsi="Tahoma" w:cs="Tahoma"/>
                <w:sz w:val="14"/>
                <w:szCs w:val="14"/>
              </w:rPr>
              <w:t>CAL do SQL Server</w:t>
            </w:r>
            <w:r w:rsidR="00510A6E" w:rsidRPr="005C0614">
              <w:rPr>
                <w:rFonts w:ascii="Tahoma" w:eastAsia="Times New Roman" w:hAnsi="Tahoma" w:cs="Tahoma"/>
                <w:color w:val="000000"/>
                <w:sz w:val="14"/>
                <w:szCs w:val="14"/>
                <w:vertAlign w:val="superscript"/>
              </w:rPr>
              <w:t>®</w:t>
            </w:r>
            <w:r w:rsidRPr="005C0614">
              <w:rPr>
                <w:rFonts w:ascii="Tahoma" w:hAnsi="Tahoma" w:cs="Tahoma"/>
                <w:sz w:val="14"/>
                <w:szCs w:val="14"/>
              </w:rPr>
              <w:t xml:space="preserve"> 2008 R2 Small</w:t>
            </w:r>
            <w:r w:rsidR="00DE1733">
              <w:rPr>
                <w:rFonts w:ascii="Tahoma" w:hAnsi="Tahoma" w:cs="Tahoma"/>
                <w:sz w:val="14"/>
                <w:szCs w:val="14"/>
              </w:rPr>
              <w:t> </w:t>
            </w:r>
            <w:r w:rsidRPr="005C0614">
              <w:rPr>
                <w:rFonts w:ascii="Tahoma" w:hAnsi="Tahoma" w:cs="Tahoma"/>
                <w:sz w:val="14"/>
                <w:szCs w:val="14"/>
              </w:rPr>
              <w:t>Business</w:t>
            </w:r>
            <w:bookmarkEnd w:id="392"/>
            <w:bookmarkEnd w:id="393"/>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394" w:name="_Toc336338050"/>
            <w:bookmarkStart w:id="395" w:name="_Toc352234128"/>
            <w:r w:rsidRPr="008D38F6">
              <w:rPr>
                <w:rFonts w:ascii="Tahoma" w:hAnsi="Tahoma" w:cs="Tahoma"/>
                <w:sz w:val="14"/>
                <w:szCs w:val="14"/>
                <w:lang w:val="pt-BR"/>
              </w:rPr>
              <w:t>SQL Server</w:t>
            </w:r>
            <w:r w:rsidR="00510A6E" w:rsidRPr="008D38F6">
              <w:rPr>
                <w:rFonts w:ascii="Tahoma" w:eastAsia="Times New Roman" w:hAnsi="Tahoma" w:cs="Tahoma"/>
                <w:color w:val="000000"/>
                <w:sz w:val="14"/>
                <w:szCs w:val="14"/>
                <w:vertAlign w:val="superscript"/>
                <w:lang w:val="pt-BR"/>
              </w:rPr>
              <w:t>®</w:t>
            </w:r>
            <w:r w:rsidRPr="008D38F6">
              <w:rPr>
                <w:rFonts w:ascii="Tahoma" w:hAnsi="Tahoma" w:cs="Tahoma"/>
                <w:sz w:val="14"/>
                <w:szCs w:val="14"/>
                <w:lang w:val="pt-BR"/>
              </w:rPr>
              <w:t xml:space="preserve"> 2008 R2 Web por Processador</w:t>
            </w:r>
            <w:bookmarkEnd w:id="394"/>
            <w:bookmarkEnd w:id="395"/>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color w:val="000000"/>
                <w:sz w:val="13"/>
                <w:szCs w:val="13"/>
                <w:u w:val="single"/>
              </w:rPr>
            </w:pPr>
            <w:hyperlink w:anchor="_77_75_SQL" w:history="1">
              <w:r w:rsidR="005B0EC7" w:rsidRPr="00B01D7E">
                <w:rPr>
                  <w:rStyle w:val="Hyperlink"/>
                  <w:b/>
                  <w:sz w:val="13"/>
                  <w:szCs w:val="13"/>
                </w:rPr>
                <w:t>75</w:t>
              </w:r>
            </w:hyperlink>
            <w:hyperlink w:anchor="Srv_84SQL2008R2Webproc"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396" w:name="_Toc336338051"/>
            <w:bookmarkStart w:id="397" w:name="_Toc352234129"/>
            <w:r w:rsidRPr="005C0614">
              <w:rPr>
                <w:rFonts w:ascii="Tahoma" w:hAnsi="Tahoma" w:cs="Tahoma"/>
                <w:sz w:val="14"/>
                <w:szCs w:val="14"/>
              </w:rPr>
              <w:t>CAL do SQL Server</w:t>
            </w:r>
            <w:r w:rsidR="00510A6E" w:rsidRPr="005C0614">
              <w:rPr>
                <w:rFonts w:ascii="Tahoma" w:eastAsia="Times New Roman" w:hAnsi="Tahoma" w:cs="Tahoma"/>
                <w:color w:val="000000"/>
                <w:sz w:val="14"/>
                <w:szCs w:val="14"/>
                <w:vertAlign w:val="superscript"/>
              </w:rPr>
              <w:t>®</w:t>
            </w:r>
            <w:r w:rsidRPr="005C0614">
              <w:rPr>
                <w:rFonts w:ascii="Tahoma" w:hAnsi="Tahoma" w:cs="Tahoma"/>
                <w:sz w:val="14"/>
                <w:szCs w:val="14"/>
              </w:rPr>
              <w:t xml:space="preserve"> 2008 R2 Workgroup</w:t>
            </w:r>
            <w:bookmarkEnd w:id="396"/>
            <w:bookmarkEnd w:id="397"/>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398" w:name="_Toc336338053"/>
            <w:bookmarkStart w:id="399" w:name="_Toc352234130"/>
            <w:r w:rsidRPr="008D38F6">
              <w:rPr>
                <w:rFonts w:ascii="Tahoma" w:hAnsi="Tahoma" w:cs="Tahoma"/>
                <w:sz w:val="14"/>
                <w:szCs w:val="14"/>
                <w:lang w:val="pt-BR"/>
              </w:rPr>
              <w:t>SQL Server</w:t>
            </w:r>
            <w:r w:rsidR="00510A6E" w:rsidRPr="008D38F6">
              <w:rPr>
                <w:rFonts w:ascii="Tahoma" w:eastAsia="Times New Roman" w:hAnsi="Tahoma" w:cs="Tahoma"/>
                <w:color w:val="000000"/>
                <w:sz w:val="14"/>
                <w:szCs w:val="14"/>
                <w:vertAlign w:val="superscript"/>
                <w:lang w:val="pt-BR"/>
              </w:rPr>
              <w:t>®</w:t>
            </w:r>
            <w:r w:rsidRPr="008D38F6">
              <w:rPr>
                <w:rFonts w:ascii="Tahoma" w:hAnsi="Tahoma" w:cs="Tahoma"/>
                <w:sz w:val="14"/>
                <w:szCs w:val="14"/>
                <w:lang w:val="pt-BR"/>
              </w:rPr>
              <w:t xml:space="preserve"> 2008 R2 Workgroup (Complementar para 5 Clientes)</w:t>
            </w:r>
            <w:bookmarkEnd w:id="398"/>
            <w:bookmarkEnd w:id="399"/>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00"/>
                <w:sz w:val="13"/>
                <w:szCs w:val="13"/>
                <w:u w:val="single"/>
              </w:rPr>
            </w:pPr>
            <w:hyperlink w:anchor="_78_76_SQL" w:history="1">
              <w:r w:rsidR="005B0EC7" w:rsidRPr="00B01D7E">
                <w:rPr>
                  <w:rStyle w:val="Hyperlink"/>
                  <w:b/>
                  <w:sz w:val="13"/>
                  <w:szCs w:val="13"/>
                </w:rPr>
                <w:t>76</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00" w:name="_Toc336338052"/>
            <w:bookmarkStart w:id="401" w:name="_Toc352234131"/>
            <w:r w:rsidRPr="008D38F6">
              <w:rPr>
                <w:rFonts w:ascii="Tahoma" w:hAnsi="Tahoma" w:cs="Tahoma"/>
                <w:sz w:val="14"/>
                <w:szCs w:val="14"/>
                <w:lang w:val="pt-BR"/>
              </w:rPr>
              <w:t>Licença para um Processador do SQL Server</w:t>
            </w:r>
            <w:r w:rsidR="00510A6E" w:rsidRPr="008D38F6">
              <w:rPr>
                <w:rFonts w:ascii="Tahoma" w:eastAsia="Times New Roman" w:hAnsi="Tahoma" w:cs="Tahoma"/>
                <w:color w:val="000000"/>
                <w:sz w:val="14"/>
                <w:szCs w:val="14"/>
                <w:vertAlign w:val="superscript"/>
                <w:lang w:val="pt-BR"/>
              </w:rPr>
              <w:t>®</w:t>
            </w:r>
            <w:r w:rsidRPr="008D38F6">
              <w:rPr>
                <w:rFonts w:ascii="Tahoma" w:hAnsi="Tahoma" w:cs="Tahoma"/>
                <w:sz w:val="14"/>
                <w:szCs w:val="14"/>
                <w:lang w:val="pt-BR"/>
              </w:rPr>
              <w:t xml:space="preserve"> 2008 R2 Workgroup</w:t>
            </w:r>
            <w:bookmarkEnd w:id="400"/>
            <w:bookmarkEnd w:id="401"/>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00"/>
                <w:sz w:val="13"/>
                <w:szCs w:val="13"/>
              </w:rPr>
            </w:pPr>
            <w:hyperlink w:anchor="_79_77_SQL" w:history="1">
              <w:r w:rsidR="005B0EC7" w:rsidRPr="00B01D7E">
                <w:rPr>
                  <w:rStyle w:val="Hyperlink"/>
                  <w:b/>
                  <w:sz w:val="13"/>
                  <w:szCs w:val="13"/>
                </w:rPr>
                <w:t>77</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02" w:name="_Toc336338054"/>
            <w:bookmarkStart w:id="403" w:name="_Toc352234132"/>
            <w:r w:rsidRPr="005C0614">
              <w:rPr>
                <w:rFonts w:ascii="Tahoma" w:hAnsi="Tahoma" w:cs="Tahoma"/>
                <w:sz w:val="14"/>
                <w:szCs w:val="14"/>
              </w:rPr>
              <w:t>SQL Server</w:t>
            </w:r>
            <w:r w:rsidR="00510A6E" w:rsidRPr="005C0614">
              <w:rPr>
                <w:rFonts w:ascii="Tahoma" w:eastAsia="Times New Roman" w:hAnsi="Tahoma" w:cs="Tahoma"/>
                <w:color w:val="000000"/>
                <w:sz w:val="14"/>
                <w:szCs w:val="14"/>
                <w:vertAlign w:val="superscript"/>
              </w:rPr>
              <w:t>®</w:t>
            </w:r>
            <w:r w:rsidRPr="005C0614">
              <w:rPr>
                <w:rFonts w:ascii="Tahoma" w:hAnsi="Tahoma" w:cs="Tahoma"/>
                <w:sz w:val="14"/>
                <w:szCs w:val="14"/>
              </w:rPr>
              <w:t xml:space="preserve"> 2012 Business Intelligence</w:t>
            </w:r>
            <w:bookmarkEnd w:id="402"/>
            <w:bookmarkEnd w:id="403"/>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u w:val="single"/>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04" w:name="_Toc336338055"/>
            <w:bookmarkStart w:id="405" w:name="_Toc352234133"/>
            <w:r w:rsidRPr="008D38F6">
              <w:rPr>
                <w:rFonts w:ascii="Tahoma" w:hAnsi="Tahoma" w:cs="Tahoma"/>
                <w:sz w:val="14"/>
                <w:szCs w:val="14"/>
                <w:lang w:val="pt-BR"/>
              </w:rPr>
              <w:t>CAL do SQL Server</w:t>
            </w:r>
            <w:r w:rsidR="00510A6E" w:rsidRPr="008D38F6">
              <w:rPr>
                <w:rFonts w:ascii="Tahoma" w:eastAsia="Times New Roman" w:hAnsi="Tahoma" w:cs="Tahoma"/>
                <w:color w:val="000000"/>
                <w:sz w:val="14"/>
                <w:szCs w:val="14"/>
                <w:vertAlign w:val="superscript"/>
                <w:lang w:val="pt-BR"/>
              </w:rPr>
              <w:t>®</w:t>
            </w:r>
            <w:r w:rsidRPr="008D38F6">
              <w:rPr>
                <w:rFonts w:ascii="Tahoma" w:hAnsi="Tahoma" w:cs="Tahoma"/>
                <w:sz w:val="14"/>
                <w:szCs w:val="14"/>
                <w:lang w:val="pt-BR"/>
              </w:rPr>
              <w:t xml:space="preserve"> 2012 </w:t>
            </w:r>
            <w:r w:rsidR="00DE1733" w:rsidRPr="008D38F6">
              <w:rPr>
                <w:rFonts w:ascii="Tahoma" w:hAnsi="Tahoma" w:cs="Tahoma"/>
                <w:sz w:val="14"/>
                <w:szCs w:val="14"/>
                <w:lang w:val="pt-BR"/>
              </w:rPr>
              <w:br/>
            </w:r>
            <w:r w:rsidRPr="008D38F6">
              <w:rPr>
                <w:rFonts w:ascii="Tahoma" w:hAnsi="Tahoma" w:cs="Tahoma"/>
                <w:sz w:val="14"/>
                <w:szCs w:val="14"/>
                <w:lang w:val="pt-BR"/>
              </w:rPr>
              <w:t>(SL de Usuário e Dispositivo)</w:t>
            </w:r>
            <w:bookmarkEnd w:id="404"/>
            <w:bookmarkEnd w:id="405"/>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AO, 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60"/>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06" w:name="_Toc336338056"/>
            <w:bookmarkStart w:id="407" w:name="_Toc352234134"/>
            <w:r w:rsidRPr="005C0614">
              <w:rPr>
                <w:rFonts w:ascii="Tahoma" w:hAnsi="Tahoma" w:cs="Tahoma"/>
                <w:sz w:val="14"/>
                <w:szCs w:val="14"/>
              </w:rPr>
              <w:t>SQL Server</w:t>
            </w:r>
            <w:r w:rsidR="00510A6E" w:rsidRPr="005C0614">
              <w:rPr>
                <w:rFonts w:ascii="Tahoma" w:eastAsia="Times New Roman" w:hAnsi="Tahoma" w:cs="Tahoma"/>
                <w:color w:val="000000"/>
                <w:sz w:val="14"/>
                <w:szCs w:val="14"/>
                <w:vertAlign w:val="superscript"/>
              </w:rPr>
              <w:t>®</w:t>
            </w:r>
            <w:r w:rsidRPr="005C0614">
              <w:rPr>
                <w:rFonts w:ascii="Tahoma" w:hAnsi="Tahoma" w:cs="Tahoma"/>
                <w:sz w:val="14"/>
                <w:szCs w:val="14"/>
              </w:rPr>
              <w:t xml:space="preserve"> 2012 Developer</w:t>
            </w:r>
            <w:bookmarkEnd w:id="406"/>
            <w:bookmarkEnd w:id="407"/>
            <w:r w:rsidRPr="005C0614">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00"/>
                <w:sz w:val="13"/>
                <w:szCs w:val="13"/>
              </w:rPr>
            </w:pPr>
            <w:hyperlink w:anchor="_80_78_SQL" w:history="1">
              <w:r w:rsidR="005B0EC7" w:rsidRPr="00B01D7E">
                <w:rPr>
                  <w:rStyle w:val="Hyperlink"/>
                  <w:b/>
                  <w:sz w:val="13"/>
                  <w:szCs w:val="13"/>
                </w:rPr>
                <w:t>78</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08" w:name="_Toc336338057"/>
            <w:bookmarkStart w:id="409" w:name="_Toc352234135"/>
            <w:r w:rsidRPr="005C0614">
              <w:rPr>
                <w:rFonts w:ascii="Tahoma" w:hAnsi="Tahoma" w:cs="Tahoma"/>
                <w:sz w:val="14"/>
                <w:szCs w:val="14"/>
              </w:rPr>
              <w:t>SQL Server</w:t>
            </w:r>
            <w:r w:rsidR="00510A6E" w:rsidRPr="005C0614">
              <w:rPr>
                <w:rFonts w:ascii="Tahoma" w:eastAsia="Times New Roman" w:hAnsi="Tahoma" w:cs="Tahoma"/>
                <w:color w:val="000000"/>
                <w:sz w:val="14"/>
                <w:szCs w:val="14"/>
                <w:vertAlign w:val="superscript"/>
              </w:rPr>
              <w:t>®</w:t>
            </w:r>
            <w:r w:rsidRPr="005C0614">
              <w:rPr>
                <w:rFonts w:ascii="Tahoma" w:hAnsi="Tahoma" w:cs="Tahoma"/>
                <w:sz w:val="14"/>
                <w:szCs w:val="14"/>
              </w:rPr>
              <w:t xml:space="preserve"> 2012 Enterprise</w:t>
            </w:r>
            <w:bookmarkEnd w:id="408"/>
            <w:bookmarkEnd w:id="409"/>
            <w:r w:rsidRPr="005C0614">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00"/>
                <w:sz w:val="13"/>
                <w:szCs w:val="13"/>
              </w:rPr>
            </w:pPr>
            <w:hyperlink w:anchor="_81_79_SQL" w:history="1">
              <w:r w:rsidR="005B0EC7" w:rsidRPr="00B01D7E">
                <w:rPr>
                  <w:rStyle w:val="Hyperlink"/>
                  <w:b/>
                  <w:sz w:val="13"/>
                  <w:szCs w:val="13"/>
                </w:rPr>
                <w:t>79</w:t>
              </w:r>
            </w:hyperlink>
            <w:hyperlink w:anchor="Srv_88SQLServer2012Enterprise"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188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10" w:name="_Toc336338058"/>
            <w:bookmarkStart w:id="411" w:name="_Toc352234136"/>
            <w:r w:rsidRPr="008D38F6">
              <w:rPr>
                <w:rFonts w:ascii="Tahoma" w:hAnsi="Tahoma" w:cs="Tahoma"/>
                <w:sz w:val="14"/>
                <w:szCs w:val="14"/>
                <w:lang w:val="pt-BR"/>
              </w:rPr>
              <w:t>SQL Server</w:t>
            </w:r>
            <w:r w:rsidR="00510A6E" w:rsidRPr="008D38F6">
              <w:rPr>
                <w:rFonts w:ascii="Tahoma" w:eastAsia="Times New Roman" w:hAnsi="Tahoma" w:cs="Tahoma"/>
                <w:color w:val="000000"/>
                <w:sz w:val="14"/>
                <w:szCs w:val="14"/>
                <w:vertAlign w:val="superscript"/>
                <w:lang w:val="pt-BR"/>
              </w:rPr>
              <w:t>®</w:t>
            </w:r>
            <w:r w:rsidRPr="008D38F6">
              <w:rPr>
                <w:rFonts w:ascii="Tahoma" w:hAnsi="Tahoma" w:cs="Tahoma"/>
                <w:sz w:val="14"/>
                <w:szCs w:val="14"/>
                <w:lang w:val="pt-BR"/>
              </w:rPr>
              <w:t xml:space="preserve"> 2012 Enterprise Core </w:t>
            </w:r>
            <w:r w:rsidR="00DE1733" w:rsidRPr="008D38F6">
              <w:rPr>
                <w:rFonts w:ascii="Tahoma" w:hAnsi="Tahoma" w:cs="Tahoma"/>
                <w:sz w:val="14"/>
                <w:szCs w:val="14"/>
                <w:lang w:val="pt-BR"/>
              </w:rPr>
              <w:br/>
            </w:r>
            <w:r w:rsidRPr="008D38F6">
              <w:rPr>
                <w:rFonts w:ascii="Tahoma" w:hAnsi="Tahoma" w:cs="Tahoma"/>
                <w:sz w:val="14"/>
                <w:szCs w:val="14"/>
                <w:lang w:val="pt-BR"/>
              </w:rPr>
              <w:t>(duas Licenças Principais de pacote)</w:t>
            </w:r>
            <w:bookmarkEnd w:id="410"/>
            <w:bookmarkEnd w:id="411"/>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80_SQL_Server®" w:history="1">
              <w:r w:rsidR="005B0EC7" w:rsidRPr="00B01D7E">
                <w:rPr>
                  <w:rStyle w:val="Hyperlink"/>
                  <w:b/>
                  <w:sz w:val="13"/>
                  <w:szCs w:val="13"/>
                </w:rPr>
                <w:t>80</w:t>
              </w:r>
            </w:hyperlink>
            <w:hyperlink w:anchor="Srv_89SQLServer2012EnterpriseCore"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313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188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188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12" w:name="_Toc336338046"/>
            <w:bookmarkStart w:id="413" w:name="_Toc352234137"/>
            <w:r w:rsidRPr="005C0614">
              <w:rPr>
                <w:rFonts w:ascii="Tahoma" w:hAnsi="Tahoma" w:cs="Tahoma"/>
                <w:sz w:val="14"/>
                <w:szCs w:val="14"/>
              </w:rPr>
              <w:t>SQL Server</w:t>
            </w:r>
            <w:r w:rsidR="00510A6E" w:rsidRPr="005C0614">
              <w:rPr>
                <w:rFonts w:ascii="Tahoma" w:eastAsia="Times New Roman" w:hAnsi="Tahoma" w:cs="Tahoma"/>
                <w:color w:val="000000"/>
                <w:sz w:val="14"/>
                <w:szCs w:val="14"/>
                <w:vertAlign w:val="superscript"/>
              </w:rPr>
              <w:t>®</w:t>
            </w:r>
            <w:r w:rsidRPr="005C0614">
              <w:rPr>
                <w:rFonts w:ascii="Tahoma" w:hAnsi="Tahoma" w:cs="Tahoma"/>
                <w:sz w:val="14"/>
                <w:szCs w:val="14"/>
              </w:rPr>
              <w:t xml:space="preserve"> 2012 Parallel Data Warehouse</w:t>
            </w:r>
            <w:bookmarkEnd w:id="412"/>
            <w:bookmarkEnd w:id="413"/>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00"/>
                <w:sz w:val="13"/>
                <w:szCs w:val="13"/>
                <w:u w:val="single"/>
              </w:rPr>
            </w:pPr>
            <w:hyperlink w:anchor="_81_SQL_Server" w:history="1">
              <w:r w:rsidR="005B0EC7" w:rsidRPr="00B01D7E">
                <w:rPr>
                  <w:rStyle w:val="Hyperlink"/>
                  <w:b/>
                  <w:sz w:val="13"/>
                  <w:szCs w:val="13"/>
                </w:rPr>
                <w:t>81</w:t>
              </w:r>
            </w:hyperlink>
            <w:hyperlink w:anchor="_80_SQL_Server"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400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14" w:name="_Toc336338047"/>
            <w:bookmarkStart w:id="415" w:name="_Toc352234138"/>
            <w:r w:rsidRPr="005C0614">
              <w:rPr>
                <w:rFonts w:ascii="Tahoma" w:hAnsi="Tahoma" w:cs="Tahoma"/>
                <w:sz w:val="14"/>
                <w:szCs w:val="14"/>
              </w:rPr>
              <w:t>SQL Server</w:t>
            </w:r>
            <w:r w:rsidR="00510A6E" w:rsidRPr="005C0614">
              <w:rPr>
                <w:rFonts w:ascii="Tahoma" w:eastAsia="Times New Roman" w:hAnsi="Tahoma" w:cs="Tahoma"/>
                <w:color w:val="000000"/>
                <w:sz w:val="14"/>
                <w:szCs w:val="14"/>
                <w:vertAlign w:val="superscript"/>
              </w:rPr>
              <w:t>®</w:t>
            </w:r>
            <w:r w:rsidRPr="005C0614">
              <w:rPr>
                <w:rFonts w:ascii="Tahoma" w:hAnsi="Tahoma" w:cs="Tahoma"/>
                <w:sz w:val="14"/>
                <w:szCs w:val="14"/>
              </w:rPr>
              <w:t xml:space="preserve"> 2012 Parallel Data </w:t>
            </w:r>
            <w:r w:rsidR="00DE1733">
              <w:rPr>
                <w:rFonts w:ascii="Tahoma" w:hAnsi="Tahoma" w:cs="Tahoma"/>
                <w:sz w:val="14"/>
                <w:szCs w:val="14"/>
              </w:rPr>
              <w:br/>
            </w:r>
            <w:r w:rsidRPr="005C0614">
              <w:rPr>
                <w:rFonts w:ascii="Tahoma" w:hAnsi="Tahoma" w:cs="Tahoma"/>
                <w:sz w:val="14"/>
                <w:szCs w:val="14"/>
              </w:rPr>
              <w:t>Warehouse Developer</w:t>
            </w:r>
            <w:bookmarkEnd w:id="414"/>
            <w:bookmarkEnd w:id="415"/>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16" w:name="_Toc336338059"/>
            <w:bookmarkStart w:id="417" w:name="_Toc352234139"/>
            <w:r w:rsidRPr="005C0614">
              <w:rPr>
                <w:rFonts w:ascii="Tahoma" w:hAnsi="Tahoma" w:cs="Tahoma"/>
                <w:sz w:val="14"/>
                <w:szCs w:val="14"/>
              </w:rPr>
              <w:t>SQL Server</w:t>
            </w:r>
            <w:r w:rsidR="00510A6E" w:rsidRPr="005C0614">
              <w:rPr>
                <w:rFonts w:ascii="Tahoma" w:eastAsia="Times New Roman" w:hAnsi="Tahoma" w:cs="Tahoma"/>
                <w:color w:val="000000"/>
                <w:sz w:val="14"/>
                <w:szCs w:val="14"/>
                <w:vertAlign w:val="superscript"/>
              </w:rPr>
              <w:t>®</w:t>
            </w:r>
            <w:r w:rsidRPr="005C0614">
              <w:rPr>
                <w:rFonts w:ascii="Tahoma" w:hAnsi="Tahoma" w:cs="Tahoma"/>
                <w:sz w:val="14"/>
                <w:szCs w:val="14"/>
              </w:rPr>
              <w:t xml:space="preserve"> 2012 Standard</w:t>
            </w:r>
            <w:bookmarkEnd w:id="416"/>
            <w:bookmarkEnd w:id="417"/>
            <w:r w:rsidRPr="005C0614">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82_SQL_Server®" w:history="1">
              <w:r w:rsidR="005B0EC7" w:rsidRPr="00B01D7E">
                <w:rPr>
                  <w:rStyle w:val="Hyperlink"/>
                  <w:b/>
                  <w:sz w:val="13"/>
                  <w:szCs w:val="13"/>
                </w:rPr>
                <w:t>82</w:t>
              </w:r>
            </w:hyperlink>
            <w:hyperlink w:anchor="Srv_90SQLServer2012Standard"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18" w:name="_Toc336338060"/>
            <w:bookmarkStart w:id="419" w:name="_Toc352234140"/>
            <w:r w:rsidRPr="008D38F6">
              <w:rPr>
                <w:rFonts w:ascii="Tahoma" w:hAnsi="Tahoma" w:cs="Tahoma"/>
                <w:sz w:val="14"/>
                <w:szCs w:val="14"/>
                <w:lang w:val="pt-BR"/>
              </w:rPr>
              <w:t>SQL Server</w:t>
            </w:r>
            <w:r w:rsidR="00510A6E" w:rsidRPr="008D38F6">
              <w:rPr>
                <w:rFonts w:ascii="Tahoma" w:eastAsia="Times New Roman" w:hAnsi="Tahoma" w:cs="Tahoma"/>
                <w:color w:val="000000"/>
                <w:sz w:val="14"/>
                <w:szCs w:val="14"/>
                <w:vertAlign w:val="superscript"/>
                <w:lang w:val="pt-BR"/>
              </w:rPr>
              <w:t>®</w:t>
            </w:r>
            <w:r w:rsidRPr="008D38F6">
              <w:rPr>
                <w:rFonts w:ascii="Tahoma" w:hAnsi="Tahoma" w:cs="Tahoma"/>
                <w:sz w:val="14"/>
                <w:szCs w:val="14"/>
                <w:lang w:val="pt-BR"/>
              </w:rPr>
              <w:t xml:space="preserve"> 2012 Standard Core </w:t>
            </w:r>
            <w:r w:rsidR="00DE1733" w:rsidRPr="008D38F6">
              <w:rPr>
                <w:rFonts w:ascii="Tahoma" w:hAnsi="Tahoma" w:cs="Tahoma"/>
                <w:sz w:val="14"/>
                <w:szCs w:val="14"/>
                <w:lang w:val="pt-BR"/>
              </w:rPr>
              <w:br/>
            </w:r>
            <w:r w:rsidRPr="008D38F6">
              <w:rPr>
                <w:rFonts w:ascii="Tahoma" w:hAnsi="Tahoma" w:cs="Tahoma"/>
                <w:sz w:val="14"/>
                <w:szCs w:val="14"/>
                <w:lang w:val="pt-BR"/>
              </w:rPr>
              <w:t>(duas Licenças Principais de pacote)</w:t>
            </w:r>
            <w:bookmarkEnd w:id="418"/>
            <w:bookmarkEnd w:id="419"/>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color w:val="000000"/>
                <w:sz w:val="13"/>
                <w:szCs w:val="13"/>
                <w:u w:val="single"/>
              </w:rPr>
            </w:pPr>
            <w:hyperlink w:anchor="_85_83_SQL" w:history="1">
              <w:r w:rsidR="005B0EC7" w:rsidRPr="00B01D7E">
                <w:rPr>
                  <w:rStyle w:val="Hyperlink"/>
                  <w:b/>
                  <w:sz w:val="13"/>
                  <w:szCs w:val="13"/>
                </w:rPr>
                <w:t>83</w:t>
              </w:r>
            </w:hyperlink>
            <w:hyperlink w:anchor="Srv_91SQLServer2012StandardCore"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20" w:name="_Toc336338062"/>
            <w:bookmarkStart w:id="421" w:name="_Toc352234141"/>
            <w:r w:rsidRPr="008D38F6">
              <w:rPr>
                <w:rFonts w:ascii="Tahoma" w:hAnsi="Tahoma" w:cs="Tahoma"/>
                <w:sz w:val="14"/>
                <w:szCs w:val="14"/>
                <w:lang w:val="pt-BR"/>
              </w:rPr>
              <w:t>Licença de Gerenciamento de Servidor do System Center Configuration Manager 2007 R3 Enterprise</w:t>
            </w:r>
            <w:bookmarkEnd w:id="420"/>
            <w:bookmarkEnd w:id="421"/>
            <w:r w:rsidRPr="008D38F6">
              <w:rPr>
                <w:rFonts w:ascii="Tahoma" w:hAnsi="Tahoma" w:cs="Tahoma"/>
                <w:sz w:val="14"/>
                <w:szCs w:val="14"/>
                <w:lang w:val="pt-BR"/>
              </w:rPr>
              <w:t xml:space="preserve"> </w:t>
            </w:r>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color w:val="0000FF"/>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CA15C4">
        <w:trPr>
          <w:cantSplit/>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22" w:name="_Toc336338063"/>
            <w:bookmarkStart w:id="423" w:name="_Toc352234142"/>
            <w:r w:rsidRPr="008D38F6">
              <w:rPr>
                <w:rFonts w:ascii="Tahoma" w:hAnsi="Tahoma" w:cs="Tahoma"/>
                <w:sz w:val="14"/>
                <w:szCs w:val="14"/>
                <w:lang w:val="pt-BR"/>
              </w:rPr>
              <w:lastRenderedPageBreak/>
              <w:t>Licença de Gerenciamento de Servidor Standard (ML de Servidor Standard) do System Center Configuration Manager 2007 R3)</w:t>
            </w:r>
            <w:bookmarkEnd w:id="422"/>
            <w:bookmarkEnd w:id="423"/>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color w:val="0000FF"/>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10" w:before="24" w:afterLines="10" w:after="24"/>
              <w:rPr>
                <w:rFonts w:ascii="Tahoma" w:hAnsi="Tahoma" w:cs="Tahoma"/>
                <w:sz w:val="14"/>
                <w:szCs w:val="14"/>
                <w:lang w:val="pt-BR"/>
              </w:rPr>
            </w:pPr>
            <w:bookmarkStart w:id="424" w:name="_Toc257333903"/>
            <w:bookmarkStart w:id="425" w:name="_Toc336338067"/>
            <w:bookmarkStart w:id="426" w:name="_Toc352234143"/>
            <w:r w:rsidRPr="008D38F6">
              <w:rPr>
                <w:rFonts w:ascii="Tahoma" w:hAnsi="Tahoma" w:cs="Tahoma"/>
                <w:sz w:val="14"/>
                <w:szCs w:val="14"/>
                <w:lang w:val="pt-BR"/>
              </w:rPr>
              <w:t>Licença de Gerenciamento de Servidor Enterprise do System Center Data Protection Manager 2010</w:t>
            </w:r>
            <w:bookmarkEnd w:id="424"/>
            <w:bookmarkEnd w:id="425"/>
            <w:bookmarkEnd w:id="426"/>
            <w:r w:rsidRPr="008D38F6">
              <w:rPr>
                <w:rFonts w:ascii="Tahoma" w:hAnsi="Tahoma" w:cs="Tahoma"/>
                <w:sz w:val="14"/>
                <w:szCs w:val="14"/>
                <w:lang w:val="pt-BR"/>
              </w:rPr>
              <w:t xml:space="preserve"> </w:t>
            </w:r>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AO, 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10" w:before="24" w:afterLines="10" w:after="24"/>
              <w:rPr>
                <w:rFonts w:ascii="Tahoma" w:hAnsi="Tahoma" w:cs="Tahoma"/>
                <w:sz w:val="14"/>
                <w:szCs w:val="14"/>
                <w:lang w:val="pt-BR"/>
              </w:rPr>
            </w:pPr>
            <w:bookmarkStart w:id="427" w:name="_Toc257333904"/>
            <w:bookmarkStart w:id="428" w:name="_Toc336338068"/>
            <w:bookmarkStart w:id="429" w:name="_Toc352234144"/>
            <w:r w:rsidRPr="008D38F6">
              <w:rPr>
                <w:rFonts w:ascii="Tahoma" w:hAnsi="Tahoma" w:cs="Tahoma"/>
                <w:sz w:val="14"/>
                <w:szCs w:val="14"/>
                <w:lang w:val="pt-BR"/>
              </w:rPr>
              <w:t>Licença de Gerenciamento de Servidor Standard do System Center Data Protection Manager 2010</w:t>
            </w:r>
            <w:bookmarkEnd w:id="427"/>
            <w:bookmarkEnd w:id="428"/>
            <w:bookmarkEnd w:id="429"/>
            <w:r w:rsidRPr="008D38F6">
              <w:rPr>
                <w:rFonts w:ascii="Tahoma" w:hAnsi="Tahoma" w:cs="Tahoma"/>
                <w:sz w:val="14"/>
                <w:szCs w:val="14"/>
                <w:lang w:val="pt-BR"/>
              </w:rPr>
              <w:t xml:space="preserve"> </w:t>
            </w:r>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color w:val="0000FF"/>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AO, 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30" w:name="_Toc336338069"/>
            <w:bookmarkStart w:id="431" w:name="_Toc352234145"/>
            <w:bookmarkStart w:id="432" w:name="_Toc257333905"/>
            <w:r w:rsidRPr="005C0614">
              <w:rPr>
                <w:rFonts w:ascii="Tahoma" w:hAnsi="Tahoma" w:cs="Tahoma"/>
                <w:sz w:val="14"/>
                <w:szCs w:val="14"/>
              </w:rPr>
              <w:t>System Center Essentials 2010</w:t>
            </w:r>
            <w:bookmarkEnd w:id="430"/>
            <w:bookmarkEnd w:id="431"/>
            <w:r w:rsidRPr="005C0614">
              <w:rPr>
                <w:rFonts w:ascii="Tahoma" w:hAnsi="Tahoma" w:cs="Tahoma"/>
                <w:sz w:val="14"/>
                <w:szCs w:val="14"/>
              </w:rPr>
              <w:t xml:space="preserve"> </w:t>
            </w:r>
            <w:bookmarkEnd w:id="432"/>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86_84_System" w:history="1">
              <w:r w:rsidR="005B0EC7" w:rsidRPr="00B01D7E">
                <w:rPr>
                  <w:rStyle w:val="Hyperlink"/>
                  <w:b/>
                  <w:sz w:val="13"/>
                  <w:szCs w:val="13"/>
                </w:rPr>
                <w:t>84</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DE1733">
            <w:pPr>
              <w:pStyle w:val="ProductNames"/>
              <w:spacing w:beforeLines="20" w:before="48" w:afterLines="20" w:after="48"/>
              <w:rPr>
                <w:rFonts w:ascii="Tahoma" w:hAnsi="Tahoma" w:cs="Tahoma"/>
                <w:sz w:val="14"/>
                <w:szCs w:val="14"/>
                <w:lang w:val="pt-BR"/>
              </w:rPr>
            </w:pPr>
            <w:bookmarkStart w:id="433" w:name="_Toc257333906"/>
            <w:bookmarkStart w:id="434" w:name="_Toc336338070"/>
            <w:bookmarkStart w:id="435" w:name="_Toc352234146"/>
            <w:r w:rsidRPr="008D38F6">
              <w:rPr>
                <w:rFonts w:ascii="Tahoma" w:hAnsi="Tahoma" w:cs="Tahoma"/>
                <w:sz w:val="14"/>
                <w:szCs w:val="14"/>
                <w:lang w:val="pt-BR"/>
              </w:rPr>
              <w:t>ML de Cliente do System Center Essentials</w:t>
            </w:r>
            <w:r w:rsidR="00DE1733" w:rsidRPr="008D38F6">
              <w:rPr>
                <w:rFonts w:ascii="Tahoma" w:hAnsi="Tahoma" w:cs="Tahoma"/>
                <w:sz w:val="14"/>
                <w:szCs w:val="14"/>
                <w:lang w:val="pt-BR"/>
              </w:rPr>
              <w:t> </w:t>
            </w:r>
            <w:r w:rsidRPr="008D38F6">
              <w:rPr>
                <w:rFonts w:ascii="Tahoma" w:hAnsi="Tahoma" w:cs="Tahoma"/>
                <w:sz w:val="14"/>
                <w:szCs w:val="14"/>
                <w:lang w:val="pt-BR"/>
              </w:rPr>
              <w:t>2010</w:t>
            </w:r>
            <w:bookmarkEnd w:id="433"/>
            <w:bookmarkEnd w:id="434"/>
            <w:bookmarkEnd w:id="435"/>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36" w:name="_Toc257333908"/>
            <w:bookmarkStart w:id="437" w:name="_Toc336338071"/>
            <w:bookmarkStart w:id="438" w:name="_Toc352234147"/>
            <w:r w:rsidRPr="008D38F6">
              <w:rPr>
                <w:rFonts w:ascii="Tahoma" w:hAnsi="Tahoma" w:cs="Tahoma"/>
                <w:sz w:val="14"/>
                <w:szCs w:val="14"/>
                <w:lang w:val="pt-BR"/>
              </w:rPr>
              <w:t>ML de Servidor do System Center Essentials 2010</w:t>
            </w:r>
            <w:bookmarkEnd w:id="436"/>
            <w:bookmarkEnd w:id="437"/>
            <w:bookmarkEnd w:id="438"/>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39" w:name="_Toc336338072"/>
            <w:bookmarkStart w:id="440" w:name="_Toc352234148"/>
            <w:bookmarkStart w:id="441" w:name="_Toc257333910"/>
            <w:r w:rsidRPr="008D38F6">
              <w:rPr>
                <w:rFonts w:ascii="Tahoma" w:hAnsi="Tahoma" w:cs="Tahoma"/>
                <w:sz w:val="14"/>
                <w:szCs w:val="14"/>
                <w:lang w:val="pt-BR"/>
              </w:rPr>
              <w:t>System Center Essentials 2010 com Tecnologia SQL Server 2008</w:t>
            </w:r>
            <w:bookmarkEnd w:id="439"/>
            <w:bookmarkEnd w:id="440"/>
            <w:r w:rsidRPr="008D38F6">
              <w:rPr>
                <w:rFonts w:ascii="Tahoma" w:hAnsi="Tahoma" w:cs="Tahoma"/>
                <w:sz w:val="14"/>
                <w:szCs w:val="14"/>
                <w:lang w:val="pt-BR"/>
              </w:rPr>
              <w:t xml:space="preserve"> </w:t>
            </w:r>
            <w:bookmarkEnd w:id="441"/>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cs="Tahoma"/>
                <w:sz w:val="14"/>
                <w:szCs w:val="14"/>
                <w:lang w:val="fr-FR"/>
              </w:rPr>
            </w:pPr>
            <w:bookmarkStart w:id="442" w:name="_Toc336338073"/>
            <w:bookmarkStart w:id="443" w:name="_Toc352234149"/>
            <w:r w:rsidRPr="008D38F6">
              <w:rPr>
                <w:rFonts w:ascii="Tahoma" w:hAnsi="Tahoma" w:cs="Tahoma"/>
                <w:sz w:val="14"/>
                <w:szCs w:val="14"/>
                <w:lang w:val="fr-FR"/>
              </w:rPr>
              <w:t>Management License Suite do System Center Essentials Plus 2010 Client</w:t>
            </w:r>
            <w:bookmarkEnd w:id="442"/>
            <w:bookmarkEnd w:id="443"/>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44" w:name="_Toc336338077"/>
            <w:bookmarkStart w:id="445" w:name="_Toc352234150"/>
            <w:r w:rsidRPr="008D38F6">
              <w:rPr>
                <w:rFonts w:ascii="Tahoma" w:hAnsi="Tahoma" w:cs="Tahoma"/>
                <w:sz w:val="14"/>
                <w:szCs w:val="14"/>
                <w:lang w:val="pt-BR"/>
              </w:rPr>
              <w:t>Licença de Gerenciamento de Servidor Standard do System Center Operations Manager 2007 R2</w:t>
            </w:r>
            <w:bookmarkEnd w:id="444"/>
            <w:bookmarkEnd w:id="445"/>
            <w:r w:rsidRPr="008D38F6">
              <w:rPr>
                <w:rFonts w:ascii="Tahoma" w:hAnsi="Tahoma" w:cs="Tahoma"/>
                <w:sz w:val="14"/>
                <w:szCs w:val="14"/>
                <w:lang w:val="pt-BR"/>
              </w:rPr>
              <w:t xml:space="preserve"> </w:t>
            </w:r>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46" w:name="_Toc336338078"/>
            <w:bookmarkStart w:id="447" w:name="_Toc352234151"/>
            <w:r w:rsidRPr="008D38F6">
              <w:rPr>
                <w:rFonts w:ascii="Tahoma" w:hAnsi="Tahoma" w:cs="Tahoma"/>
                <w:sz w:val="14"/>
                <w:szCs w:val="14"/>
                <w:lang w:val="pt-BR"/>
              </w:rPr>
              <w:t>Licença de Gerenciamento de Servidor Enterprise do System Center Operations Manager 2007 R2</w:t>
            </w:r>
            <w:bookmarkEnd w:id="446"/>
            <w:bookmarkEnd w:id="447"/>
            <w:r w:rsidRPr="008D38F6">
              <w:rPr>
                <w:rFonts w:ascii="Tahoma" w:hAnsi="Tahoma" w:cs="Tahoma"/>
                <w:sz w:val="14"/>
                <w:szCs w:val="14"/>
                <w:lang w:val="pt-BR"/>
              </w:rPr>
              <w:t xml:space="preserve"> </w:t>
            </w:r>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48" w:name="_Toc336338079"/>
            <w:bookmarkStart w:id="449" w:name="_Toc352234152"/>
            <w:r w:rsidRPr="008D38F6">
              <w:rPr>
                <w:rFonts w:ascii="Tahoma" w:hAnsi="Tahoma" w:cs="Tahoma"/>
                <w:sz w:val="14"/>
                <w:szCs w:val="14"/>
                <w:lang w:val="pt-BR"/>
              </w:rPr>
              <w:t>Licença de Gerenciamento de Cliente do System Center Operations Manager 2007 R2 por OSE</w:t>
            </w:r>
            <w:bookmarkEnd w:id="448"/>
            <w:bookmarkEnd w:id="449"/>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AO, 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50" w:name="_Toc336338080"/>
            <w:bookmarkStart w:id="451" w:name="_Toc352234153"/>
            <w:r w:rsidRPr="008D38F6">
              <w:rPr>
                <w:rFonts w:ascii="Tahoma" w:hAnsi="Tahoma" w:cs="Tahoma"/>
                <w:sz w:val="14"/>
                <w:szCs w:val="14"/>
                <w:lang w:val="pt-BR"/>
              </w:rPr>
              <w:t>Licença de Gerenciamento de Cliente do System Center Operations Manager 2007 R2 por Usuário</w:t>
            </w:r>
            <w:bookmarkEnd w:id="450"/>
            <w:bookmarkEnd w:id="451"/>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pPr>
          </w:p>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52" w:name="_Toc336338081"/>
            <w:bookmarkStart w:id="453" w:name="_Toc352234154"/>
            <w:r w:rsidRPr="005C0614">
              <w:rPr>
                <w:rFonts w:ascii="Tahoma" w:hAnsi="Tahoma" w:cs="Tahoma"/>
                <w:sz w:val="14"/>
                <w:szCs w:val="14"/>
              </w:rPr>
              <w:t>System Center Reporting Manager 2006</w:t>
            </w:r>
            <w:bookmarkEnd w:id="452"/>
            <w:bookmarkEnd w:id="453"/>
            <w:r w:rsidRPr="005C0614">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87_85_System" w:history="1">
              <w:r w:rsidR="005B0EC7" w:rsidRPr="00B01D7E">
                <w:rPr>
                  <w:rStyle w:val="Hyperlink"/>
                  <w:b/>
                  <w:sz w:val="13"/>
                  <w:szCs w:val="13"/>
                </w:rPr>
                <w:t>85</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54" w:name="_Toc336338082"/>
            <w:bookmarkStart w:id="455" w:name="_Toc352234155"/>
            <w:r w:rsidRPr="005C0614">
              <w:rPr>
                <w:rFonts w:ascii="Tahoma" w:hAnsi="Tahoma" w:cs="Tahoma"/>
                <w:sz w:val="14"/>
                <w:szCs w:val="14"/>
              </w:rPr>
              <w:t>System Center Server Management Suite Enterprise</w:t>
            </w:r>
            <w:bookmarkEnd w:id="454"/>
            <w:bookmarkEnd w:id="455"/>
            <w:r w:rsidRPr="005C0614">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00FF"/>
                <w:sz w:val="13"/>
                <w:szCs w:val="13"/>
                <w:u w:val="single"/>
              </w:rPr>
            </w:pPr>
            <w:hyperlink w:anchor="_98_System_Center" w:history="1">
              <w:r w:rsidR="005B0EC7" w:rsidRPr="00B01D7E">
                <w:rPr>
                  <w:rStyle w:val="Hyperlink"/>
                  <w:b/>
                  <w:sz w:val="13"/>
                  <w:szCs w:val="13"/>
                </w:rPr>
                <w:t>86</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4"/>
              <w:spacing w:beforeLines="20" w:before="48" w:afterLines="20" w:after="48"/>
              <w:ind w:left="0" w:firstLine="0"/>
              <w:rPr>
                <w:rFonts w:ascii="Tahoma" w:hAnsi="Tahoma" w:cs="Tahoma"/>
                <w:b w:val="0"/>
                <w:sz w:val="14"/>
                <w:szCs w:val="14"/>
              </w:rPr>
            </w:pPr>
            <w:bookmarkStart w:id="456" w:name="_Toc336338083"/>
            <w:bookmarkStart w:id="457" w:name="_Toc352234156"/>
            <w:r w:rsidRPr="005C0614">
              <w:rPr>
                <w:rFonts w:ascii="Tahoma" w:hAnsi="Tahoma" w:cs="Tahoma"/>
                <w:b w:val="0"/>
                <w:sz w:val="14"/>
                <w:szCs w:val="14"/>
              </w:rPr>
              <w:t>System Center Server Management Suite Datacenter</w:t>
            </w:r>
            <w:bookmarkEnd w:id="456"/>
            <w:bookmarkEnd w:id="457"/>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sz w:val="13"/>
                <w:szCs w:val="13"/>
                <w:u w:val="single"/>
              </w:rPr>
            </w:pPr>
            <w:hyperlink w:anchor="Srv_90SysCtrSvrMgmtSuiteDatacenter" w:history="1">
              <w:r w:rsidR="005B0EC7" w:rsidRPr="00B01D7E">
                <w:rPr>
                  <w:rStyle w:val="Hyperlink"/>
                  <w:b/>
                  <w:sz w:val="13"/>
                  <w:szCs w:val="13"/>
                </w:rPr>
                <w:t>87</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DE1733">
            <w:pPr>
              <w:pStyle w:val="ProductNames"/>
              <w:spacing w:beforeLines="10" w:before="24" w:afterLines="10" w:after="24"/>
              <w:rPr>
                <w:rFonts w:ascii="Tahoma" w:hAnsi="Tahoma" w:cs="Tahoma"/>
                <w:b/>
                <w:sz w:val="14"/>
                <w:szCs w:val="14"/>
                <w:lang w:val="pt-BR"/>
              </w:rPr>
            </w:pPr>
            <w:bookmarkStart w:id="458" w:name="_Toc336338086"/>
            <w:bookmarkStart w:id="459" w:name="_Toc352234157"/>
            <w:r w:rsidRPr="008D38F6">
              <w:rPr>
                <w:rFonts w:ascii="Tahoma" w:hAnsi="Tahoma" w:cs="Tahoma"/>
                <w:sz w:val="14"/>
                <w:szCs w:val="14"/>
                <w:lang w:val="pt-BR"/>
              </w:rPr>
              <w:t>Licença de Gerenciamento de Cliente (ML</w:t>
            </w:r>
            <w:r w:rsidR="00DE1733" w:rsidRPr="008D38F6">
              <w:rPr>
                <w:rFonts w:ascii="Tahoma" w:hAnsi="Tahoma" w:cs="Tahoma"/>
                <w:sz w:val="14"/>
                <w:szCs w:val="14"/>
                <w:lang w:val="pt-BR"/>
              </w:rPr>
              <w:t> </w:t>
            </w:r>
            <w:r w:rsidRPr="008D38F6">
              <w:rPr>
                <w:rFonts w:ascii="Tahoma" w:hAnsi="Tahoma" w:cs="Tahoma"/>
                <w:sz w:val="14"/>
                <w:szCs w:val="14"/>
                <w:lang w:val="pt-BR"/>
              </w:rPr>
              <w:t>de Cliente) do System Center Service Manager 2010 por OSE</w:t>
            </w:r>
            <w:bookmarkEnd w:id="458"/>
            <w:bookmarkEnd w:id="459"/>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pPr>
          </w:p>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10" w:before="24" w:afterLines="10" w:after="24"/>
              <w:rPr>
                <w:rFonts w:ascii="Tahoma" w:hAnsi="Tahoma" w:cs="Tahoma"/>
                <w:b/>
                <w:sz w:val="14"/>
                <w:szCs w:val="14"/>
                <w:lang w:val="pt-BR"/>
              </w:rPr>
            </w:pPr>
            <w:bookmarkStart w:id="460" w:name="_Toc336338087"/>
            <w:bookmarkStart w:id="461" w:name="_Toc352234158"/>
            <w:r w:rsidRPr="008D38F6">
              <w:rPr>
                <w:rFonts w:ascii="Tahoma" w:hAnsi="Tahoma" w:cs="Tahoma"/>
                <w:sz w:val="14"/>
                <w:szCs w:val="14"/>
                <w:lang w:val="pt-BR"/>
              </w:rPr>
              <w:t>Licença de Gerenciamento de Cliente (ML</w:t>
            </w:r>
            <w:r w:rsidR="00DE1733" w:rsidRPr="008D38F6">
              <w:rPr>
                <w:rFonts w:ascii="Tahoma" w:hAnsi="Tahoma" w:cs="Tahoma"/>
                <w:sz w:val="14"/>
                <w:szCs w:val="14"/>
                <w:lang w:val="pt-BR"/>
              </w:rPr>
              <w:t> </w:t>
            </w:r>
            <w:r w:rsidRPr="008D38F6">
              <w:rPr>
                <w:rFonts w:ascii="Tahoma" w:hAnsi="Tahoma" w:cs="Tahoma"/>
                <w:sz w:val="14"/>
                <w:szCs w:val="14"/>
                <w:lang w:val="pt-BR"/>
              </w:rPr>
              <w:t>de Cliente) do System Center Service Manager 2010 por Usuário</w:t>
            </w:r>
            <w:bookmarkEnd w:id="460"/>
            <w:bookmarkEnd w:id="461"/>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pPr>
          </w:p>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3"/>
              <w:spacing w:beforeLines="20" w:before="48" w:afterLines="20" w:after="48"/>
              <w:rPr>
                <w:rFonts w:ascii="Tahoma" w:hAnsi="Tahoma" w:cs="Tahoma"/>
                <w:b w:val="0"/>
                <w:sz w:val="14"/>
                <w:szCs w:val="14"/>
              </w:rPr>
            </w:pPr>
            <w:bookmarkStart w:id="462" w:name="_Toc336338088"/>
            <w:bookmarkStart w:id="463" w:name="_Toc352234159"/>
            <w:r w:rsidRPr="005C0614">
              <w:rPr>
                <w:rFonts w:ascii="Tahoma" w:hAnsi="Tahoma" w:cs="Tahoma"/>
                <w:b w:val="0"/>
                <w:sz w:val="14"/>
                <w:szCs w:val="14"/>
              </w:rPr>
              <w:t>Licença de Gerenciamento de Servidor (ML</w:t>
            </w:r>
            <w:r w:rsidR="00DE1733">
              <w:rPr>
                <w:rFonts w:ascii="Tahoma" w:hAnsi="Tahoma" w:cs="Tahoma"/>
                <w:sz w:val="14"/>
                <w:szCs w:val="14"/>
              </w:rPr>
              <w:t> </w:t>
            </w:r>
            <w:r w:rsidRPr="005C0614">
              <w:rPr>
                <w:rFonts w:ascii="Tahoma" w:hAnsi="Tahoma" w:cs="Tahoma"/>
                <w:b w:val="0"/>
                <w:sz w:val="14"/>
                <w:szCs w:val="14"/>
              </w:rPr>
              <w:t>de Servidor) do System Center Service Manager 2010 por OSE</w:t>
            </w:r>
            <w:bookmarkEnd w:id="462"/>
            <w:bookmarkEnd w:id="463"/>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pPr>
          </w:p>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6864A1" w:rsidRPr="00416070" w:rsidTr="005C0614">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464" w:name="_Toc336338089"/>
            <w:bookmarkStart w:id="465" w:name="_Toc352234160"/>
            <w:r w:rsidRPr="005C0614">
              <w:rPr>
                <w:rFonts w:ascii="Tahoma" w:hAnsi="Tahoma" w:cs="Tahoma"/>
                <w:b w:val="0"/>
                <w:sz w:val="14"/>
                <w:szCs w:val="14"/>
              </w:rPr>
              <w:t>Licença de Gerenciamento de Cliente do System Center Virtual Machine Manager 2008 R2 por OSE</w:t>
            </w:r>
            <w:bookmarkEnd w:id="464"/>
            <w:bookmarkEnd w:id="465"/>
          </w:p>
        </w:tc>
        <w:tc>
          <w:tcPr>
            <w:tcW w:w="450" w:type="dxa"/>
            <w:tcBorders>
              <w:bottom w:val="single" w:sz="2"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88_System_Center" w:history="1">
              <w:r w:rsidR="005B0EC7" w:rsidRPr="00B01D7E">
                <w:rPr>
                  <w:rStyle w:val="Hyperlink"/>
                  <w:rFonts w:cs="Tahoma"/>
                  <w:b/>
                  <w:sz w:val="13"/>
                  <w:szCs w:val="13"/>
                </w:rPr>
                <w:t>88</w:t>
              </w:r>
            </w:hyperlink>
          </w:p>
        </w:tc>
        <w:tc>
          <w:tcPr>
            <w:tcW w:w="450" w:type="dxa"/>
            <w:tcBorders>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1</w:t>
            </w:r>
          </w:p>
        </w:tc>
        <w:tc>
          <w:tcPr>
            <w:tcW w:w="450" w:type="dxa"/>
            <w:tcBorders>
              <w:bottom w:val="single" w:sz="2" w:space="0" w:color="auto"/>
              <w:right w:val="single" w:sz="5"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630" w:type="dxa"/>
            <w:tcBorders>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3"/>
              </w:rPr>
              <w:t>A</w:t>
            </w:r>
          </w:p>
        </w:tc>
        <w:tc>
          <w:tcPr>
            <w:tcW w:w="450" w:type="dxa"/>
            <w:tcBorders>
              <w:bottom w:val="single" w:sz="2"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r>
      <w:tr w:rsidR="006864A1"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466" w:name="_Toc336338090"/>
            <w:bookmarkStart w:id="467" w:name="_Toc352234161"/>
            <w:r w:rsidRPr="005C0614">
              <w:rPr>
                <w:rFonts w:ascii="Tahoma" w:hAnsi="Tahoma" w:cs="Tahoma"/>
                <w:b w:val="0"/>
                <w:sz w:val="14"/>
                <w:szCs w:val="14"/>
              </w:rPr>
              <w:t>Licença de Gerenciamento de Cliente do System Center Virtual Machine Manager 2008 R2 por Usuário</w:t>
            </w:r>
            <w:bookmarkEnd w:id="466"/>
            <w:bookmarkEnd w:id="467"/>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sz w:val="13"/>
                <w:szCs w:val="13"/>
                <w:u w:val="single"/>
              </w:rPr>
            </w:pPr>
            <w:hyperlink w:anchor="_88_System_Center" w:history="1">
              <w:r w:rsidR="00FD7426" w:rsidRPr="00B01D7E">
                <w:rPr>
                  <w:rStyle w:val="Hyperlink"/>
                  <w:rFonts w:cs="Tahoma"/>
                  <w:b/>
                  <w:sz w:val="13"/>
                  <w:szCs w:val="13"/>
                </w:rPr>
                <w:t>88</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4"/>
                <w:szCs w:val="14"/>
              </w:rPr>
            </w:pPr>
          </w:p>
        </w:tc>
      </w:tr>
      <w:tr w:rsidR="006864A1" w:rsidRPr="00416070" w:rsidTr="005C0614">
        <w:trPr>
          <w:trHeight w:val="145"/>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68" w:name="_Toc336338091"/>
            <w:bookmarkStart w:id="469" w:name="_Toc352234162"/>
            <w:r w:rsidRPr="008D38F6">
              <w:rPr>
                <w:rFonts w:ascii="Tahoma" w:hAnsi="Tahoma" w:cs="Tahoma"/>
                <w:color w:val="000000"/>
                <w:sz w:val="14"/>
                <w:szCs w:val="14"/>
                <w:lang w:val="pt-BR"/>
              </w:rPr>
              <w:t>Licença de Gerenciamento de Servidor Enterprise do System Center Virtual Machine Manager 2008 R2</w:t>
            </w:r>
            <w:bookmarkEnd w:id="468"/>
            <w:bookmarkEnd w:id="469"/>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sz w:val="13"/>
                <w:szCs w:val="13"/>
                <w:u w:val="single"/>
              </w:rPr>
            </w:pPr>
            <w:hyperlink w:anchor="_87_System_Center" w:history="1">
              <w:r w:rsidR="00FD7426" w:rsidRPr="00B01D7E">
                <w:rPr>
                  <w:rStyle w:val="Hyperlink"/>
                  <w:rFonts w:cs="Tahoma"/>
                  <w:b/>
                  <w:sz w:val="13"/>
                  <w:szCs w:val="13"/>
                </w:rPr>
                <w:t>88</w:t>
              </w:r>
            </w:hyperlink>
            <w:hyperlink w:anchor="Srv_100SysCenterVMM2008R2"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4"/>
                <w:szCs w:val="14"/>
              </w:rPr>
            </w:pPr>
          </w:p>
        </w:tc>
      </w:tr>
      <w:tr w:rsidR="006864A1" w:rsidRPr="00416070" w:rsidTr="005C0614">
        <w:trPr>
          <w:trHeight w:val="368"/>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cs="Tahoma"/>
                <w:sz w:val="14"/>
                <w:szCs w:val="14"/>
                <w:lang w:val="fr-FR"/>
              </w:rPr>
            </w:pPr>
            <w:bookmarkStart w:id="470" w:name="_Toc336338093"/>
            <w:bookmarkStart w:id="471" w:name="_Toc352234163"/>
            <w:r w:rsidRPr="008D38F6">
              <w:rPr>
                <w:rFonts w:ascii="Tahoma" w:hAnsi="Tahoma" w:cs="Tahoma"/>
                <w:sz w:val="14"/>
                <w:szCs w:val="14"/>
                <w:lang w:val="fr-FR"/>
              </w:rPr>
              <w:lastRenderedPageBreak/>
              <w:t>System Center 2012 Client Management Suite (ML de Cliente) por OSE</w:t>
            </w:r>
            <w:bookmarkEnd w:id="470"/>
            <w:bookmarkEnd w:id="471"/>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00"/>
                <w:sz w:val="13"/>
                <w:szCs w:val="13"/>
                <w:u w:val="single"/>
              </w:rPr>
            </w:pPr>
            <w:hyperlink w:anchor="_91_89_System" w:history="1">
              <w:r w:rsidR="005B0EC7" w:rsidRPr="00B01D7E">
                <w:rPr>
                  <w:rStyle w:val="Hyperlink"/>
                  <w:rFonts w:cs="Tahoma"/>
                  <w:b/>
                  <w:sz w:val="13"/>
                  <w:szCs w:val="13"/>
                </w:rPr>
                <w:t>89</w:t>
              </w:r>
            </w:hyperlink>
            <w:hyperlink w:anchor="Srv_101SystemCenter2012"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Arial" w:hAnsi="Arial" w:cs="Arial"/>
                <w:sz w:val="13"/>
                <w:szCs w:val="13"/>
              </w:rPr>
              <w:t>P</w:t>
            </w:r>
          </w:p>
        </w:tc>
        <w:tc>
          <w:tcPr>
            <w:tcW w:w="630" w:type="dxa"/>
            <w:tcBorders>
              <w:bottom w:val="single" w:sz="4" w:space="0" w:color="auto"/>
            </w:tcBorders>
            <w:shd w:val="clear" w:color="auto" w:fill="auto"/>
            <w:vAlign w:val="center"/>
          </w:tcPr>
          <w:p w:rsidR="001A63C6" w:rsidRPr="00416070" w:rsidRDefault="001A63C6" w:rsidP="00CE54BA">
            <w:pPr>
              <w:spacing w:before="20" w:after="20"/>
              <w:jc w:val="center"/>
            </w:pPr>
            <w:r w:rsidRPr="00416070">
              <w:rPr>
                <w:rFonts w:ascii="Arial" w:hAnsi="Arial" w:cs="Arial"/>
                <w:sz w:val="13"/>
                <w:szCs w:val="13"/>
              </w:rPr>
              <w:t>AO, ST</w:t>
            </w:r>
          </w:p>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6864A1" w:rsidRPr="00416070" w:rsidTr="005C0614">
        <w:trPr>
          <w:trHeight w:val="134"/>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72" w:name="_Toc336338094"/>
            <w:bookmarkStart w:id="473" w:name="_Toc352234164"/>
            <w:r w:rsidRPr="005C0614">
              <w:rPr>
                <w:rFonts w:ascii="Tahoma" w:hAnsi="Tahoma" w:cs="Tahoma"/>
                <w:sz w:val="14"/>
                <w:szCs w:val="14"/>
              </w:rPr>
              <w:t>System Center 2012 Client Management Suite (ML de Cliente) por Usuário</w:t>
            </w:r>
            <w:bookmarkEnd w:id="472"/>
            <w:bookmarkEnd w:id="473"/>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00"/>
                <w:sz w:val="13"/>
                <w:szCs w:val="13"/>
                <w:u w:val="single"/>
              </w:rPr>
            </w:pPr>
            <w:hyperlink w:anchor="_91_89_System" w:history="1">
              <w:r w:rsidR="005B0EC7" w:rsidRPr="00B01D7E">
                <w:rPr>
                  <w:rStyle w:val="Hyperlink"/>
                  <w:rFonts w:cs="Tahoma"/>
                  <w:b/>
                  <w:sz w:val="13"/>
                  <w:szCs w:val="13"/>
                </w:rPr>
                <w:t>89</w:t>
              </w:r>
            </w:hyperlink>
            <w:hyperlink w:anchor="Srv_101SystemCenter2012"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6864A1" w:rsidRPr="00416070" w:rsidTr="005C0614">
        <w:trPr>
          <w:trHeight w:val="134"/>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74" w:name="_Toc336338095"/>
            <w:bookmarkStart w:id="475" w:name="_Toc352234165"/>
            <w:r w:rsidRPr="008D38F6">
              <w:rPr>
                <w:rFonts w:ascii="Tahoma" w:hAnsi="Tahoma" w:cs="Tahoma"/>
                <w:sz w:val="14"/>
                <w:szCs w:val="14"/>
                <w:lang w:val="pt-BR"/>
              </w:rPr>
              <w:t>Licença de Gerenciamento de Cliente (ML</w:t>
            </w:r>
            <w:r w:rsidR="00DE1733" w:rsidRPr="008D38F6">
              <w:rPr>
                <w:rFonts w:ascii="Tahoma" w:hAnsi="Tahoma" w:cs="Tahoma"/>
                <w:sz w:val="14"/>
                <w:szCs w:val="14"/>
                <w:lang w:val="pt-BR"/>
              </w:rPr>
              <w:t> </w:t>
            </w:r>
            <w:r w:rsidRPr="008D38F6">
              <w:rPr>
                <w:rFonts w:ascii="Tahoma" w:hAnsi="Tahoma" w:cs="Tahoma"/>
                <w:sz w:val="14"/>
                <w:szCs w:val="14"/>
                <w:lang w:val="pt-BR"/>
              </w:rPr>
              <w:t>de Cliente) do System Center 2012 Configuration Manager (Somente para</w:t>
            </w:r>
            <w:r w:rsidR="00DE1733" w:rsidRPr="008D38F6">
              <w:rPr>
                <w:rFonts w:ascii="Tahoma" w:hAnsi="Tahoma" w:cs="Tahoma"/>
                <w:sz w:val="14"/>
                <w:szCs w:val="14"/>
                <w:lang w:val="pt-BR"/>
              </w:rPr>
              <w:t> </w:t>
            </w:r>
            <w:r w:rsidRPr="008D38F6">
              <w:rPr>
                <w:rFonts w:ascii="Tahoma" w:hAnsi="Tahoma" w:cs="Tahoma"/>
                <w:sz w:val="14"/>
                <w:szCs w:val="14"/>
                <w:lang w:val="pt-BR"/>
              </w:rPr>
              <w:t>Aluno)</w:t>
            </w:r>
            <w:bookmarkEnd w:id="474"/>
            <w:bookmarkEnd w:id="475"/>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00"/>
                <w:sz w:val="13"/>
                <w:szCs w:val="13"/>
                <w:u w:val="single"/>
              </w:rPr>
            </w:pPr>
            <w:hyperlink w:anchor="_91_89_System" w:history="1">
              <w:r w:rsidR="005B0EC7" w:rsidRPr="00B01D7E">
                <w:rPr>
                  <w:rStyle w:val="Hyperlink"/>
                  <w:rFonts w:cs="Tahoma"/>
                  <w:b/>
                  <w:sz w:val="13"/>
                  <w:szCs w:val="13"/>
                </w:rPr>
                <w:t>89</w:t>
              </w:r>
            </w:hyperlink>
            <w:hyperlink w:anchor="Srv_101SystemCenter2012"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6864A1" w:rsidRPr="00416070" w:rsidTr="005C0614">
        <w:trPr>
          <w:trHeight w:val="134"/>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76" w:name="_Toc336338096"/>
            <w:bookmarkStart w:id="477" w:name="_Toc352234166"/>
            <w:r w:rsidRPr="008D38F6">
              <w:rPr>
                <w:rFonts w:ascii="Tahoma" w:hAnsi="Tahoma" w:cs="Tahoma"/>
                <w:sz w:val="14"/>
                <w:szCs w:val="14"/>
                <w:lang w:val="pt-BR"/>
              </w:rPr>
              <w:t>Licença de Gerenciamento de Cliente do</w:t>
            </w:r>
            <w:r w:rsidR="00DE1733" w:rsidRPr="008D38F6">
              <w:rPr>
                <w:rFonts w:ascii="Tahoma" w:hAnsi="Tahoma" w:cs="Tahoma"/>
                <w:sz w:val="14"/>
                <w:szCs w:val="14"/>
                <w:lang w:val="pt-BR"/>
              </w:rPr>
              <w:t> </w:t>
            </w:r>
            <w:r w:rsidRPr="008D38F6">
              <w:rPr>
                <w:rFonts w:ascii="Tahoma" w:hAnsi="Tahoma" w:cs="Tahoma"/>
                <w:sz w:val="14"/>
                <w:szCs w:val="14"/>
                <w:lang w:val="pt-BR"/>
              </w:rPr>
              <w:t>System Center 2012 Configuration Manager por OSE</w:t>
            </w:r>
            <w:bookmarkEnd w:id="476"/>
            <w:bookmarkEnd w:id="477"/>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00"/>
                <w:sz w:val="13"/>
                <w:szCs w:val="13"/>
                <w:u w:val="single"/>
              </w:rPr>
            </w:pPr>
            <w:hyperlink w:anchor="_91_89_System" w:history="1">
              <w:r w:rsidR="005B0EC7" w:rsidRPr="00B01D7E">
                <w:rPr>
                  <w:rStyle w:val="Hyperlink"/>
                  <w:rFonts w:cs="Tahoma"/>
                  <w:b/>
                  <w:sz w:val="13"/>
                  <w:szCs w:val="13"/>
                </w:rPr>
                <w:t>89</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Arial" w:hAnsi="Arial" w:cs="Arial"/>
                <w:sz w:val="13"/>
                <w:szCs w:val="13"/>
              </w:rPr>
              <w:t>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Arial" w:hAnsi="Arial" w:cs="Arial"/>
                <w:sz w:val="13"/>
                <w:szCs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Arial" w:hAnsi="Arial" w:cs="Arial"/>
                <w:sz w:val="13"/>
                <w:szCs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Arial" w:hAnsi="Arial" w:cs="Arial"/>
                <w:sz w:val="13"/>
                <w:szCs w:val="13"/>
              </w:rPr>
              <w:t>2</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6864A1" w:rsidRPr="00416070" w:rsidTr="005C0614">
        <w:trPr>
          <w:trHeight w:val="134"/>
        </w:trPr>
        <w:tc>
          <w:tcPr>
            <w:tcW w:w="2734" w:type="dxa"/>
            <w:gridSpan w:val="2"/>
            <w:tcBorders>
              <w:bottom w:val="single" w:sz="4" w:space="0" w:color="auto"/>
            </w:tcBorders>
            <w:shd w:val="clear" w:color="auto" w:fill="auto"/>
            <w:vAlign w:val="center"/>
          </w:tcPr>
          <w:p w:rsidR="001A63C6" w:rsidRPr="008D38F6" w:rsidRDefault="001A63C6" w:rsidP="00DE1733">
            <w:pPr>
              <w:pStyle w:val="ProductNames"/>
              <w:keepNext/>
              <w:spacing w:beforeLines="20" w:before="48" w:afterLines="20" w:after="48"/>
              <w:rPr>
                <w:rFonts w:ascii="Tahoma" w:hAnsi="Tahoma" w:cs="Tahoma"/>
                <w:sz w:val="14"/>
                <w:szCs w:val="14"/>
                <w:lang w:val="pt-BR"/>
              </w:rPr>
            </w:pPr>
            <w:bookmarkStart w:id="478" w:name="_Toc336338097"/>
            <w:bookmarkStart w:id="479" w:name="_Toc352234167"/>
            <w:r w:rsidRPr="008D38F6">
              <w:rPr>
                <w:rFonts w:ascii="Tahoma" w:hAnsi="Tahoma" w:cs="Tahoma"/>
                <w:sz w:val="14"/>
                <w:szCs w:val="14"/>
                <w:lang w:val="pt-BR"/>
              </w:rPr>
              <w:t>Licença de Gerenciamento de Cliente do</w:t>
            </w:r>
            <w:r w:rsidR="00DE1733" w:rsidRPr="008D38F6">
              <w:rPr>
                <w:rFonts w:ascii="Tahoma" w:hAnsi="Tahoma" w:cs="Tahoma"/>
                <w:sz w:val="14"/>
                <w:szCs w:val="14"/>
                <w:lang w:val="pt-BR"/>
              </w:rPr>
              <w:t> </w:t>
            </w:r>
            <w:r w:rsidRPr="008D38F6">
              <w:rPr>
                <w:rFonts w:ascii="Tahoma" w:hAnsi="Tahoma" w:cs="Tahoma"/>
                <w:sz w:val="14"/>
                <w:szCs w:val="14"/>
                <w:lang w:val="pt-BR"/>
              </w:rPr>
              <w:t>System Center 2012 Configuration Manager por Usuário</w:t>
            </w:r>
            <w:bookmarkEnd w:id="478"/>
            <w:bookmarkEnd w:id="479"/>
          </w:p>
        </w:tc>
        <w:tc>
          <w:tcPr>
            <w:tcW w:w="450" w:type="dxa"/>
            <w:tcBorders>
              <w:bottom w:val="single" w:sz="4" w:space="0" w:color="auto"/>
            </w:tcBorders>
            <w:shd w:val="clear" w:color="auto" w:fill="auto"/>
            <w:vAlign w:val="center"/>
          </w:tcPr>
          <w:p w:rsidR="001A63C6" w:rsidRPr="00B01D7E" w:rsidRDefault="008719E7" w:rsidP="00DE1733">
            <w:pPr>
              <w:pStyle w:val="TableText"/>
              <w:keepNext/>
              <w:keepLines/>
              <w:widowControl w:val="0"/>
              <w:spacing w:before="20" w:after="20"/>
              <w:rPr>
                <w:b/>
                <w:color w:val="000000"/>
                <w:sz w:val="13"/>
                <w:szCs w:val="13"/>
                <w:u w:val="single"/>
              </w:rPr>
            </w:pPr>
            <w:hyperlink w:anchor="_91_89_System" w:history="1">
              <w:r w:rsidR="005B0EC7" w:rsidRPr="00B01D7E">
                <w:rPr>
                  <w:rStyle w:val="Hyperlink"/>
                  <w:rFonts w:cs="Tahoma"/>
                  <w:b/>
                  <w:sz w:val="13"/>
                  <w:szCs w:val="13"/>
                </w:rPr>
                <w:t>89</w:t>
              </w:r>
            </w:hyperlink>
            <w:hyperlink w:anchor="Srv_101SystemCenter2012" w:history="1"/>
          </w:p>
        </w:tc>
        <w:tc>
          <w:tcPr>
            <w:tcW w:w="450" w:type="dxa"/>
            <w:tcBorders>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szCs w:val="13"/>
              </w:rPr>
            </w:pPr>
            <w:r w:rsidRPr="00416070">
              <w:rPr>
                <w:rFonts w:ascii="Tahoma" w:hAnsi="Tahoma" w:cs="Tahoma"/>
                <w:sz w:val="13"/>
                <w:szCs w:val="13"/>
              </w:rPr>
              <w:t>3</w:t>
            </w:r>
          </w:p>
        </w:tc>
        <w:tc>
          <w:tcPr>
            <w:tcW w:w="450" w:type="dxa"/>
            <w:tcBorders>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szCs w:val="13"/>
              </w:rPr>
            </w:pPr>
            <w:r w:rsidRPr="00416070">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szCs w:val="13"/>
              </w:rPr>
            </w:pPr>
            <w:r w:rsidRPr="00416070">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rPr>
            </w:pPr>
            <w:r w:rsidRPr="00416070">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auto"/>
            <w:vAlign w:val="center"/>
          </w:tcPr>
          <w:p w:rsidR="001A63C6" w:rsidRPr="00416070" w:rsidRDefault="001A63C6" w:rsidP="00DE1733">
            <w:pPr>
              <w:pStyle w:val="TableText"/>
              <w:keepNext/>
              <w:keepLines/>
              <w:widowControl w:val="0"/>
              <w:spacing w:before="20" w:after="20"/>
              <w:rPr>
                <w:rFonts w:ascii="Tahoma" w:hAnsi="Tahoma" w:cs="Tahoma"/>
                <w:sz w:val="13"/>
              </w:rPr>
            </w:pPr>
          </w:p>
        </w:tc>
      </w:tr>
      <w:tr w:rsidR="006864A1" w:rsidRPr="00416070" w:rsidTr="005C0614">
        <w:trPr>
          <w:trHeight w:val="134"/>
        </w:trPr>
        <w:tc>
          <w:tcPr>
            <w:tcW w:w="2734" w:type="dxa"/>
            <w:gridSpan w:val="2"/>
            <w:tcBorders>
              <w:bottom w:val="single" w:sz="4" w:space="0" w:color="auto"/>
            </w:tcBorders>
            <w:shd w:val="clear" w:color="auto" w:fill="FABF8F"/>
            <w:vAlign w:val="center"/>
          </w:tcPr>
          <w:p w:rsidR="001A63C6" w:rsidRPr="008D38F6" w:rsidRDefault="001A63C6" w:rsidP="00DE1733">
            <w:pPr>
              <w:pStyle w:val="ProductNames"/>
              <w:spacing w:beforeLines="20" w:before="48" w:afterLines="20" w:after="48"/>
              <w:rPr>
                <w:rFonts w:ascii="Tahoma" w:hAnsi="Tahoma" w:cs="Tahoma"/>
                <w:sz w:val="14"/>
                <w:szCs w:val="14"/>
                <w:lang w:val="pt-BR"/>
              </w:rPr>
            </w:pPr>
            <w:bookmarkStart w:id="480" w:name="_Toc336338098"/>
            <w:bookmarkStart w:id="481" w:name="_Toc352234168"/>
            <w:r w:rsidRPr="008D38F6">
              <w:rPr>
                <w:rFonts w:ascii="Tahoma" w:hAnsi="Tahoma" w:cs="Tahoma"/>
                <w:sz w:val="14"/>
                <w:szCs w:val="14"/>
                <w:lang w:val="pt-BR"/>
              </w:rPr>
              <w:t>Licença de Gerenciamento do System Center 2012 Datacenter Server (2</w:t>
            </w:r>
            <w:r w:rsidR="00DE1733" w:rsidRPr="008D38F6">
              <w:rPr>
                <w:rFonts w:ascii="Tahoma" w:hAnsi="Tahoma" w:cs="Tahoma"/>
                <w:sz w:val="14"/>
                <w:szCs w:val="14"/>
                <w:lang w:val="pt-BR"/>
              </w:rPr>
              <w:t> </w:t>
            </w:r>
            <w:r w:rsidRPr="008D38F6">
              <w:rPr>
                <w:rFonts w:ascii="Tahoma" w:hAnsi="Tahoma" w:cs="Tahoma"/>
                <w:sz w:val="14"/>
                <w:szCs w:val="14"/>
                <w:lang w:val="pt-BR"/>
              </w:rPr>
              <w:t>processadores)</w:t>
            </w:r>
            <w:bookmarkEnd w:id="480"/>
            <w:bookmarkEnd w:id="481"/>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b/>
                <w:color w:val="000000"/>
                <w:sz w:val="13"/>
                <w:szCs w:val="13"/>
                <w:u w:val="single"/>
              </w:rPr>
            </w:pPr>
            <w:hyperlink w:anchor="_91_89_System" w:history="1">
              <w:r w:rsidR="005B0EC7" w:rsidRPr="00B01D7E">
                <w:rPr>
                  <w:rStyle w:val="Hyperlink"/>
                  <w:rFonts w:cs="Tahoma"/>
                  <w:b/>
                  <w:sz w:val="13"/>
                  <w:szCs w:val="13"/>
                </w:rPr>
                <w:t>89</w:t>
              </w:r>
            </w:hyperlink>
            <w:hyperlink w:anchor="Srv_101SystemCenter2012"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6864A1" w:rsidRPr="00416070" w:rsidTr="005C0614">
        <w:trPr>
          <w:trHeight w:val="134"/>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rPr>
                <w:rFonts w:ascii="Tahoma" w:hAnsi="Tahoma" w:cs="Tahoma"/>
                <w:sz w:val="14"/>
                <w:szCs w:val="14"/>
              </w:rPr>
            </w:pPr>
            <w:bookmarkStart w:id="482" w:name="_Toc352234169"/>
            <w:r w:rsidRPr="005C0614">
              <w:rPr>
                <w:rFonts w:ascii="Tahoma" w:hAnsi="Tahoma" w:cs="Tahoma"/>
                <w:sz w:val="14"/>
                <w:szCs w:val="14"/>
              </w:rPr>
              <w:t>System Center 2012 Endpoint Protection</w:t>
            </w:r>
            <w:bookmarkEnd w:id="482"/>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color w:val="000000"/>
                <w:sz w:val="13"/>
                <w:szCs w:val="13"/>
                <w:u w:val="single"/>
              </w:rPr>
            </w:pPr>
            <w:hyperlink w:anchor="_103_System_Center" w:history="1">
              <w:r w:rsidR="005B0EC7" w:rsidRPr="00B01D7E">
                <w:rPr>
                  <w:rStyle w:val="Hyperlink"/>
                  <w:b/>
                  <w:sz w:val="13"/>
                  <w:szCs w:val="13"/>
                </w:rPr>
                <w:t>90</w:t>
              </w:r>
            </w:hyperlink>
            <w:hyperlink w:anchor="Srv_102SysCtr2012EndpointProt"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AO, 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134"/>
        </w:trPr>
        <w:tc>
          <w:tcPr>
            <w:tcW w:w="2734" w:type="dxa"/>
            <w:gridSpan w:val="2"/>
            <w:tcBorders>
              <w:bottom w:val="single" w:sz="4" w:space="0" w:color="auto"/>
            </w:tcBorders>
            <w:shd w:val="clear" w:color="auto" w:fill="FABF8F"/>
            <w:vAlign w:val="center"/>
          </w:tcPr>
          <w:p w:rsidR="001A63C6" w:rsidRPr="008D38F6" w:rsidRDefault="001A63C6" w:rsidP="005C0614">
            <w:pPr>
              <w:pStyle w:val="ProductNames"/>
              <w:spacing w:beforeLines="20" w:before="48" w:afterLines="20" w:after="48"/>
              <w:rPr>
                <w:rFonts w:ascii="Tahoma" w:hAnsi="Tahoma" w:cs="Tahoma"/>
                <w:sz w:val="14"/>
                <w:szCs w:val="14"/>
                <w:lang w:val="pt-BR"/>
              </w:rPr>
            </w:pPr>
            <w:bookmarkStart w:id="483" w:name="_Toc336338100"/>
            <w:bookmarkStart w:id="484" w:name="_Toc352234170"/>
            <w:r w:rsidRPr="008D38F6">
              <w:rPr>
                <w:rFonts w:ascii="Tahoma" w:hAnsi="Tahoma" w:cs="Tahoma"/>
                <w:sz w:val="14"/>
                <w:szCs w:val="14"/>
                <w:lang w:val="pt-BR"/>
              </w:rPr>
              <w:t>Licença de Gerenciamento do System Center 2012 Standard Server (2</w:t>
            </w:r>
            <w:r w:rsidR="00DE1733" w:rsidRPr="008D38F6">
              <w:rPr>
                <w:rFonts w:ascii="Tahoma" w:hAnsi="Tahoma" w:cs="Tahoma"/>
                <w:sz w:val="14"/>
                <w:szCs w:val="14"/>
                <w:lang w:val="pt-BR"/>
              </w:rPr>
              <w:t> </w:t>
            </w:r>
            <w:r w:rsidRPr="008D38F6">
              <w:rPr>
                <w:rFonts w:ascii="Tahoma" w:hAnsi="Tahoma" w:cs="Tahoma"/>
                <w:sz w:val="14"/>
                <w:szCs w:val="14"/>
                <w:lang w:val="pt-BR"/>
              </w:rPr>
              <w:t>processadores)</w:t>
            </w:r>
            <w:bookmarkEnd w:id="483"/>
            <w:bookmarkEnd w:id="484"/>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b/>
                <w:color w:val="000000"/>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23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9E5BF9" w:rsidRPr="00416070" w:rsidTr="005C0614">
        <w:trPr>
          <w:trHeight w:val="134"/>
        </w:trPr>
        <w:tc>
          <w:tcPr>
            <w:tcW w:w="2734" w:type="dxa"/>
            <w:gridSpan w:val="2"/>
            <w:tcBorders>
              <w:bottom w:val="single" w:sz="4" w:space="0" w:color="auto"/>
            </w:tcBorders>
            <w:shd w:val="clear" w:color="auto" w:fill="auto"/>
            <w:vAlign w:val="center"/>
          </w:tcPr>
          <w:p w:rsidR="001A63C6" w:rsidRPr="005C0614" w:rsidRDefault="001A63C6" w:rsidP="005C0614">
            <w:pPr>
              <w:pStyle w:val="ProductNames"/>
              <w:spacing w:beforeLines="20" w:before="48" w:afterLines="20" w:after="48"/>
              <w:rPr>
                <w:rFonts w:ascii="Tahoma" w:hAnsi="Tahoma" w:cs="Tahoma"/>
                <w:sz w:val="14"/>
                <w:szCs w:val="14"/>
              </w:rPr>
            </w:pPr>
            <w:bookmarkStart w:id="485" w:name="_Toc336338101"/>
            <w:bookmarkStart w:id="486" w:name="_Toc352234171"/>
            <w:r w:rsidRPr="005C0614">
              <w:rPr>
                <w:rFonts w:ascii="Tahoma" w:hAnsi="Tahoma" w:cs="Tahoma"/>
                <w:sz w:val="14"/>
                <w:szCs w:val="14"/>
              </w:rPr>
              <w:t>TechNet Plus Single User</w:t>
            </w:r>
            <w:bookmarkEnd w:id="485"/>
            <w:bookmarkEnd w:id="486"/>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00"/>
                <w:position w:val="-11"/>
                <w:sz w:val="13"/>
                <w:szCs w:val="13"/>
                <w:u w:val="single"/>
              </w:rPr>
            </w:pPr>
            <w:hyperlink w:anchor="_91_TechNet_Plus" w:history="1">
              <w:r w:rsidR="005B0EC7" w:rsidRPr="00B01D7E">
                <w:rPr>
                  <w:rStyle w:val="Hyperlink"/>
                  <w:b/>
                  <w:sz w:val="13"/>
                  <w:szCs w:val="13"/>
                </w:rPr>
                <w:t>91</w:t>
              </w:r>
            </w:hyperlink>
            <w:hyperlink w:anchor="Srv_103TechNetPlusSingleUser"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w:t>
            </w:r>
          </w:p>
        </w:tc>
      </w:tr>
      <w:tr w:rsidR="00EF228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487" w:name="_Toc336338102"/>
            <w:bookmarkStart w:id="488" w:name="_Toc352234172"/>
            <w:r w:rsidRPr="005C0614">
              <w:rPr>
                <w:rFonts w:ascii="Tahoma" w:hAnsi="Tahoma" w:cs="Tahoma"/>
                <w:b w:val="0"/>
                <w:sz w:val="14"/>
                <w:szCs w:val="14"/>
              </w:rPr>
              <w:t>VDI Suite</w:t>
            </w:r>
            <w:bookmarkEnd w:id="487"/>
            <w:bookmarkEnd w:id="488"/>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b/>
                <w:sz w:val="13"/>
                <w:szCs w:val="13"/>
                <w:u w:val="single"/>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szCs w:val="13"/>
              </w:rPr>
            </w:pPr>
            <w:r w:rsidRPr="00416070">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szCs w:val="13"/>
              </w:rPr>
            </w:pPr>
            <w:r w:rsidRPr="0041607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szCs w:val="13"/>
              </w:rPr>
            </w:pPr>
            <w:r w:rsidRPr="00416070">
              <w:rPr>
                <w:rFonts w:ascii="Tahoma" w:hAnsi="Tahoma" w:cs="Tahoma"/>
                <w:sz w:val="13"/>
                <w:szCs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spacing w:before="20" w:after="20"/>
              <w:rPr>
                <w:rFonts w:ascii="Tahoma" w:hAnsi="Tahoma" w:cs="Tahoma"/>
                <w:sz w:val="13"/>
                <w:szCs w:val="13"/>
              </w:rPr>
            </w:pPr>
            <w:r w:rsidRPr="00416070">
              <w:rPr>
                <w:rFonts w:ascii="Tahoma" w:hAnsi="Tahoma" w:cs="Tahoma"/>
                <w:sz w:val="13"/>
                <w:szCs w:val="13"/>
              </w:rPr>
              <w:t>A,ST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1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489" w:name="_Toc336338103"/>
            <w:bookmarkStart w:id="490" w:name="_Toc352234173"/>
            <w:r w:rsidRPr="005C0614">
              <w:rPr>
                <w:rFonts w:ascii="Tahoma" w:hAnsi="Tahoma" w:cs="Tahoma"/>
                <w:b w:val="0"/>
                <w:sz w:val="14"/>
                <w:szCs w:val="14"/>
              </w:rPr>
              <w:t>VDI Suite com MDOP</w:t>
            </w:r>
            <w:bookmarkEnd w:id="489"/>
            <w:bookmarkEnd w:id="490"/>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b/>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spacing w:before="20" w:after="20"/>
              <w:rPr>
                <w:rFonts w:ascii="Tahoma" w:hAnsi="Tahoma" w:cs="Tahoma"/>
                <w:sz w:val="13"/>
                <w:szCs w:val="13"/>
              </w:rPr>
            </w:pPr>
            <w:r w:rsidRPr="00416070">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spacing w:before="20" w:after="20"/>
              <w:rPr>
                <w:rFonts w:ascii="Tahoma" w:hAnsi="Tahoma"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spacing w:before="20" w:after="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spacing w:before="20" w:after="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spacing w:before="20" w:after="20"/>
              <w:rPr>
                <w:rFonts w:ascii="Tahoma" w:hAnsi="Tahoma" w:cs="Tahoma"/>
                <w:sz w:val="13"/>
                <w:szCs w:val="13"/>
              </w:rPr>
            </w:pPr>
            <w:r w:rsidRPr="00416070">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spacing w:before="20" w:after="20"/>
              <w:rPr>
                <w:rFonts w:ascii="Tahoma" w:hAnsi="Tahoma" w:cs="Tahoma"/>
                <w:sz w:val="13"/>
                <w:szCs w:val="13"/>
              </w:rPr>
            </w:pPr>
            <w:r w:rsidRPr="00416070">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spacing w:before="20" w:after="20"/>
              <w:rPr>
                <w:rFonts w:ascii="Tahoma" w:hAnsi="Tahoma" w:cs="Tahoma"/>
                <w:sz w:val="13"/>
                <w:szCs w:val="13"/>
              </w:rPr>
            </w:pPr>
            <w:r w:rsidRPr="00416070">
              <w:rPr>
                <w:rFonts w:ascii="Tahoma" w:hAnsi="Tahoma" w:cs="Tahoma"/>
                <w:sz w:val="13"/>
                <w:szCs w:val="13"/>
              </w:rPr>
              <w:t>E, P</w:t>
            </w:r>
          </w:p>
        </w:tc>
        <w:tc>
          <w:tcPr>
            <w:tcW w:w="630" w:type="dxa"/>
            <w:tcBorders>
              <w:bottom w:val="single" w:sz="4" w:space="0" w:color="auto"/>
            </w:tcBorders>
            <w:shd w:val="clear" w:color="auto" w:fill="auto"/>
            <w:vAlign w:val="center"/>
          </w:tcPr>
          <w:p w:rsidR="001A63C6" w:rsidRPr="00416070" w:rsidRDefault="001A63C6" w:rsidP="00CE54BA">
            <w:pPr>
              <w:pStyle w:val="TableText"/>
              <w:spacing w:before="20" w:after="20"/>
              <w:rPr>
                <w:rFonts w:ascii="Tahoma" w:hAnsi="Tahoma" w:cs="Tahoma"/>
                <w:sz w:val="13"/>
                <w:szCs w:val="13"/>
              </w:rPr>
            </w:pPr>
            <w:r w:rsidRPr="00416070">
              <w:rPr>
                <w:rFonts w:ascii="Tahoma" w:hAnsi="Tahoma" w:cs="Tahoma"/>
                <w:sz w:val="13"/>
                <w:szCs w:val="13"/>
              </w:rPr>
              <w:t>A,ST</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260"/>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491" w:name="_Toc336338104"/>
            <w:bookmarkStart w:id="492" w:name="_Toc352234174"/>
            <w:r w:rsidRPr="005C0614">
              <w:rPr>
                <w:rFonts w:ascii="Tahoma" w:hAnsi="Tahoma" w:cs="Tahoma"/>
                <w:b w:val="0"/>
                <w:sz w:val="14"/>
                <w:szCs w:val="14"/>
              </w:rPr>
              <w:t>VDI Standard Suite</w:t>
            </w:r>
            <w:bookmarkEnd w:id="491"/>
            <w:bookmarkEnd w:id="492"/>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sz w:val="13"/>
                <w:szCs w:val="13"/>
              </w:rPr>
            </w:pPr>
            <w:hyperlink w:anchor="_90_VDI_Standard" w:history="1">
              <w:r w:rsidR="005B0EC7" w:rsidRPr="00B01D7E">
                <w:rPr>
                  <w:rStyle w:val="Hyperlink"/>
                  <w:b/>
                  <w:sz w:val="13"/>
                  <w:szCs w:val="13"/>
                </w:rPr>
                <w:t>92</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60"/>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493" w:name="_Toc336338105"/>
            <w:bookmarkStart w:id="494" w:name="_Toc352234175"/>
            <w:r w:rsidRPr="005C0614">
              <w:rPr>
                <w:rFonts w:ascii="Tahoma" w:hAnsi="Tahoma" w:cs="Tahoma"/>
                <w:b w:val="0"/>
                <w:sz w:val="14"/>
                <w:szCs w:val="14"/>
              </w:rPr>
              <w:t>VDI Standard Suite com MDOP</w:t>
            </w:r>
            <w:bookmarkEnd w:id="493"/>
            <w:bookmarkEnd w:id="494"/>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sz w:val="13"/>
                <w:szCs w:val="13"/>
                <w:u w:val="single"/>
              </w:rPr>
            </w:pPr>
            <w:hyperlink w:anchor="_90_VDI_Standard" w:history="1">
              <w:r w:rsidR="005B0EC7" w:rsidRPr="00B01D7E">
                <w:rPr>
                  <w:rStyle w:val="Hyperlink"/>
                  <w:b/>
                  <w:sz w:val="13"/>
                  <w:szCs w:val="13"/>
                </w:rPr>
                <w:t>92</w:t>
              </w:r>
            </w:hyperlink>
            <w:hyperlink w:anchor="Srv_105VDIStandardandPremiumSuites" w:history="1"/>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EF228F" w:rsidRPr="00416070" w:rsidTr="005C0614">
        <w:trPr>
          <w:trHeight w:val="260"/>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495" w:name="_Toc336338106"/>
            <w:bookmarkStart w:id="496" w:name="_Toc352234176"/>
            <w:r w:rsidRPr="005C0614">
              <w:rPr>
                <w:rFonts w:ascii="Tahoma" w:hAnsi="Tahoma" w:cs="Tahoma"/>
                <w:b w:val="0"/>
                <w:sz w:val="14"/>
                <w:szCs w:val="14"/>
              </w:rPr>
              <w:t>VDI Premium Suite</w:t>
            </w:r>
            <w:bookmarkEnd w:id="495"/>
            <w:bookmarkEnd w:id="496"/>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sz w:val="13"/>
                <w:szCs w:val="13"/>
                <w:u w:val="single"/>
              </w:rPr>
            </w:pPr>
            <w:hyperlink w:anchor="_90_VDI_Standard" w:history="1">
              <w:r w:rsidR="005B0EC7" w:rsidRPr="00B01D7E">
                <w:rPr>
                  <w:rStyle w:val="Hyperlink"/>
                  <w:b/>
                  <w:sz w:val="13"/>
                  <w:szCs w:val="13"/>
                </w:rPr>
                <w:t>92</w:t>
              </w:r>
            </w:hyperlink>
            <w:hyperlink w:anchor="Srv_105VDIStandardandPremiumSuites"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60"/>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497" w:name="_Toc336338107"/>
            <w:bookmarkStart w:id="498" w:name="_Toc352234177"/>
            <w:r w:rsidRPr="005C0614">
              <w:rPr>
                <w:rFonts w:ascii="Tahoma" w:hAnsi="Tahoma" w:cs="Tahoma"/>
                <w:b w:val="0"/>
                <w:sz w:val="14"/>
                <w:szCs w:val="14"/>
              </w:rPr>
              <w:t>VDI Premium Suite com MDOP</w:t>
            </w:r>
            <w:bookmarkEnd w:id="497"/>
            <w:bookmarkEnd w:id="498"/>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sz w:val="13"/>
                <w:szCs w:val="13"/>
                <w:u w:val="single"/>
              </w:rPr>
            </w:pPr>
            <w:hyperlink w:anchor="_90_VDI_Standard" w:history="1">
              <w:r w:rsidR="005B0EC7" w:rsidRPr="00B01D7E">
                <w:rPr>
                  <w:rStyle w:val="Hyperlink"/>
                  <w:b/>
                  <w:sz w:val="13"/>
                  <w:szCs w:val="13"/>
                </w:rPr>
                <w:t>92</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ProductNames"/>
              <w:spacing w:beforeLines="20" w:before="48" w:afterLines="20" w:after="48"/>
              <w:rPr>
                <w:rFonts w:ascii="Tahoma" w:hAnsi="Tahoma"/>
                <w:sz w:val="14"/>
                <w:szCs w:val="14"/>
              </w:rPr>
            </w:pPr>
            <w:bookmarkStart w:id="499" w:name="_Toc352234178"/>
            <w:r w:rsidRPr="005C0614">
              <w:rPr>
                <w:rFonts w:ascii="Tahoma" w:hAnsi="Tahoma" w:cs="Tahoma"/>
                <w:sz w:val="14"/>
                <w:szCs w:val="14"/>
              </w:rPr>
              <w:t>Vexcel Server</w:t>
            </w:r>
            <w:bookmarkEnd w:id="499"/>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b w:val="0"/>
                <w:sz w:val="13"/>
                <w:szCs w:val="13"/>
                <w:u w:val="single"/>
              </w:rPr>
            </w:pPr>
            <w:hyperlink w:anchor="_91_Vexcel_Server," w:history="1">
              <w:r w:rsidR="005B0EC7" w:rsidRPr="00B01D7E">
                <w:rPr>
                  <w:rStyle w:val="Hyperlink"/>
                  <w:b/>
                  <w:sz w:val="13"/>
                  <w:szCs w:val="13"/>
                </w:rPr>
                <w:t>93</w:t>
              </w:r>
            </w:hyperlink>
            <w:hyperlink w:anchor="Srv_27BingMapsSvrandContentPack" w:history="1"/>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 ponto</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145"/>
        </w:trPr>
        <w:tc>
          <w:tcPr>
            <w:tcW w:w="2734" w:type="dxa"/>
            <w:gridSpan w:val="2"/>
            <w:tcBorders>
              <w:bottom w:val="single" w:sz="4" w:space="0" w:color="auto"/>
            </w:tcBorders>
            <w:shd w:val="clear" w:color="auto" w:fill="auto"/>
            <w:vAlign w:val="center"/>
          </w:tcPr>
          <w:p w:rsidR="001A63C6" w:rsidRPr="008D38F6" w:rsidRDefault="001A63C6" w:rsidP="005C0614">
            <w:pPr>
              <w:pStyle w:val="ProductNames"/>
              <w:spacing w:beforeLines="20" w:before="48" w:afterLines="20" w:after="48"/>
              <w:rPr>
                <w:rFonts w:ascii="Tahoma" w:hAnsi="Tahoma"/>
                <w:sz w:val="14"/>
                <w:szCs w:val="14"/>
                <w:lang w:val="pt-BR"/>
              </w:rPr>
            </w:pPr>
            <w:bookmarkStart w:id="500" w:name="_Toc352234179"/>
            <w:r w:rsidRPr="008D38F6">
              <w:rPr>
                <w:rFonts w:ascii="Tahoma" w:hAnsi="Tahoma" w:cs="Tahoma"/>
                <w:sz w:val="14"/>
                <w:szCs w:val="14"/>
                <w:lang w:val="pt-BR"/>
              </w:rPr>
              <w:t>Vexcel Server com Pacote de Conteúdo Aprimorado</w:t>
            </w:r>
            <w:bookmarkEnd w:id="500"/>
            <w:r w:rsidRPr="008D38F6">
              <w:rPr>
                <w:rFonts w:ascii="Tahoma" w:hAnsi="Tahoma" w:cs="Tahoma"/>
                <w:sz w:val="14"/>
                <w:szCs w:val="14"/>
                <w:lang w:val="pt-BR"/>
              </w:rPr>
              <w:t xml:space="preserve"> </w:t>
            </w:r>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sz w:val="13"/>
                <w:szCs w:val="13"/>
                <w:u w:val="single"/>
              </w:rPr>
            </w:pPr>
            <w:hyperlink w:anchor="_91_Vexcel_Server," w:history="1">
              <w:r w:rsidR="005B0EC7" w:rsidRPr="00B01D7E">
                <w:rPr>
                  <w:rStyle w:val="Hyperlink"/>
                  <w:b/>
                  <w:sz w:val="13"/>
                  <w:szCs w:val="13"/>
                </w:rPr>
                <w:t>93</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 ponto</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501" w:name="_Toc336338108"/>
            <w:bookmarkStart w:id="502" w:name="_Toc352234180"/>
            <w:r w:rsidRPr="005C0614">
              <w:rPr>
                <w:rFonts w:ascii="Tahoma" w:hAnsi="Tahoma" w:cs="Tahoma"/>
                <w:b w:val="0"/>
                <w:sz w:val="14"/>
                <w:szCs w:val="14"/>
              </w:rPr>
              <w:t>Virtual Server 2005 R2 Enterprise Edition</w:t>
            </w:r>
            <w:bookmarkEnd w:id="501"/>
            <w:bookmarkEnd w:id="502"/>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6B1F3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503" w:name="_Toc336338109"/>
            <w:bookmarkStart w:id="504" w:name="_Toc352234181"/>
            <w:r w:rsidRPr="005C0614">
              <w:rPr>
                <w:rFonts w:ascii="Tahoma" w:hAnsi="Tahoma" w:cs="Tahoma"/>
                <w:b w:val="0"/>
                <w:sz w:val="14"/>
                <w:szCs w:val="14"/>
              </w:rPr>
              <w:t>Visual Studio</w:t>
            </w:r>
            <w:r w:rsidR="00510A6E" w:rsidRPr="005C0614">
              <w:rPr>
                <w:rFonts w:ascii="Tahoma" w:eastAsia="Times New Roman" w:hAnsi="Tahoma" w:cs="Tahoma"/>
                <w:b w:val="0"/>
                <w:color w:val="000000"/>
                <w:sz w:val="14"/>
                <w:szCs w:val="14"/>
                <w:vertAlign w:val="superscript"/>
              </w:rPr>
              <w:t>®</w:t>
            </w:r>
            <w:r w:rsidRPr="005C0614">
              <w:rPr>
                <w:rFonts w:ascii="Tahoma" w:hAnsi="Tahoma" w:cs="Tahoma"/>
                <w:b w:val="0"/>
                <w:sz w:val="14"/>
                <w:szCs w:val="14"/>
              </w:rPr>
              <w:t xml:space="preserve"> Team Foundation Server 2012 com Tecnologia SQL Server 2012</w:t>
            </w:r>
            <w:bookmarkEnd w:id="503"/>
            <w:bookmarkEnd w:id="504"/>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505" w:name="_Toc254805933"/>
            <w:bookmarkStart w:id="506" w:name="_Toc336338110"/>
            <w:bookmarkStart w:id="507" w:name="_Toc352234182"/>
            <w:r w:rsidRPr="005C0614">
              <w:rPr>
                <w:rFonts w:ascii="Tahoma" w:hAnsi="Tahoma" w:cs="Tahoma"/>
                <w:b w:val="0"/>
                <w:sz w:val="14"/>
                <w:szCs w:val="14"/>
              </w:rPr>
              <w:t>CAL do Dispositivo do Visual Studio</w:t>
            </w:r>
            <w:r w:rsidR="00510A6E" w:rsidRPr="005C0614">
              <w:rPr>
                <w:rFonts w:ascii="Tahoma" w:hAnsi="Tahoma" w:cs="Tahoma"/>
                <w:b w:val="0"/>
                <w:sz w:val="14"/>
                <w:szCs w:val="14"/>
                <w:vertAlign w:val="superscript"/>
              </w:rPr>
              <w:t>®</w:t>
            </w:r>
            <w:r w:rsidRPr="005C0614">
              <w:rPr>
                <w:rFonts w:ascii="Tahoma" w:hAnsi="Tahoma" w:cs="Tahoma"/>
                <w:b w:val="0"/>
                <w:sz w:val="14"/>
                <w:szCs w:val="14"/>
              </w:rPr>
              <w:t xml:space="preserve"> Team Foundation Server 2012</w:t>
            </w:r>
            <w:bookmarkEnd w:id="505"/>
            <w:bookmarkEnd w:id="506"/>
            <w:bookmarkEnd w:id="507"/>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6B1F3F"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508" w:name="_Toc254805934"/>
            <w:bookmarkStart w:id="509" w:name="_Toc336338111"/>
            <w:bookmarkStart w:id="510" w:name="_Toc352234183"/>
            <w:r w:rsidRPr="005C0614">
              <w:rPr>
                <w:rFonts w:ascii="Tahoma" w:hAnsi="Tahoma" w:cs="Tahoma"/>
                <w:b w:val="0"/>
                <w:sz w:val="14"/>
                <w:szCs w:val="14"/>
              </w:rPr>
              <w:t>CAL do Usuário do Visual Studio</w:t>
            </w:r>
            <w:r w:rsidR="00510A6E" w:rsidRPr="005C0614">
              <w:rPr>
                <w:rFonts w:ascii="Tahoma" w:hAnsi="Tahoma" w:cs="Tahoma"/>
                <w:b w:val="0"/>
                <w:sz w:val="14"/>
                <w:szCs w:val="14"/>
                <w:vertAlign w:val="superscript"/>
              </w:rPr>
              <w:t>®</w:t>
            </w:r>
            <w:r w:rsidRPr="005C0614">
              <w:rPr>
                <w:rFonts w:ascii="Tahoma" w:hAnsi="Tahoma" w:cs="Tahoma"/>
                <w:b w:val="0"/>
                <w:sz w:val="14"/>
                <w:szCs w:val="14"/>
              </w:rPr>
              <w:t xml:space="preserve"> Team Foundation Server 2012</w:t>
            </w:r>
            <w:bookmarkEnd w:id="508"/>
            <w:bookmarkEnd w:id="509"/>
            <w:bookmarkEnd w:id="510"/>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szCs w:val="13"/>
              </w:rPr>
            </w:pPr>
            <w:r w:rsidRPr="00416070">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494"/>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511" w:name="_Toc336338113"/>
            <w:bookmarkStart w:id="512" w:name="_Toc352234184"/>
            <w:r w:rsidRPr="005C0614">
              <w:rPr>
                <w:rFonts w:ascii="Tahoma" w:hAnsi="Tahoma" w:cs="Tahoma"/>
                <w:b w:val="0"/>
                <w:sz w:val="14"/>
                <w:szCs w:val="14"/>
              </w:rPr>
              <w:t>Assinatura do Web Antimalware para Forefront Threat Management Gateway Medium Business Edition (Dispositivo e</w:t>
            </w:r>
            <w:r w:rsidR="00DE1733">
              <w:rPr>
                <w:rFonts w:ascii="Tahoma" w:hAnsi="Tahoma" w:cs="Tahoma"/>
                <w:sz w:val="14"/>
                <w:szCs w:val="14"/>
              </w:rPr>
              <w:t> </w:t>
            </w:r>
            <w:r w:rsidRPr="005C0614">
              <w:rPr>
                <w:rFonts w:ascii="Tahoma" w:hAnsi="Tahoma" w:cs="Tahoma"/>
                <w:b w:val="0"/>
                <w:sz w:val="14"/>
                <w:szCs w:val="14"/>
              </w:rPr>
              <w:t>Usuário)</w:t>
            </w:r>
            <w:bookmarkEnd w:id="511"/>
            <w:bookmarkEnd w:id="512"/>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rFonts w:cs="Tahoma"/>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87"/>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Lines="20" w:before="48" w:afterLines="20" w:after="48"/>
              <w:ind w:left="0"/>
              <w:rPr>
                <w:rFonts w:ascii="Tahoma" w:hAnsi="Tahoma" w:cs="Tahoma"/>
                <w:b w:val="0"/>
                <w:sz w:val="14"/>
                <w:szCs w:val="14"/>
              </w:rPr>
            </w:pPr>
            <w:bookmarkStart w:id="513" w:name="_Toc336338114"/>
            <w:bookmarkStart w:id="514" w:name="_Toc352234185"/>
            <w:r w:rsidRPr="005C0614">
              <w:rPr>
                <w:rFonts w:ascii="Tahoma" w:hAnsi="Tahoma" w:cs="Tahoma"/>
                <w:b w:val="0"/>
                <w:sz w:val="14"/>
                <w:szCs w:val="14"/>
              </w:rPr>
              <w:t>Serviços do Windows Azure</w:t>
            </w:r>
            <w:bookmarkEnd w:id="513"/>
            <w:bookmarkEnd w:id="514"/>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_105_Windows_Azure" w:history="1">
              <w:r w:rsidR="005B0EC7" w:rsidRPr="00B01D7E">
                <w:rPr>
                  <w:rStyle w:val="Hyperlink"/>
                  <w:rFonts w:cs="Tahoma"/>
                  <w:b/>
                  <w:sz w:val="13"/>
                  <w:szCs w:val="13"/>
                </w:rPr>
                <w:t>94</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152"/>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15" w:name="_Toc336338115"/>
            <w:bookmarkStart w:id="516" w:name="_Toc352234186"/>
            <w:r w:rsidRPr="005C0614">
              <w:rPr>
                <w:rFonts w:ascii="Tahoma" w:hAnsi="Tahoma" w:cs="Tahoma"/>
                <w:b w:val="0"/>
                <w:sz w:val="14"/>
                <w:szCs w:val="14"/>
              </w:rPr>
              <w:t>Windows</w:t>
            </w:r>
            <w:r w:rsidR="00510A6E" w:rsidRPr="005C0614">
              <w:rPr>
                <w:rFonts w:ascii="Tahoma" w:hAnsi="Tahoma" w:cs="Tahoma"/>
                <w:b w:val="0"/>
                <w:sz w:val="14"/>
                <w:szCs w:val="14"/>
                <w:vertAlign w:val="superscript"/>
              </w:rPr>
              <w:t>®</w:t>
            </w:r>
            <w:r w:rsidRPr="005C0614">
              <w:rPr>
                <w:rFonts w:ascii="Tahoma" w:hAnsi="Tahoma" w:cs="Tahoma"/>
                <w:b w:val="0"/>
                <w:sz w:val="14"/>
                <w:szCs w:val="14"/>
              </w:rPr>
              <w:t xml:space="preserve"> Embedded Device Manager</w:t>
            </w:r>
            <w:r w:rsidR="00DE1733">
              <w:rPr>
                <w:rFonts w:ascii="Tahoma" w:hAnsi="Tahoma" w:cs="Tahoma"/>
                <w:sz w:val="14"/>
                <w:szCs w:val="14"/>
              </w:rPr>
              <w:t> </w:t>
            </w:r>
            <w:r w:rsidRPr="005C0614">
              <w:rPr>
                <w:rFonts w:ascii="Tahoma" w:hAnsi="Tahoma" w:cs="Tahoma"/>
                <w:b w:val="0"/>
                <w:sz w:val="14"/>
                <w:szCs w:val="14"/>
              </w:rPr>
              <w:t>2011</w:t>
            </w:r>
            <w:bookmarkEnd w:id="515"/>
            <w:bookmarkEnd w:id="516"/>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Srv_107WindowsEmbeddedDeviceMgr2011" w:history="1">
              <w:r w:rsidR="005B0EC7" w:rsidRPr="00B01D7E">
                <w:rPr>
                  <w:rStyle w:val="Hyperlink"/>
                  <w:rFonts w:cs="Tahoma"/>
                  <w:b/>
                  <w:sz w:val="13"/>
                  <w:szCs w:val="13"/>
                </w:rPr>
                <w:t>95</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B06414" w:rsidTr="005C0614">
        <w:trPr>
          <w:trHeight w:val="287"/>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517" w:name="_Toc336338116"/>
            <w:bookmarkStart w:id="518" w:name="_Toc352234187"/>
            <w:r w:rsidRPr="005C0614">
              <w:rPr>
                <w:rFonts w:ascii="Tahoma" w:hAnsi="Tahoma" w:cs="Tahoma"/>
                <w:b w:val="0"/>
                <w:sz w:val="14"/>
                <w:szCs w:val="14"/>
              </w:rPr>
              <w:t>Licença de Gerenciamento de Cliente do Windows</w:t>
            </w:r>
            <w:r w:rsidR="00510A6E" w:rsidRPr="005C0614">
              <w:rPr>
                <w:rFonts w:ascii="Tahoma" w:hAnsi="Tahoma" w:cs="Tahoma"/>
                <w:b w:val="0"/>
                <w:sz w:val="14"/>
                <w:szCs w:val="14"/>
                <w:vertAlign w:val="superscript"/>
              </w:rPr>
              <w:t>®</w:t>
            </w:r>
            <w:r w:rsidRPr="005C0614">
              <w:rPr>
                <w:rFonts w:ascii="Tahoma" w:hAnsi="Tahoma" w:cs="Tahoma"/>
                <w:b w:val="0"/>
                <w:sz w:val="14"/>
                <w:szCs w:val="14"/>
              </w:rPr>
              <w:t xml:space="preserve"> Embedded Device Manager 2011 por OSE</w:t>
            </w:r>
            <w:bookmarkEnd w:id="517"/>
            <w:bookmarkEnd w:id="518"/>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Fonts w:cs="Tahoma"/>
                <w:b/>
                <w:color w:val="0000FF"/>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287"/>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19" w:name="_Toc336338117"/>
            <w:bookmarkStart w:id="520" w:name="_Toc352234188"/>
            <w:r w:rsidRPr="005C0614">
              <w:rPr>
                <w:rFonts w:ascii="Tahoma" w:hAnsi="Tahoma" w:cs="Tahoma"/>
                <w:b w:val="0"/>
                <w:sz w:val="14"/>
                <w:szCs w:val="14"/>
              </w:rPr>
              <w:t>Licença de Gerenciamento de Cliente do Windows</w:t>
            </w:r>
            <w:r w:rsidR="00510A6E" w:rsidRPr="005C0614">
              <w:rPr>
                <w:rFonts w:ascii="Tahoma" w:hAnsi="Tahoma" w:cs="Tahoma"/>
                <w:b w:val="0"/>
                <w:sz w:val="14"/>
                <w:szCs w:val="14"/>
                <w:vertAlign w:val="superscript"/>
              </w:rPr>
              <w:t>®</w:t>
            </w:r>
            <w:r w:rsidRPr="005C0614">
              <w:rPr>
                <w:rFonts w:ascii="Tahoma" w:hAnsi="Tahoma" w:cs="Tahoma"/>
                <w:b w:val="0"/>
                <w:sz w:val="14"/>
                <w:szCs w:val="14"/>
              </w:rPr>
              <w:t xml:space="preserve"> Embedded Device Manager 2011 por Usuário</w:t>
            </w:r>
            <w:bookmarkEnd w:id="519"/>
            <w:bookmarkEnd w:id="520"/>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Fonts w:cs="Tahoma"/>
                <w:b/>
                <w:color w:val="0000FF"/>
                <w:sz w:val="13"/>
                <w:szCs w:val="13"/>
              </w:rPr>
            </w:pPr>
            <w:hyperlink w:anchor="_96_Windows_Embedded" w:history="1">
              <w:r w:rsidR="005B0EC7" w:rsidRPr="00FD7426">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87"/>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521" w:name="_Toc336338118"/>
            <w:bookmarkStart w:id="522" w:name="_Toc352234189"/>
            <w:r w:rsidRPr="005C0614">
              <w:rPr>
                <w:rFonts w:ascii="Tahoma" w:hAnsi="Tahoma" w:cs="Tahoma"/>
                <w:b w:val="0"/>
                <w:sz w:val="14"/>
                <w:szCs w:val="14"/>
              </w:rPr>
              <w:t>Windows</w:t>
            </w:r>
            <w:r w:rsidR="00510A6E" w:rsidRPr="005C0614">
              <w:rPr>
                <w:rFonts w:ascii="Tahoma" w:hAnsi="Tahoma" w:cs="Tahoma"/>
                <w:b w:val="0"/>
                <w:sz w:val="14"/>
                <w:szCs w:val="14"/>
                <w:vertAlign w:val="superscript"/>
              </w:rPr>
              <w:t>®</w:t>
            </w:r>
            <w:r w:rsidRPr="005C0614">
              <w:rPr>
                <w:rFonts w:ascii="Tahoma" w:hAnsi="Tahoma" w:cs="Tahoma"/>
                <w:b w:val="0"/>
                <w:sz w:val="14"/>
                <w:szCs w:val="14"/>
              </w:rPr>
              <w:t xml:space="preserve"> Embedded Device Manager </w:t>
            </w:r>
            <w:r w:rsidRPr="005C0614">
              <w:rPr>
                <w:rFonts w:ascii="Tahoma" w:hAnsi="Tahoma" w:cs="Tahoma"/>
                <w:b w:val="0"/>
                <w:sz w:val="14"/>
                <w:szCs w:val="14"/>
              </w:rPr>
              <w:lastRenderedPageBreak/>
              <w:t>2011 com Tecnologia SQL Server</w:t>
            </w:r>
            <w:r w:rsidR="00510A6E" w:rsidRPr="005C0614">
              <w:rPr>
                <w:rFonts w:ascii="Tahoma" w:hAnsi="Tahoma" w:cs="Tahoma"/>
                <w:b w:val="0"/>
                <w:sz w:val="14"/>
                <w:szCs w:val="14"/>
                <w:vertAlign w:val="superscript"/>
              </w:rPr>
              <w:t>®</w:t>
            </w:r>
            <w:r w:rsidRPr="005C0614">
              <w:rPr>
                <w:rFonts w:ascii="Tahoma" w:hAnsi="Tahoma" w:cs="Tahoma"/>
                <w:b w:val="0"/>
                <w:sz w:val="14"/>
                <w:szCs w:val="14"/>
              </w:rPr>
              <w:t xml:space="preserve"> 2008</w:t>
            </w:r>
            <w:bookmarkEnd w:id="521"/>
            <w:bookmarkEnd w:id="522"/>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Fonts w:cs="Tahoma"/>
                <w:b/>
                <w:color w:val="0000FF"/>
                <w:sz w:val="13"/>
                <w:szCs w:val="13"/>
                <w:u w:val="single"/>
              </w:rPr>
            </w:pPr>
            <w:hyperlink w:anchor="_96_Windows_Embedded" w:history="1">
              <w:r w:rsidR="005B0EC7" w:rsidRPr="00B01D7E">
                <w:rPr>
                  <w:rStyle w:val="Hyperlink"/>
                  <w:rFonts w:cs="Tahoma"/>
                  <w:b/>
                  <w:sz w:val="13"/>
                  <w:szCs w:val="13"/>
                </w:rPr>
                <w:t>96</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287"/>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23" w:name="_Toc336338119"/>
            <w:bookmarkStart w:id="524" w:name="_Toc352234190"/>
            <w:r w:rsidRPr="005C0614">
              <w:rPr>
                <w:rFonts w:ascii="Tahoma" w:hAnsi="Tahoma" w:cs="Tahoma"/>
                <w:b w:val="0"/>
                <w:sz w:val="14"/>
                <w:szCs w:val="14"/>
              </w:rPr>
              <w:lastRenderedPageBreak/>
              <w:t>Windows Essential Business Server 2008 Standard</w:t>
            </w:r>
            <w:bookmarkEnd w:id="523"/>
            <w:bookmarkEnd w:id="524"/>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97_Windows_EBS" w:history="1">
              <w:r w:rsidR="005B0EC7" w:rsidRPr="00AA0B4F">
                <w:rPr>
                  <w:rStyle w:val="Hyperlink"/>
                  <w:rFonts w:cs="Tahoma"/>
                  <w:b/>
                  <w:sz w:val="13"/>
                  <w:szCs w:val="13"/>
                </w:rPr>
                <w:t>97</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87"/>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525" w:name="_Toc336338120"/>
            <w:bookmarkStart w:id="526" w:name="_Toc352234191"/>
            <w:r w:rsidRPr="005C0614">
              <w:rPr>
                <w:rFonts w:ascii="Tahoma" w:hAnsi="Tahoma" w:cs="Tahoma"/>
                <w:b w:val="0"/>
                <w:sz w:val="14"/>
                <w:szCs w:val="14"/>
              </w:rPr>
              <w:t>Windows Essential Business Server 2008 CAL Suite</w:t>
            </w:r>
            <w:bookmarkEnd w:id="525"/>
            <w:bookmarkEnd w:id="526"/>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1A63C6" w:rsidRPr="00416070" w:rsidTr="005C0614">
        <w:trPr>
          <w:trHeight w:val="287"/>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27" w:name="_Toc336338121"/>
            <w:bookmarkStart w:id="528" w:name="_Toc352234192"/>
            <w:r w:rsidRPr="005C0614">
              <w:rPr>
                <w:rFonts w:ascii="Tahoma" w:hAnsi="Tahoma" w:cs="Tahoma"/>
                <w:b w:val="0"/>
                <w:sz w:val="14"/>
                <w:szCs w:val="14"/>
              </w:rPr>
              <w:t>Windows Essential Business Server 2008 CAL Suite (5 clientes)</w:t>
            </w:r>
            <w:bookmarkEnd w:id="527"/>
            <w:bookmarkEnd w:id="528"/>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w:t>
            </w:r>
          </w:p>
        </w:tc>
      </w:tr>
      <w:tr w:rsidR="00B33D0E" w:rsidRPr="00416070" w:rsidTr="005C0614">
        <w:trPr>
          <w:trHeight w:val="287"/>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529" w:name="_Toc336338122"/>
            <w:bookmarkStart w:id="530" w:name="_Toc352234193"/>
            <w:r w:rsidRPr="005C0614">
              <w:rPr>
                <w:rFonts w:ascii="Tahoma" w:hAnsi="Tahoma" w:cs="Tahoma"/>
                <w:b w:val="0"/>
                <w:color w:val="000000"/>
                <w:sz w:val="14"/>
                <w:szCs w:val="14"/>
              </w:rPr>
              <w:t>Windows Essential Business Server 2008 CAL Suite (20 clientes)</w:t>
            </w:r>
            <w:bookmarkEnd w:id="529"/>
            <w:bookmarkEnd w:id="530"/>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w:t>
            </w:r>
          </w:p>
        </w:tc>
      </w:tr>
      <w:tr w:rsidR="001A63C6" w:rsidRPr="00416070" w:rsidTr="005C0614">
        <w:trPr>
          <w:trHeight w:val="287"/>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31" w:name="_Toc336338123"/>
            <w:bookmarkStart w:id="532" w:name="_Toc352234194"/>
            <w:r w:rsidRPr="005C0614">
              <w:rPr>
                <w:rFonts w:ascii="Tahoma" w:hAnsi="Tahoma" w:cs="Tahoma"/>
                <w:b w:val="0"/>
                <w:sz w:val="14"/>
                <w:szCs w:val="14"/>
              </w:rPr>
              <w:t>Windows Essential Business Server 2008 CAL Suite (50 clientes)</w:t>
            </w:r>
            <w:bookmarkEnd w:id="531"/>
            <w:bookmarkEnd w:id="532"/>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w:t>
            </w:r>
          </w:p>
        </w:tc>
      </w:tr>
      <w:tr w:rsidR="00B33D0E" w:rsidRPr="00416070" w:rsidTr="005C0614">
        <w:trPr>
          <w:trHeight w:val="287"/>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533" w:name="_Toc336338124"/>
            <w:bookmarkStart w:id="534" w:name="_Toc352234195"/>
            <w:r w:rsidRPr="005C0614">
              <w:rPr>
                <w:rFonts w:ascii="Tahoma" w:hAnsi="Tahoma" w:cs="Tahoma"/>
                <w:b w:val="0"/>
                <w:sz w:val="14"/>
                <w:szCs w:val="14"/>
              </w:rPr>
              <w:t>Windows Essential Business Server 2008 Premium</w:t>
            </w:r>
            <w:bookmarkEnd w:id="533"/>
            <w:bookmarkEnd w:id="534"/>
            <w:r w:rsidRPr="005C0614">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95_EBS_2008" w:history="1">
              <w:r w:rsidR="005B0EC7" w:rsidRPr="00B01D7E">
                <w:rPr>
                  <w:rStyle w:val="Hyperlink"/>
                  <w:rFonts w:cs="Tahoma"/>
                  <w:b/>
                  <w:sz w:val="13"/>
                  <w:szCs w:val="13"/>
                </w:rPr>
                <w:t>97</w:t>
              </w:r>
            </w:hyperlink>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87"/>
        </w:trPr>
        <w:tc>
          <w:tcPr>
            <w:tcW w:w="2734" w:type="dxa"/>
            <w:gridSpan w:val="2"/>
            <w:tcBorders>
              <w:bottom w:val="single" w:sz="4" w:space="0" w:color="auto"/>
            </w:tcBorders>
            <w:shd w:val="clear" w:color="auto" w:fill="FFFFFF"/>
            <w:vAlign w:val="center"/>
          </w:tcPr>
          <w:p w:rsidR="001A63C6" w:rsidRPr="005C0614" w:rsidRDefault="001A63C6" w:rsidP="005C0614">
            <w:pPr>
              <w:pStyle w:val="Heading2"/>
              <w:spacing w:before="20" w:after="20"/>
              <w:ind w:left="0"/>
              <w:rPr>
                <w:rFonts w:ascii="Tahoma" w:hAnsi="Tahoma" w:cs="Tahoma"/>
                <w:b w:val="0"/>
                <w:sz w:val="14"/>
                <w:szCs w:val="14"/>
              </w:rPr>
            </w:pPr>
            <w:bookmarkStart w:id="535" w:name="_Toc336338125"/>
            <w:bookmarkStart w:id="536" w:name="_Toc352234196"/>
            <w:r w:rsidRPr="005C0614">
              <w:rPr>
                <w:rFonts w:ascii="Tahoma" w:hAnsi="Tahoma" w:cs="Tahoma"/>
                <w:b w:val="0"/>
                <w:sz w:val="14"/>
                <w:szCs w:val="14"/>
              </w:rPr>
              <w:t>Pacote de CALs do Windows Essential Business Server 2008 para Dispositivos ou Usuários Premium</w:t>
            </w:r>
            <w:bookmarkEnd w:id="535"/>
            <w:bookmarkEnd w:id="536"/>
            <w:r w:rsidRPr="005C0614">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B01D7E" w:rsidRDefault="001A63C6" w:rsidP="00CE54BA">
            <w:pPr>
              <w:pStyle w:val="TableText"/>
              <w:widowControl w:val="0"/>
              <w:spacing w:before="20" w:after="20"/>
              <w:rPr>
                <w:rStyle w:val="EndnoteReference"/>
                <w:rFonts w:cs="Tahoma"/>
                <w:sz w:val="13"/>
                <w:szCs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r>
      <w:tr w:rsidR="00B33D0E" w:rsidRPr="00416070" w:rsidTr="005C0614">
        <w:trPr>
          <w:trHeight w:val="287"/>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537" w:name="_Toc336338126"/>
            <w:bookmarkStart w:id="538" w:name="_Toc352234197"/>
            <w:r w:rsidRPr="005C0614">
              <w:rPr>
                <w:rFonts w:ascii="Tahoma" w:hAnsi="Tahoma" w:cs="Tahoma"/>
                <w:b w:val="0"/>
                <w:sz w:val="14"/>
                <w:szCs w:val="14"/>
              </w:rPr>
              <w:t>Windows Essential Business Server 2008 CAL Suite para Usuários ou Dispositivos Premium (5 clientes)</w:t>
            </w:r>
            <w:bookmarkEnd w:id="537"/>
            <w:bookmarkEnd w:id="538"/>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rFonts w:cs="Tahoma"/>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w:t>
            </w:r>
          </w:p>
        </w:tc>
      </w:tr>
      <w:tr w:rsidR="00B33D0E" w:rsidRPr="00416070" w:rsidTr="005C0614">
        <w:trPr>
          <w:trHeight w:val="287"/>
        </w:trPr>
        <w:tc>
          <w:tcPr>
            <w:tcW w:w="2734" w:type="dxa"/>
            <w:gridSpan w:val="2"/>
            <w:tcBorders>
              <w:bottom w:val="single" w:sz="4" w:space="0" w:color="auto"/>
            </w:tcBorders>
            <w:shd w:val="clear" w:color="auto" w:fill="FFFFFF"/>
            <w:vAlign w:val="center"/>
          </w:tcPr>
          <w:p w:rsidR="001A63C6" w:rsidRPr="005C0614" w:rsidRDefault="001A63C6" w:rsidP="005C0614">
            <w:pPr>
              <w:pStyle w:val="Heading2"/>
              <w:spacing w:before="20" w:after="20"/>
              <w:ind w:left="0"/>
              <w:rPr>
                <w:rFonts w:ascii="Tahoma" w:hAnsi="Tahoma" w:cs="Tahoma"/>
                <w:b w:val="0"/>
                <w:sz w:val="14"/>
                <w:szCs w:val="14"/>
              </w:rPr>
            </w:pPr>
            <w:bookmarkStart w:id="539" w:name="_Toc336338127"/>
            <w:bookmarkStart w:id="540" w:name="_Toc352234198"/>
            <w:r w:rsidRPr="005C0614">
              <w:rPr>
                <w:rFonts w:ascii="Tahoma" w:hAnsi="Tahoma" w:cs="Tahoma"/>
                <w:b w:val="0"/>
                <w:sz w:val="14"/>
                <w:szCs w:val="14"/>
              </w:rPr>
              <w:t>Windows Essential Business Server 2008 CAL Suite para Usuários ou Dispositivos Premium (20 clientes)</w:t>
            </w:r>
            <w:bookmarkEnd w:id="539"/>
            <w:bookmarkEnd w:id="540"/>
          </w:p>
        </w:tc>
        <w:tc>
          <w:tcPr>
            <w:tcW w:w="450" w:type="dxa"/>
            <w:tcBorders>
              <w:bottom w:val="single" w:sz="4" w:space="0" w:color="auto"/>
            </w:tcBorders>
            <w:shd w:val="clear" w:color="auto" w:fill="FFFFFF"/>
            <w:vAlign w:val="center"/>
          </w:tcPr>
          <w:p w:rsidR="001A63C6" w:rsidRPr="00B01D7E" w:rsidRDefault="001A63C6" w:rsidP="00CE54BA">
            <w:pPr>
              <w:pStyle w:val="TableText"/>
              <w:widowControl w:val="0"/>
              <w:spacing w:before="20" w:after="20"/>
              <w:rPr>
                <w:rStyle w:val="EndnoteReference"/>
                <w:rFonts w:cs="Tahoma"/>
                <w:sz w:val="13"/>
                <w:szCs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w:t>
            </w:r>
          </w:p>
        </w:tc>
      </w:tr>
      <w:tr w:rsidR="00B33D0E" w:rsidRPr="00416070" w:rsidTr="005C0614">
        <w:trPr>
          <w:trHeight w:val="287"/>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541" w:name="_Toc336338128"/>
            <w:bookmarkStart w:id="542" w:name="_Toc352234199"/>
            <w:r w:rsidRPr="005C0614">
              <w:rPr>
                <w:rFonts w:ascii="Tahoma" w:hAnsi="Tahoma" w:cs="Tahoma"/>
                <w:b w:val="0"/>
                <w:sz w:val="14"/>
                <w:szCs w:val="14"/>
              </w:rPr>
              <w:t>Windows Essential Business Server 2008 CAL Suite para Usuários ou Dispositivos Premium (50 clientes)</w:t>
            </w:r>
            <w:bookmarkEnd w:id="541"/>
            <w:bookmarkEnd w:id="542"/>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LO</w:t>
            </w:r>
          </w:p>
        </w:tc>
      </w:tr>
      <w:tr w:rsidR="00B33D0E" w:rsidRPr="00416070" w:rsidTr="005C0614">
        <w:trPr>
          <w:trHeight w:val="145"/>
        </w:trPr>
        <w:tc>
          <w:tcPr>
            <w:tcW w:w="2734" w:type="dxa"/>
            <w:gridSpan w:val="2"/>
            <w:tcBorders>
              <w:bottom w:val="single" w:sz="4" w:space="0" w:color="auto"/>
            </w:tcBorders>
            <w:shd w:val="clear" w:color="auto" w:fill="FFFFFF"/>
            <w:vAlign w:val="center"/>
          </w:tcPr>
          <w:p w:rsidR="001A63C6" w:rsidRPr="005C0614" w:rsidRDefault="001A63C6" w:rsidP="005C0614">
            <w:pPr>
              <w:pStyle w:val="Heading2"/>
              <w:spacing w:before="20" w:after="20"/>
              <w:ind w:left="0"/>
              <w:rPr>
                <w:rFonts w:ascii="Tahoma" w:hAnsi="Tahoma" w:cs="Tahoma"/>
                <w:b w:val="0"/>
                <w:sz w:val="14"/>
                <w:szCs w:val="14"/>
              </w:rPr>
            </w:pPr>
            <w:bookmarkStart w:id="543" w:name="_Toc336338129"/>
            <w:bookmarkStart w:id="544" w:name="_Toc352234200"/>
            <w:r w:rsidRPr="005C0614">
              <w:rPr>
                <w:rFonts w:ascii="Tahoma" w:hAnsi="Tahoma" w:cs="Tahoma"/>
                <w:b w:val="0"/>
                <w:sz w:val="14"/>
                <w:szCs w:val="14"/>
              </w:rPr>
              <w:t>Windows HPC Server 2008 R2 Suite</w:t>
            </w:r>
            <w:bookmarkEnd w:id="543"/>
            <w:bookmarkEnd w:id="544"/>
            <w:r w:rsidRPr="005C0614">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B01D7E" w:rsidRDefault="008719E7" w:rsidP="00CE54BA">
            <w:pPr>
              <w:pStyle w:val="TableText"/>
              <w:widowControl w:val="0"/>
              <w:spacing w:before="20" w:after="20"/>
              <w:rPr>
                <w:b/>
                <w:sz w:val="13"/>
                <w:szCs w:val="13"/>
                <w:u w:val="single"/>
              </w:rPr>
            </w:pPr>
            <w:hyperlink w:anchor="Srv_106HPCServer2008_R2Suite" w:history="1">
              <w:r w:rsidR="005B0EC7" w:rsidRPr="00B01D7E">
                <w:rPr>
                  <w:rStyle w:val="Hyperlink"/>
                  <w:b/>
                  <w:sz w:val="13"/>
                  <w:szCs w:val="13"/>
                </w:rPr>
                <w:t>98</w:t>
              </w:r>
            </w:hyperlink>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FFFFF"/>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545" w:name="_Toc352234201"/>
            <w:r w:rsidRPr="005C0614">
              <w:rPr>
                <w:rFonts w:ascii="Tahoma" w:hAnsi="Tahoma" w:cs="Tahoma"/>
                <w:b w:val="0"/>
                <w:sz w:val="14"/>
                <w:szCs w:val="14"/>
              </w:rPr>
              <w:t>Complemento do Windows Intune para System Center Configuration Manager e</w:t>
            </w:r>
            <w:r w:rsidR="00DE1733">
              <w:rPr>
                <w:rFonts w:ascii="Tahoma" w:hAnsi="Tahoma" w:cs="Tahoma"/>
                <w:sz w:val="14"/>
                <w:szCs w:val="14"/>
              </w:rPr>
              <w:t> </w:t>
            </w:r>
            <w:r w:rsidRPr="005C0614">
              <w:rPr>
                <w:rFonts w:ascii="Tahoma" w:hAnsi="Tahoma" w:cs="Tahoma"/>
                <w:b w:val="0"/>
                <w:sz w:val="14"/>
                <w:szCs w:val="14"/>
              </w:rPr>
              <w:t>System Center Endppoint Protection (por</w:t>
            </w:r>
            <w:r w:rsidR="00DE1733">
              <w:rPr>
                <w:rFonts w:ascii="Tahoma" w:hAnsi="Tahoma" w:cs="Tahoma"/>
                <w:sz w:val="14"/>
                <w:szCs w:val="14"/>
              </w:rPr>
              <w:t> </w:t>
            </w:r>
            <w:r w:rsidRPr="005C0614">
              <w:rPr>
                <w:rFonts w:ascii="Tahoma" w:hAnsi="Tahoma" w:cs="Tahoma"/>
                <w:b w:val="0"/>
                <w:sz w:val="14"/>
                <w:szCs w:val="14"/>
              </w:rPr>
              <w:t>usuário)</w:t>
            </w:r>
            <w:bookmarkEnd w:id="545"/>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b/>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46" w:name="_Toc352234202"/>
            <w:r w:rsidRPr="005C0614">
              <w:rPr>
                <w:rFonts w:ascii="Tahoma" w:hAnsi="Tahoma" w:cs="Tahoma"/>
                <w:b w:val="0"/>
                <w:sz w:val="14"/>
                <w:szCs w:val="14"/>
              </w:rPr>
              <w:t>Windows Intune (por usuário)</w:t>
            </w:r>
            <w:bookmarkEnd w:id="546"/>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b/>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ABF8F"/>
            <w:vAlign w:val="center"/>
          </w:tcPr>
          <w:p w:rsidR="001A63C6" w:rsidRPr="005C0614" w:rsidRDefault="001A63C6" w:rsidP="005C0614">
            <w:pPr>
              <w:pStyle w:val="Heading2"/>
              <w:spacing w:before="20" w:after="20"/>
              <w:ind w:left="0"/>
              <w:rPr>
                <w:rFonts w:ascii="Tahoma" w:hAnsi="Tahoma" w:cs="Tahoma"/>
                <w:b w:val="0"/>
                <w:sz w:val="14"/>
                <w:szCs w:val="14"/>
              </w:rPr>
            </w:pPr>
            <w:bookmarkStart w:id="547" w:name="_Toc336338132"/>
            <w:bookmarkStart w:id="548" w:name="_Toc341193035"/>
            <w:bookmarkStart w:id="549" w:name="_Toc352234203"/>
            <w:r w:rsidRPr="005C0614">
              <w:rPr>
                <w:rFonts w:ascii="Tahoma" w:hAnsi="Tahoma" w:cs="Tahoma"/>
                <w:b w:val="0"/>
                <w:sz w:val="14"/>
                <w:szCs w:val="14"/>
              </w:rPr>
              <w:t>Armazenamento Extra de 1 GB de SL</w:t>
            </w:r>
            <w:r w:rsidR="00DE1733">
              <w:rPr>
                <w:rFonts w:ascii="Tahoma" w:hAnsi="Tahoma" w:cs="Tahoma"/>
                <w:sz w:val="14"/>
                <w:szCs w:val="14"/>
              </w:rPr>
              <w:t> </w:t>
            </w:r>
            <w:r w:rsidRPr="005C0614">
              <w:rPr>
                <w:rFonts w:ascii="Tahoma" w:hAnsi="Tahoma" w:cs="Tahoma"/>
                <w:b w:val="0"/>
                <w:sz w:val="14"/>
                <w:szCs w:val="14"/>
              </w:rPr>
              <w:t>Complementar do Usuário do Windows</w:t>
            </w:r>
            <w:r w:rsidR="00DE1733">
              <w:rPr>
                <w:rFonts w:ascii="Tahoma" w:hAnsi="Tahoma" w:cs="Tahoma"/>
                <w:sz w:val="14"/>
                <w:szCs w:val="14"/>
              </w:rPr>
              <w:t> </w:t>
            </w:r>
            <w:r w:rsidRPr="005C0614">
              <w:rPr>
                <w:rFonts w:ascii="Tahoma" w:hAnsi="Tahoma" w:cs="Tahoma"/>
                <w:b w:val="0"/>
                <w:sz w:val="14"/>
                <w:szCs w:val="14"/>
              </w:rPr>
              <w:t>Intune</w:t>
            </w:r>
            <w:bookmarkEnd w:id="547"/>
            <w:bookmarkEnd w:id="548"/>
            <w:bookmarkEnd w:id="549"/>
          </w:p>
        </w:tc>
        <w:tc>
          <w:tcPr>
            <w:tcW w:w="450" w:type="dxa"/>
            <w:tcBorders>
              <w:bottom w:val="single" w:sz="4" w:space="0" w:color="auto"/>
            </w:tcBorders>
            <w:shd w:val="clear" w:color="auto" w:fill="FABF8F"/>
            <w:vAlign w:val="center"/>
          </w:tcPr>
          <w:p w:rsidR="001A63C6" w:rsidRPr="00B01D7E" w:rsidRDefault="001A63C6" w:rsidP="00CE54BA">
            <w:pPr>
              <w:pStyle w:val="TableText"/>
              <w:widowControl w:val="0"/>
              <w:spacing w:before="20" w:after="20"/>
              <w:rPr>
                <w:b/>
                <w:sz w:val="13"/>
                <w:szCs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ABF8F"/>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50" w:name="_Toc336338133"/>
            <w:bookmarkStart w:id="551" w:name="_Toc352234204"/>
            <w:r w:rsidRPr="005C0614">
              <w:rPr>
                <w:rFonts w:ascii="Tahoma" w:hAnsi="Tahoma" w:cs="Tahoma"/>
                <w:b w:val="0"/>
                <w:sz w:val="14"/>
                <w:szCs w:val="14"/>
              </w:rPr>
              <w:t>Windows MultiPoint Server 2012 Standard</w:t>
            </w:r>
            <w:bookmarkEnd w:id="550"/>
            <w:bookmarkEnd w:id="551"/>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sz w:val="13"/>
                <w:szCs w:val="13"/>
                <w:u w:val="single"/>
              </w:rPr>
            </w:pPr>
            <w:hyperlink w:anchor="_99_Windows_Multipoint" w:history="1">
              <w:r w:rsidR="005B0EC7" w:rsidRPr="00B01D7E">
                <w:rPr>
                  <w:rStyle w:val="Hyperlink"/>
                  <w:b/>
                  <w:sz w:val="13"/>
                  <w:szCs w:val="13"/>
                </w:rPr>
                <w:t>99</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4B083" w:themeFill="accent2" w:themeFillTint="99"/>
            <w:vAlign w:val="center"/>
          </w:tcPr>
          <w:p w:rsidR="001A63C6" w:rsidRPr="005C0614" w:rsidRDefault="001A63C6" w:rsidP="005C0614">
            <w:pPr>
              <w:pStyle w:val="Heading2"/>
              <w:spacing w:before="20" w:after="20"/>
              <w:ind w:left="0"/>
              <w:rPr>
                <w:rFonts w:ascii="Tahoma" w:hAnsi="Tahoma" w:cs="Tahoma"/>
                <w:b w:val="0"/>
                <w:sz w:val="14"/>
                <w:szCs w:val="14"/>
              </w:rPr>
            </w:pPr>
            <w:bookmarkStart w:id="552" w:name="_Toc336338134"/>
            <w:bookmarkStart w:id="553" w:name="_Toc352234205"/>
            <w:r w:rsidRPr="005C0614">
              <w:rPr>
                <w:rFonts w:ascii="Tahoma" w:hAnsi="Tahoma" w:cs="Tahoma"/>
                <w:b w:val="0"/>
                <w:sz w:val="14"/>
                <w:szCs w:val="14"/>
              </w:rPr>
              <w:t>Windows MultiPoint Server 2012 Premium</w:t>
            </w:r>
            <w:bookmarkEnd w:id="552"/>
            <w:bookmarkEnd w:id="553"/>
          </w:p>
        </w:tc>
        <w:tc>
          <w:tcPr>
            <w:tcW w:w="450" w:type="dxa"/>
            <w:tcBorders>
              <w:bottom w:val="single" w:sz="4" w:space="0" w:color="auto"/>
            </w:tcBorders>
            <w:shd w:val="clear" w:color="auto" w:fill="F4B083" w:themeFill="accent2" w:themeFillTint="99"/>
            <w:vAlign w:val="center"/>
          </w:tcPr>
          <w:p w:rsidR="001A63C6" w:rsidRPr="00B01D7E" w:rsidRDefault="008719E7" w:rsidP="00CE54BA">
            <w:pPr>
              <w:pStyle w:val="TableText"/>
              <w:widowControl w:val="0"/>
              <w:spacing w:before="20" w:after="20"/>
              <w:rPr>
                <w:b/>
                <w:sz w:val="13"/>
                <w:szCs w:val="13"/>
                <w:u w:val="single"/>
              </w:rPr>
            </w:pPr>
            <w:hyperlink w:anchor="Srv_107WinMultipointSvr2011Premium" w:history="1">
              <w:r w:rsidR="005B0EC7" w:rsidRPr="00B01D7E">
                <w:rPr>
                  <w:rStyle w:val="Hyperlink"/>
                  <w:b/>
                  <w:sz w:val="13"/>
                  <w:szCs w:val="13"/>
                </w:rPr>
                <w:t>100</w:t>
              </w:r>
            </w:hyperlink>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54" w:name="_Toc336338135"/>
            <w:bookmarkStart w:id="555" w:name="_Toc352234206"/>
            <w:r w:rsidRPr="005C0614">
              <w:rPr>
                <w:rFonts w:ascii="Tahoma" w:hAnsi="Tahoma" w:cs="Tahoma"/>
                <w:b w:val="0"/>
                <w:sz w:val="14"/>
                <w:szCs w:val="14"/>
              </w:rPr>
              <w:t>CAL do Windows MultiPoint Server 2012</w:t>
            </w:r>
            <w:bookmarkEnd w:id="554"/>
            <w:bookmarkEnd w:id="555"/>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b/>
                <w:sz w:val="13"/>
                <w:szCs w:val="13"/>
                <w:u w:val="single"/>
              </w:rPr>
            </w:pPr>
            <w:hyperlink w:anchor="Srv_108WinMultipointSvr2011CAL" w:history="1">
              <w:r w:rsidR="005B0EC7" w:rsidRPr="00B01D7E">
                <w:rPr>
                  <w:rStyle w:val="Hyperlink"/>
                  <w:b/>
                  <w:sz w:val="13"/>
                  <w:szCs w:val="13"/>
                </w:rPr>
                <w:t>101</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4B083" w:themeFill="accent2" w:themeFillTint="99"/>
            <w:vAlign w:val="center"/>
          </w:tcPr>
          <w:p w:rsidR="001A63C6" w:rsidRPr="005C0614" w:rsidRDefault="001A63C6" w:rsidP="005C0614">
            <w:pPr>
              <w:pStyle w:val="Heading2"/>
              <w:spacing w:before="20" w:after="20"/>
              <w:ind w:left="0"/>
              <w:rPr>
                <w:rFonts w:ascii="Tahoma" w:hAnsi="Tahoma" w:cs="Tahoma"/>
                <w:b w:val="0"/>
                <w:sz w:val="14"/>
                <w:szCs w:val="14"/>
              </w:rPr>
            </w:pPr>
            <w:bookmarkStart w:id="556" w:name="_Toc336338136"/>
            <w:bookmarkStart w:id="557" w:name="_Toc352234207"/>
            <w:r w:rsidRPr="005C0614">
              <w:rPr>
                <w:rFonts w:ascii="Tahoma" w:hAnsi="Tahoma" w:cs="Tahoma"/>
                <w:b w:val="0"/>
                <w:sz w:val="14"/>
                <w:szCs w:val="14"/>
              </w:rPr>
              <w:t>CAL do Windows MultiPoint Server 2012 com CAL do Windows Server 2012</w:t>
            </w:r>
            <w:bookmarkEnd w:id="556"/>
            <w:bookmarkEnd w:id="557"/>
          </w:p>
        </w:tc>
        <w:tc>
          <w:tcPr>
            <w:tcW w:w="450" w:type="dxa"/>
            <w:tcBorders>
              <w:bottom w:val="single" w:sz="4" w:space="0" w:color="auto"/>
            </w:tcBorders>
            <w:shd w:val="clear" w:color="auto" w:fill="F4B083" w:themeFill="accent2" w:themeFillTint="99"/>
            <w:vAlign w:val="center"/>
          </w:tcPr>
          <w:p w:rsidR="001A63C6" w:rsidRPr="00B01D7E" w:rsidRDefault="001A63C6" w:rsidP="00CE54BA">
            <w:pPr>
              <w:pStyle w:val="TableText"/>
              <w:widowControl w:val="0"/>
              <w:spacing w:before="20" w:after="20"/>
              <w:rPr>
                <w:b/>
                <w:sz w:val="13"/>
                <w:szCs w:val="13"/>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58" w:name="_Toc336338137"/>
            <w:bookmarkStart w:id="559" w:name="_Toc352234208"/>
            <w:r w:rsidRPr="005C0614">
              <w:rPr>
                <w:rFonts w:ascii="Tahoma" w:hAnsi="Tahoma" w:cs="Tahoma"/>
                <w:b w:val="0"/>
                <w:sz w:val="14"/>
                <w:szCs w:val="14"/>
              </w:rPr>
              <w:t>Windows MultiPoint Server 2012 Premium com Windows MultiPoint Server 2012 (CAL) (5 Clientes)</w:t>
            </w:r>
            <w:bookmarkEnd w:id="558"/>
            <w:bookmarkEnd w:id="559"/>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b/>
                <w:sz w:val="13"/>
                <w:szCs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63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LO/OV</w:t>
            </w:r>
          </w:p>
        </w:tc>
      </w:tr>
      <w:tr w:rsidR="00B33D0E" w:rsidRPr="00416070" w:rsidTr="005C0614">
        <w:trPr>
          <w:trHeight w:val="145"/>
        </w:trPr>
        <w:tc>
          <w:tcPr>
            <w:tcW w:w="2734" w:type="dxa"/>
            <w:gridSpan w:val="2"/>
            <w:tcBorders>
              <w:bottom w:val="single" w:sz="4" w:space="0" w:color="auto"/>
            </w:tcBorders>
            <w:shd w:val="clear" w:color="auto" w:fill="F4B083" w:themeFill="accent2" w:themeFillTint="99"/>
            <w:vAlign w:val="center"/>
          </w:tcPr>
          <w:p w:rsidR="001A63C6" w:rsidRPr="005C0614" w:rsidRDefault="001A63C6" w:rsidP="005C0614">
            <w:pPr>
              <w:pStyle w:val="Heading2"/>
              <w:spacing w:before="20" w:after="20"/>
              <w:ind w:left="0"/>
              <w:rPr>
                <w:rFonts w:ascii="Tahoma" w:hAnsi="Tahoma" w:cs="Tahoma"/>
                <w:b w:val="0"/>
                <w:sz w:val="14"/>
                <w:szCs w:val="14"/>
              </w:rPr>
            </w:pPr>
            <w:bookmarkStart w:id="560" w:name="_Toc336338138"/>
            <w:bookmarkStart w:id="561" w:name="_Toc352234209"/>
            <w:r w:rsidRPr="005C0614">
              <w:rPr>
                <w:rFonts w:ascii="Tahoma" w:hAnsi="Tahoma" w:cs="Tahoma"/>
                <w:b w:val="0"/>
                <w:sz w:val="14"/>
                <w:szCs w:val="14"/>
              </w:rPr>
              <w:t>Windows MultiPoint Server 2012 Premium com Windows MultiPoint Server 2012 (CAL) (5 Clientes) com CAL do Windows Server 2012 (5 Clientes)</w:t>
            </w:r>
            <w:bookmarkEnd w:id="560"/>
            <w:bookmarkEnd w:id="561"/>
          </w:p>
        </w:tc>
        <w:tc>
          <w:tcPr>
            <w:tcW w:w="450" w:type="dxa"/>
            <w:tcBorders>
              <w:bottom w:val="single" w:sz="4" w:space="0" w:color="auto"/>
            </w:tcBorders>
            <w:shd w:val="clear" w:color="auto" w:fill="F4B083" w:themeFill="accent2" w:themeFillTint="99"/>
            <w:vAlign w:val="center"/>
          </w:tcPr>
          <w:p w:rsidR="001A63C6" w:rsidRPr="00B01D7E" w:rsidRDefault="001A63C6" w:rsidP="00CE54BA">
            <w:pPr>
              <w:pStyle w:val="TableText"/>
              <w:widowControl w:val="0"/>
              <w:spacing w:before="20" w:after="20"/>
              <w:rPr>
                <w:b/>
                <w:sz w:val="13"/>
                <w:szCs w:val="13"/>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sz w:val="13"/>
              </w:rPr>
              <w:t>A</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LO/OV</w:t>
            </w: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62" w:name="_Toc336338139"/>
            <w:bookmarkStart w:id="563" w:name="_Toc352234210"/>
            <w:r w:rsidRPr="005C0614">
              <w:rPr>
                <w:rFonts w:ascii="Tahoma" w:hAnsi="Tahoma" w:cs="Tahoma"/>
                <w:b w:val="0"/>
                <w:sz w:val="14"/>
                <w:szCs w:val="14"/>
              </w:rPr>
              <w:t>Windows Server™ 2008 R2 HPC Edition</w:t>
            </w:r>
            <w:bookmarkEnd w:id="562"/>
            <w:bookmarkEnd w:id="563"/>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Srv_110WinSvr08R2HPC" w:history="1">
              <w:r w:rsidR="005B0EC7" w:rsidRPr="00B01D7E">
                <w:rPr>
                  <w:rStyle w:val="Hyperlink"/>
                  <w:b/>
                  <w:sz w:val="13"/>
                  <w:szCs w:val="13"/>
                </w:rPr>
                <w:t>102</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sz w:val="13"/>
              </w:rPr>
              <w:t>09/10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4B083" w:themeFill="accent2" w:themeFillTint="99"/>
            <w:vAlign w:val="center"/>
          </w:tcPr>
          <w:p w:rsidR="001A63C6" w:rsidRPr="005C0614" w:rsidRDefault="001A63C6" w:rsidP="005C0614">
            <w:pPr>
              <w:pStyle w:val="Heading2"/>
              <w:spacing w:before="20" w:after="20"/>
              <w:ind w:left="0"/>
              <w:rPr>
                <w:rFonts w:ascii="Tahoma" w:hAnsi="Tahoma" w:cs="Tahoma"/>
                <w:b w:val="0"/>
                <w:sz w:val="14"/>
                <w:szCs w:val="14"/>
              </w:rPr>
            </w:pPr>
            <w:bookmarkStart w:id="564" w:name="_Toc336338140"/>
            <w:bookmarkStart w:id="565" w:name="_Toc352234211"/>
            <w:r w:rsidRPr="005C0614">
              <w:rPr>
                <w:rFonts w:ascii="Tahoma" w:hAnsi="Tahoma" w:cs="Tahoma"/>
                <w:b w:val="0"/>
                <w:sz w:val="14"/>
                <w:szCs w:val="14"/>
              </w:rPr>
              <w:t>Windows Server™ 2008 R2 Enterprise</w:t>
            </w:r>
            <w:bookmarkEnd w:id="564"/>
            <w:bookmarkEnd w:id="565"/>
          </w:p>
        </w:tc>
        <w:tc>
          <w:tcPr>
            <w:tcW w:w="450" w:type="dxa"/>
            <w:tcBorders>
              <w:bottom w:val="single" w:sz="4" w:space="0" w:color="auto"/>
            </w:tcBorders>
            <w:shd w:val="clear" w:color="auto" w:fill="F4B083" w:themeFill="accent2" w:themeFillTint="99"/>
            <w:vAlign w:val="center"/>
          </w:tcPr>
          <w:p w:rsidR="001A63C6" w:rsidRPr="00B01D7E" w:rsidRDefault="008719E7" w:rsidP="00CE54BA">
            <w:pPr>
              <w:pStyle w:val="TableText"/>
              <w:widowControl w:val="0"/>
              <w:spacing w:before="20" w:after="20"/>
              <w:rPr>
                <w:rStyle w:val="EndnoteReference"/>
                <w:rFonts w:cs="Tahoma"/>
                <w:b w:val="0"/>
                <w:color w:val="0000FF"/>
                <w:sz w:val="13"/>
                <w:szCs w:val="13"/>
                <w:u w:val="single"/>
              </w:rPr>
            </w:pPr>
            <w:hyperlink w:anchor="_103_Windows_Server" w:history="1">
              <w:r w:rsidR="005B0EC7" w:rsidRPr="00B01D7E">
                <w:rPr>
                  <w:rStyle w:val="Hyperlink"/>
                  <w:b/>
                  <w:sz w:val="13"/>
                  <w:szCs w:val="13"/>
                </w:rPr>
                <w:t>103</w:t>
              </w:r>
            </w:hyperlink>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66" w:name="_Toc336338141"/>
            <w:bookmarkStart w:id="567" w:name="_Toc352234212"/>
            <w:r w:rsidRPr="005C0614">
              <w:rPr>
                <w:rFonts w:ascii="Tahoma" w:hAnsi="Tahoma" w:cs="Tahoma"/>
                <w:b w:val="0"/>
                <w:sz w:val="14"/>
                <w:szCs w:val="14"/>
              </w:rPr>
              <w:t>Windows Server™ 2008 R2 Itanium Based Systems</w:t>
            </w:r>
            <w:bookmarkEnd w:id="566"/>
            <w:bookmarkEnd w:id="567"/>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sz w:val="13"/>
                <w:szCs w:val="13"/>
                <w:u w:val="single"/>
              </w:rPr>
            </w:pPr>
            <w:hyperlink w:anchor="Srv_1132WinSvr08R2Itanium" w:history="1">
              <w:r w:rsidR="005B0EC7" w:rsidRPr="00B01D7E">
                <w:rPr>
                  <w:rStyle w:val="Hyperlink"/>
                  <w:b/>
                  <w:sz w:val="13"/>
                  <w:szCs w:val="13"/>
                </w:rPr>
                <w:t>104</w:t>
              </w:r>
            </w:hyperlink>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B33D0E" w:rsidRPr="00416070" w:rsidTr="005C0614">
        <w:trPr>
          <w:trHeight w:val="145"/>
        </w:trPr>
        <w:tc>
          <w:tcPr>
            <w:tcW w:w="2734" w:type="dxa"/>
            <w:gridSpan w:val="2"/>
            <w:tcBorders>
              <w:bottom w:val="single" w:sz="4" w:space="0" w:color="auto"/>
            </w:tcBorders>
            <w:shd w:val="clear" w:color="auto" w:fill="F4B083" w:themeFill="accent2" w:themeFillTint="99"/>
            <w:vAlign w:val="center"/>
          </w:tcPr>
          <w:p w:rsidR="001A63C6" w:rsidRPr="005C0614" w:rsidRDefault="001A63C6" w:rsidP="005C0614">
            <w:pPr>
              <w:pStyle w:val="Heading2"/>
              <w:spacing w:before="20" w:after="20"/>
              <w:ind w:left="0"/>
              <w:rPr>
                <w:rFonts w:ascii="Tahoma" w:hAnsi="Tahoma" w:cs="Tahoma"/>
                <w:b w:val="0"/>
                <w:sz w:val="14"/>
                <w:szCs w:val="14"/>
              </w:rPr>
            </w:pPr>
            <w:bookmarkStart w:id="568" w:name="_Toc336338142"/>
            <w:bookmarkStart w:id="569" w:name="_Toc352234213"/>
            <w:r w:rsidRPr="005C0614">
              <w:rPr>
                <w:rFonts w:ascii="Tahoma" w:hAnsi="Tahoma" w:cs="Tahoma"/>
                <w:b w:val="0"/>
                <w:sz w:val="14"/>
                <w:szCs w:val="14"/>
              </w:rPr>
              <w:t>CAL do Windows Server™ 2012 (Dispositivo e Usuário)</w:t>
            </w:r>
            <w:bookmarkEnd w:id="568"/>
            <w:bookmarkEnd w:id="569"/>
          </w:p>
        </w:tc>
        <w:tc>
          <w:tcPr>
            <w:tcW w:w="450" w:type="dxa"/>
            <w:tcBorders>
              <w:bottom w:val="single" w:sz="4" w:space="0" w:color="auto"/>
            </w:tcBorders>
            <w:shd w:val="clear" w:color="auto" w:fill="F4B083" w:themeFill="accent2" w:themeFillTint="99"/>
            <w:vAlign w:val="center"/>
          </w:tcPr>
          <w:p w:rsidR="001A63C6" w:rsidRPr="00B01D7E" w:rsidRDefault="008719E7" w:rsidP="00CE54BA">
            <w:pPr>
              <w:pStyle w:val="TableText"/>
              <w:widowControl w:val="0"/>
              <w:spacing w:before="20" w:after="20"/>
              <w:rPr>
                <w:b/>
                <w:sz w:val="13"/>
                <w:szCs w:val="13"/>
                <w:u w:val="single"/>
              </w:rPr>
            </w:pPr>
            <w:hyperlink w:anchor="_116_Windows_Server" w:history="1">
              <w:r w:rsidR="005B0EC7" w:rsidRPr="00B01D7E">
                <w:rPr>
                  <w:rStyle w:val="Hyperlink"/>
                  <w:b/>
                  <w:sz w:val="13"/>
                  <w:szCs w:val="13"/>
                </w:rPr>
                <w:t>10</w:t>
              </w:r>
            </w:hyperlink>
            <w:r w:rsidR="005B0EC7" w:rsidRPr="00B01D7E">
              <w:rPr>
                <w:rStyle w:val="Hyperlink"/>
                <w:b/>
                <w:sz w:val="13"/>
                <w:szCs w:val="13"/>
              </w:rPr>
              <w:t>5</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70" w:name="_Toc336338143"/>
            <w:bookmarkStart w:id="571" w:name="_Toc352234214"/>
            <w:r w:rsidRPr="005C0614">
              <w:rPr>
                <w:rFonts w:ascii="Tahoma" w:hAnsi="Tahoma" w:cs="Tahoma"/>
                <w:b w:val="0"/>
                <w:sz w:val="14"/>
                <w:szCs w:val="14"/>
              </w:rPr>
              <w:t>Windows Server™ 2012 Datacenter</w:t>
            </w:r>
            <w:bookmarkEnd w:id="570"/>
            <w:bookmarkEnd w:id="571"/>
          </w:p>
        </w:tc>
        <w:tc>
          <w:tcPr>
            <w:tcW w:w="450" w:type="dxa"/>
            <w:tcBorders>
              <w:bottom w:val="single" w:sz="4" w:space="0" w:color="auto"/>
            </w:tcBorders>
            <w:shd w:val="clear" w:color="auto" w:fill="auto"/>
            <w:vAlign w:val="center"/>
          </w:tcPr>
          <w:p w:rsidR="001A63C6" w:rsidRPr="00B01D7E" w:rsidRDefault="008719E7" w:rsidP="00CE54BA">
            <w:pPr>
              <w:pStyle w:val="TableText"/>
              <w:widowControl w:val="0"/>
              <w:spacing w:before="20" w:after="20"/>
              <w:rPr>
                <w:rStyle w:val="EndnoteReference"/>
                <w:b w:val="0"/>
                <w:color w:val="0070C0"/>
                <w:sz w:val="13"/>
                <w:szCs w:val="13"/>
                <w:u w:val="single"/>
              </w:rPr>
            </w:pPr>
            <w:hyperlink w:anchor="_114_Windows_Server" w:history="1">
              <w:r w:rsidR="005B0EC7" w:rsidRPr="00B01D7E">
                <w:rPr>
                  <w:rStyle w:val="Hyperlink"/>
                  <w:b/>
                  <w:sz w:val="13"/>
                  <w:szCs w:val="13"/>
                </w:rPr>
                <w:t>10</w:t>
              </w:r>
            </w:hyperlink>
            <w:r w:rsidR="005B0EC7" w:rsidRPr="00B01D7E">
              <w:rPr>
                <w:rStyle w:val="Hyperlink"/>
                <w:b/>
                <w:sz w:val="13"/>
                <w:szCs w:val="13"/>
              </w:rPr>
              <w:t>6</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LO/OV</w:t>
            </w:r>
          </w:p>
        </w:tc>
      </w:tr>
      <w:tr w:rsidR="00B33D0E" w:rsidRPr="00416070" w:rsidTr="005C0614">
        <w:trPr>
          <w:trHeight w:val="145"/>
        </w:trPr>
        <w:tc>
          <w:tcPr>
            <w:tcW w:w="2734" w:type="dxa"/>
            <w:gridSpan w:val="2"/>
            <w:tcBorders>
              <w:bottom w:val="single" w:sz="4" w:space="0" w:color="auto"/>
            </w:tcBorders>
            <w:shd w:val="clear" w:color="auto" w:fill="F4B083" w:themeFill="accent2" w:themeFillTint="99"/>
            <w:vAlign w:val="center"/>
          </w:tcPr>
          <w:p w:rsidR="001A63C6" w:rsidRPr="005C0614" w:rsidRDefault="001A63C6" w:rsidP="005C0614">
            <w:pPr>
              <w:pStyle w:val="Heading2"/>
              <w:spacing w:before="20" w:after="20"/>
              <w:ind w:left="0"/>
              <w:rPr>
                <w:rFonts w:ascii="Tahoma" w:hAnsi="Tahoma" w:cs="Tahoma"/>
                <w:b w:val="0"/>
                <w:sz w:val="14"/>
                <w:szCs w:val="14"/>
              </w:rPr>
            </w:pPr>
            <w:bookmarkStart w:id="572" w:name="_Toc336338144"/>
            <w:bookmarkStart w:id="573" w:name="_Toc352234215"/>
            <w:r w:rsidRPr="005C0614">
              <w:rPr>
                <w:rFonts w:ascii="Tahoma" w:hAnsi="Tahoma" w:cs="Tahoma"/>
                <w:b w:val="0"/>
                <w:sz w:val="14"/>
                <w:szCs w:val="14"/>
              </w:rPr>
              <w:t>Windows Server™ 2012 Standard</w:t>
            </w:r>
            <w:bookmarkEnd w:id="572"/>
            <w:bookmarkEnd w:id="573"/>
          </w:p>
        </w:tc>
        <w:tc>
          <w:tcPr>
            <w:tcW w:w="450" w:type="dxa"/>
            <w:tcBorders>
              <w:bottom w:val="single" w:sz="4" w:space="0" w:color="auto"/>
            </w:tcBorders>
            <w:shd w:val="clear" w:color="auto" w:fill="F4B083" w:themeFill="accent2" w:themeFillTint="99"/>
            <w:vAlign w:val="center"/>
          </w:tcPr>
          <w:p w:rsidR="001A63C6" w:rsidRPr="00B01D7E" w:rsidRDefault="008719E7" w:rsidP="00CE54BA">
            <w:pPr>
              <w:pStyle w:val="TableText"/>
              <w:widowControl w:val="0"/>
              <w:spacing w:before="20" w:after="20"/>
              <w:rPr>
                <w:rStyle w:val="EndnoteReference"/>
                <w:b w:val="0"/>
                <w:color w:val="0070C0"/>
                <w:sz w:val="13"/>
                <w:szCs w:val="13"/>
                <w:u w:val="single"/>
                <w:vertAlign w:val="baseline"/>
              </w:rPr>
            </w:pPr>
            <w:hyperlink w:anchor="_118_Windows_Server" w:history="1">
              <w:r w:rsidR="005B0EC7" w:rsidRPr="00B01D7E">
                <w:rPr>
                  <w:rStyle w:val="Hyperlink"/>
                  <w:b/>
                  <w:sz w:val="13"/>
                  <w:szCs w:val="13"/>
                </w:rPr>
                <w:t>107</w:t>
              </w:r>
            </w:hyperlink>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145"/>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74" w:name="_Toc336338145"/>
            <w:bookmarkStart w:id="575" w:name="_Toc352234216"/>
            <w:r w:rsidRPr="005C0614">
              <w:rPr>
                <w:rFonts w:ascii="Tahoma" w:hAnsi="Tahoma" w:cs="Tahoma"/>
                <w:b w:val="0"/>
                <w:sz w:val="14"/>
                <w:szCs w:val="14"/>
              </w:rPr>
              <w:t>External Connector do Windows Server™</w:t>
            </w:r>
            <w:bookmarkEnd w:id="574"/>
            <w:bookmarkEnd w:id="575"/>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63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LO/OV</w:t>
            </w:r>
          </w:p>
        </w:tc>
      </w:tr>
      <w:tr w:rsidR="00B33D0E" w:rsidRPr="00416070" w:rsidTr="005C0614">
        <w:trPr>
          <w:trHeight w:val="145"/>
        </w:trPr>
        <w:tc>
          <w:tcPr>
            <w:tcW w:w="2734" w:type="dxa"/>
            <w:gridSpan w:val="2"/>
            <w:tcBorders>
              <w:bottom w:val="single" w:sz="4" w:space="0" w:color="auto"/>
            </w:tcBorders>
            <w:shd w:val="clear" w:color="auto" w:fill="F4B083" w:themeFill="accent2" w:themeFillTint="99"/>
            <w:vAlign w:val="center"/>
          </w:tcPr>
          <w:p w:rsidR="001A63C6" w:rsidRPr="005C0614" w:rsidRDefault="001A63C6" w:rsidP="005C0614">
            <w:pPr>
              <w:pStyle w:val="Heading2"/>
              <w:spacing w:before="20" w:after="20"/>
              <w:ind w:left="0"/>
              <w:rPr>
                <w:rFonts w:ascii="Tahoma" w:hAnsi="Tahoma" w:cs="Tahoma"/>
                <w:b w:val="0"/>
                <w:sz w:val="14"/>
                <w:szCs w:val="14"/>
              </w:rPr>
            </w:pPr>
            <w:bookmarkStart w:id="576" w:name="_Toc336338146"/>
            <w:bookmarkStart w:id="577" w:name="_Toc352234217"/>
            <w:r w:rsidRPr="005C0614">
              <w:rPr>
                <w:rFonts w:ascii="Tahoma" w:hAnsi="Tahoma" w:cs="Tahoma"/>
                <w:b w:val="0"/>
                <w:sz w:val="14"/>
                <w:szCs w:val="14"/>
              </w:rPr>
              <w:t>CAL de Serviços de Área de Trabalho Remota do Windows Server™ 2012</w:t>
            </w:r>
            <w:bookmarkEnd w:id="576"/>
            <w:bookmarkEnd w:id="577"/>
          </w:p>
        </w:tc>
        <w:tc>
          <w:tcPr>
            <w:tcW w:w="450" w:type="dxa"/>
            <w:tcBorders>
              <w:bottom w:val="single" w:sz="4" w:space="0" w:color="auto"/>
            </w:tcBorders>
            <w:shd w:val="clear" w:color="auto" w:fill="F4B083" w:themeFill="accent2" w:themeFillTint="99"/>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431"/>
        </w:trPr>
        <w:tc>
          <w:tcPr>
            <w:tcW w:w="2734" w:type="dxa"/>
            <w:gridSpan w:val="2"/>
            <w:tcBorders>
              <w:bottom w:val="single" w:sz="4" w:space="0" w:color="auto"/>
            </w:tcBorders>
            <w:shd w:val="clear" w:color="auto" w:fill="auto"/>
            <w:vAlign w:val="center"/>
          </w:tcPr>
          <w:p w:rsidR="001A63C6" w:rsidRPr="005C0614" w:rsidRDefault="001A63C6" w:rsidP="005C0614">
            <w:pPr>
              <w:pStyle w:val="Heading2"/>
              <w:spacing w:before="20" w:after="20"/>
              <w:ind w:left="0"/>
              <w:rPr>
                <w:rFonts w:ascii="Tahoma" w:hAnsi="Tahoma" w:cs="Tahoma"/>
                <w:b w:val="0"/>
                <w:sz w:val="14"/>
                <w:szCs w:val="14"/>
              </w:rPr>
            </w:pPr>
            <w:bookmarkStart w:id="578" w:name="_Toc336338147"/>
            <w:bookmarkStart w:id="579" w:name="_Toc352234218"/>
            <w:r w:rsidRPr="005C0614">
              <w:rPr>
                <w:rFonts w:ascii="Tahoma" w:hAnsi="Tahoma" w:cs="Tahoma"/>
                <w:b w:val="0"/>
                <w:sz w:val="14"/>
                <w:szCs w:val="14"/>
              </w:rPr>
              <w:lastRenderedPageBreak/>
              <w:t>External Connector dos Serviços de Área</w:t>
            </w:r>
            <w:r w:rsidR="00DE1733">
              <w:rPr>
                <w:rFonts w:ascii="Tahoma" w:hAnsi="Tahoma" w:cs="Tahoma"/>
                <w:sz w:val="14"/>
                <w:szCs w:val="14"/>
              </w:rPr>
              <w:t> </w:t>
            </w:r>
            <w:r w:rsidRPr="005C0614">
              <w:rPr>
                <w:rFonts w:ascii="Tahoma" w:hAnsi="Tahoma" w:cs="Tahoma"/>
                <w:b w:val="0"/>
                <w:sz w:val="14"/>
                <w:szCs w:val="14"/>
              </w:rPr>
              <w:t>de Trabalho Remota do Windows Server™ 2012</w:t>
            </w:r>
            <w:bookmarkEnd w:id="578"/>
            <w:bookmarkEnd w:id="579"/>
          </w:p>
        </w:tc>
        <w:tc>
          <w:tcPr>
            <w:tcW w:w="450" w:type="dxa"/>
            <w:tcBorders>
              <w:bottom w:val="single" w:sz="4" w:space="0" w:color="auto"/>
            </w:tcBorders>
            <w:shd w:val="clear" w:color="auto" w:fill="auto"/>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188</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150</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113</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LO/OV</w:t>
            </w:r>
          </w:p>
        </w:tc>
      </w:tr>
      <w:tr w:rsidR="00B33D0E" w:rsidRPr="00416070" w:rsidTr="005C0614">
        <w:trPr>
          <w:trHeight w:val="145"/>
        </w:trPr>
        <w:tc>
          <w:tcPr>
            <w:tcW w:w="2734" w:type="dxa"/>
            <w:gridSpan w:val="2"/>
            <w:tcBorders>
              <w:bottom w:val="single" w:sz="4" w:space="0" w:color="auto"/>
            </w:tcBorders>
            <w:shd w:val="clear" w:color="auto" w:fill="F4B083" w:themeFill="accent2" w:themeFillTint="99"/>
            <w:vAlign w:val="center"/>
          </w:tcPr>
          <w:p w:rsidR="001A63C6" w:rsidRPr="005C0614" w:rsidRDefault="001A63C6" w:rsidP="005C0614">
            <w:pPr>
              <w:pStyle w:val="Heading2"/>
              <w:spacing w:before="20" w:after="20"/>
              <w:ind w:left="0"/>
              <w:rPr>
                <w:rFonts w:ascii="Tahoma" w:hAnsi="Tahoma" w:cs="Tahoma"/>
                <w:b w:val="0"/>
                <w:sz w:val="14"/>
                <w:szCs w:val="14"/>
              </w:rPr>
            </w:pPr>
            <w:bookmarkStart w:id="580" w:name="_Toc336338148"/>
            <w:bookmarkStart w:id="581" w:name="_Toc352234219"/>
            <w:r w:rsidRPr="005C0614">
              <w:rPr>
                <w:rFonts w:ascii="Tahoma" w:hAnsi="Tahoma" w:cs="Tahoma"/>
                <w:b w:val="0"/>
                <w:sz w:val="14"/>
                <w:szCs w:val="14"/>
              </w:rPr>
              <w:t>CAL dos Serviços de Gerenciamento de Direitos do Active Directory do Windows Server™ 2012</w:t>
            </w:r>
            <w:bookmarkEnd w:id="580"/>
            <w:bookmarkEnd w:id="581"/>
          </w:p>
        </w:tc>
        <w:tc>
          <w:tcPr>
            <w:tcW w:w="450" w:type="dxa"/>
            <w:tcBorders>
              <w:bottom w:val="single" w:sz="4" w:space="0" w:color="auto"/>
            </w:tcBorders>
            <w:shd w:val="clear" w:color="auto" w:fill="F4B083" w:themeFill="accent2" w:themeFillTint="99"/>
            <w:vAlign w:val="center"/>
          </w:tcPr>
          <w:p w:rsidR="001A63C6" w:rsidRPr="00B01D7E" w:rsidRDefault="001A63C6" w:rsidP="00CE54BA">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F4B083" w:themeFill="accent2" w:themeFillTint="99"/>
            <w:vAlign w:val="center"/>
          </w:tcPr>
          <w:p w:rsidR="001A63C6" w:rsidRPr="00416070" w:rsidRDefault="001A63C6" w:rsidP="00CE54BA">
            <w:pPr>
              <w:pStyle w:val="TableText"/>
              <w:widowControl w:val="0"/>
              <w:spacing w:before="20" w:after="20"/>
              <w:rPr>
                <w:rFonts w:ascii="Tahoma" w:hAnsi="Tahoma" w:cs="Tahoma"/>
                <w:color w:val="000000"/>
                <w:sz w:val="13"/>
              </w:rPr>
            </w:pPr>
          </w:p>
        </w:tc>
      </w:tr>
      <w:tr w:rsidR="001A63C6" w:rsidRPr="00416070" w:rsidTr="005C0614">
        <w:trPr>
          <w:trHeight w:val="467"/>
        </w:trPr>
        <w:tc>
          <w:tcPr>
            <w:tcW w:w="2734" w:type="dxa"/>
            <w:gridSpan w:val="2"/>
            <w:tcBorders>
              <w:bottom w:val="single" w:sz="4" w:space="0" w:color="auto"/>
            </w:tcBorders>
            <w:shd w:val="clear" w:color="auto" w:fill="auto"/>
            <w:vAlign w:val="center"/>
          </w:tcPr>
          <w:p w:rsidR="001A63C6" w:rsidRPr="005C0614" w:rsidRDefault="001A63C6" w:rsidP="005C0614">
            <w:pPr>
              <w:pStyle w:val="Heading2"/>
              <w:keepNext/>
              <w:keepLines/>
              <w:spacing w:before="20" w:after="20"/>
              <w:ind w:left="0"/>
              <w:rPr>
                <w:rFonts w:ascii="Tahoma" w:hAnsi="Tahoma" w:cs="Tahoma"/>
                <w:b w:val="0"/>
                <w:sz w:val="14"/>
                <w:szCs w:val="14"/>
              </w:rPr>
            </w:pPr>
            <w:bookmarkStart w:id="582" w:name="_Toc336338149"/>
            <w:bookmarkStart w:id="583" w:name="_Toc352234220"/>
            <w:r w:rsidRPr="005C0614">
              <w:rPr>
                <w:rFonts w:ascii="Tahoma" w:hAnsi="Tahoma" w:cs="Tahoma"/>
                <w:b w:val="0"/>
                <w:sz w:val="14"/>
                <w:szCs w:val="14"/>
              </w:rPr>
              <w:t>External Connector dos Serviços de Gerenciamento de Direitos do Active Directory do Windows Server™</w:t>
            </w:r>
            <w:bookmarkEnd w:id="582"/>
            <w:bookmarkEnd w:id="583"/>
          </w:p>
        </w:tc>
        <w:tc>
          <w:tcPr>
            <w:tcW w:w="450" w:type="dxa"/>
            <w:tcBorders>
              <w:bottom w:val="single" w:sz="4" w:space="0" w:color="auto"/>
            </w:tcBorders>
            <w:shd w:val="clear" w:color="auto" w:fill="auto"/>
            <w:vAlign w:val="center"/>
          </w:tcPr>
          <w:p w:rsidR="001A63C6" w:rsidRPr="00B01D7E" w:rsidRDefault="001A63C6" w:rsidP="00CE54BA">
            <w:pPr>
              <w:pStyle w:val="TableText"/>
              <w:keepNext/>
              <w:keepLines/>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color w:val="000000"/>
                <w:sz w:val="13"/>
              </w:rPr>
            </w:pPr>
            <w:r w:rsidRPr="00416070">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313</w:t>
            </w:r>
          </w:p>
        </w:tc>
        <w:tc>
          <w:tcPr>
            <w:tcW w:w="450" w:type="dxa"/>
            <w:tcBorders>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250</w:t>
            </w:r>
          </w:p>
        </w:tc>
        <w:tc>
          <w:tcPr>
            <w:tcW w:w="450" w:type="dxa"/>
            <w:tcBorders>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188</w:t>
            </w:r>
          </w:p>
        </w:tc>
        <w:tc>
          <w:tcPr>
            <w:tcW w:w="450" w:type="dxa"/>
            <w:tcBorders>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188</w:t>
            </w:r>
          </w:p>
        </w:tc>
        <w:tc>
          <w:tcPr>
            <w:tcW w:w="450" w:type="dxa"/>
            <w:tcBorders>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auto"/>
            <w:vAlign w:val="center"/>
          </w:tcPr>
          <w:p w:rsidR="001A63C6" w:rsidRPr="00416070" w:rsidRDefault="001A63C6" w:rsidP="00CE54BA">
            <w:pPr>
              <w:pStyle w:val="TableText"/>
              <w:keepNext/>
              <w:keepLines/>
              <w:widowControl w:val="0"/>
              <w:spacing w:before="20" w:after="20"/>
              <w:rPr>
                <w:rFonts w:ascii="Tahoma" w:hAnsi="Tahoma" w:cs="Tahoma"/>
                <w:color w:val="000000"/>
                <w:sz w:val="13"/>
              </w:rPr>
            </w:pPr>
            <w:r w:rsidRPr="00416070">
              <w:rPr>
                <w:rFonts w:ascii="Tahoma" w:hAnsi="Tahoma" w:cs="Tahoma"/>
                <w:color w:val="000000"/>
                <w:sz w:val="13"/>
              </w:rPr>
              <w:t>LO/OV</w:t>
            </w:r>
          </w:p>
        </w:tc>
      </w:tr>
      <w:tr w:rsidR="00A5643F" w:rsidRPr="00416070" w:rsidTr="005C0614">
        <w:trPr>
          <w:gridBefore w:val="1"/>
          <w:wBefore w:w="20" w:type="dxa"/>
          <w:trHeight w:val="145"/>
        </w:trPr>
        <w:tc>
          <w:tcPr>
            <w:tcW w:w="2714" w:type="dxa"/>
            <w:tcBorders>
              <w:bottom w:val="single" w:sz="4" w:space="0" w:color="auto"/>
            </w:tcBorders>
            <w:shd w:val="clear" w:color="auto" w:fill="FABF8F"/>
            <w:vAlign w:val="center"/>
          </w:tcPr>
          <w:p w:rsidR="00A5643F" w:rsidRPr="005C0614" w:rsidRDefault="00A5643F" w:rsidP="005C0614">
            <w:pPr>
              <w:pStyle w:val="Heading2"/>
              <w:keepNext/>
              <w:keepLines/>
              <w:spacing w:before="20" w:after="20"/>
              <w:ind w:left="0"/>
              <w:rPr>
                <w:rFonts w:ascii="Tahoma" w:hAnsi="Tahoma" w:cs="Tahoma"/>
                <w:b w:val="0"/>
                <w:sz w:val="14"/>
                <w:szCs w:val="14"/>
              </w:rPr>
            </w:pPr>
            <w:bookmarkStart w:id="584" w:name="_Toc352234221"/>
            <w:r w:rsidRPr="005C0614">
              <w:rPr>
                <w:rFonts w:ascii="Tahoma" w:hAnsi="Tahoma" w:cs="Tahoma"/>
                <w:b w:val="0"/>
                <w:sz w:val="14"/>
                <w:szCs w:val="14"/>
              </w:rPr>
              <w:t>Windows Small Business Server 2008 Premium</w:t>
            </w:r>
            <w:bookmarkEnd w:id="584"/>
            <w:r w:rsidRPr="005C0614">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B01D7E" w:rsidRDefault="008719E7" w:rsidP="00CE54BA">
            <w:pPr>
              <w:pStyle w:val="TableText"/>
              <w:keepNext/>
              <w:keepLines/>
              <w:widowControl w:val="0"/>
              <w:spacing w:before="20" w:after="20"/>
              <w:rPr>
                <w:b/>
                <w:sz w:val="13"/>
                <w:szCs w:val="13"/>
                <w:u w:val="single"/>
              </w:rPr>
            </w:pPr>
            <w:hyperlink w:anchor="Srv_116WinSmallBizSVR2011Addon" w:history="1">
              <w:r w:rsidR="005B0EC7" w:rsidRPr="00B01D7E">
                <w:rPr>
                  <w:rStyle w:val="Hyperlink"/>
                  <w:b/>
                  <w:sz w:val="13"/>
                  <w:szCs w:val="13"/>
                </w:rPr>
                <w:t>108</w:t>
              </w:r>
            </w:hyperlink>
          </w:p>
        </w:tc>
        <w:tc>
          <w:tcPr>
            <w:tcW w:w="450" w:type="dxa"/>
            <w:tcBorders>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r w:rsidRPr="00416070">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Del="001265B4" w:rsidRDefault="00A5643F" w:rsidP="00CE54BA">
            <w:pPr>
              <w:pStyle w:val="TableText"/>
              <w:keepNext/>
              <w:keepLines/>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keepNext/>
              <w:keepLines/>
              <w:widowControl w:val="0"/>
              <w:spacing w:before="20" w:after="20"/>
              <w:rPr>
                <w:rFonts w:ascii="Tahoma" w:hAnsi="Tahoma" w:cs="Tahoma"/>
                <w:sz w:val="13"/>
              </w:rPr>
            </w:pPr>
          </w:p>
        </w:tc>
      </w:tr>
      <w:tr w:rsidR="00A5643F" w:rsidRPr="00416070" w:rsidTr="005C0614">
        <w:trPr>
          <w:gridBefore w:val="1"/>
          <w:wBefore w:w="20" w:type="dxa"/>
          <w:trHeight w:val="145"/>
        </w:trPr>
        <w:tc>
          <w:tcPr>
            <w:tcW w:w="2714" w:type="dxa"/>
            <w:tcBorders>
              <w:bottom w:val="single" w:sz="4" w:space="0" w:color="auto"/>
            </w:tcBorders>
            <w:shd w:val="clear" w:color="auto" w:fill="auto"/>
            <w:vAlign w:val="center"/>
          </w:tcPr>
          <w:p w:rsidR="00A5643F" w:rsidRPr="005C0614" w:rsidRDefault="00A5643F" w:rsidP="005C0614">
            <w:pPr>
              <w:pStyle w:val="Heading2"/>
              <w:spacing w:before="20" w:after="20"/>
              <w:ind w:left="0"/>
              <w:rPr>
                <w:rFonts w:ascii="Tahoma" w:hAnsi="Tahoma" w:cs="Tahoma"/>
                <w:b w:val="0"/>
                <w:sz w:val="14"/>
                <w:szCs w:val="14"/>
              </w:rPr>
            </w:pPr>
            <w:bookmarkStart w:id="585" w:name="_Toc336338154"/>
            <w:bookmarkStart w:id="586" w:name="_Toc352234222"/>
            <w:r w:rsidRPr="005C0614">
              <w:rPr>
                <w:rFonts w:ascii="Tahoma" w:hAnsi="Tahoma" w:cs="Tahoma"/>
                <w:b w:val="0"/>
                <w:sz w:val="14"/>
                <w:szCs w:val="14"/>
              </w:rPr>
              <w:t>Windows Small Business Server 2008 CAL Suite para Usuários ou Dispositivos Premium</w:t>
            </w:r>
            <w:bookmarkEnd w:id="585"/>
            <w:bookmarkEnd w:id="586"/>
          </w:p>
        </w:tc>
        <w:tc>
          <w:tcPr>
            <w:tcW w:w="450" w:type="dxa"/>
            <w:tcBorders>
              <w:bottom w:val="single" w:sz="4" w:space="0" w:color="auto"/>
            </w:tcBorders>
            <w:shd w:val="clear" w:color="auto" w:fill="auto"/>
            <w:vAlign w:val="center"/>
          </w:tcPr>
          <w:p w:rsidR="00A5643F" w:rsidRPr="00B01D7E" w:rsidRDefault="00A5643F" w:rsidP="00CE54BA">
            <w:pPr>
              <w:pStyle w:val="TableText"/>
              <w:widowControl w:val="0"/>
              <w:spacing w:before="20" w:after="20"/>
              <w:rPr>
                <w:b/>
                <w:sz w:val="13"/>
                <w:szCs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A5643F" w:rsidRPr="00416070" w:rsidDel="001265B4" w:rsidRDefault="00A5643F"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E, P</w:t>
            </w:r>
          </w:p>
        </w:tc>
        <w:tc>
          <w:tcPr>
            <w:tcW w:w="63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r>
      <w:tr w:rsidR="00A5643F" w:rsidRPr="00416070" w:rsidTr="005C0614">
        <w:trPr>
          <w:gridBefore w:val="1"/>
          <w:wBefore w:w="20" w:type="dxa"/>
          <w:trHeight w:val="145"/>
        </w:trPr>
        <w:tc>
          <w:tcPr>
            <w:tcW w:w="2714" w:type="dxa"/>
            <w:tcBorders>
              <w:bottom w:val="single" w:sz="4" w:space="0" w:color="auto"/>
            </w:tcBorders>
            <w:shd w:val="clear" w:color="auto" w:fill="FABF8F"/>
            <w:vAlign w:val="center"/>
          </w:tcPr>
          <w:p w:rsidR="00A5643F" w:rsidRPr="005C0614" w:rsidRDefault="00A5643F" w:rsidP="005C0614">
            <w:pPr>
              <w:pStyle w:val="Heading2"/>
              <w:spacing w:before="20" w:after="20"/>
              <w:ind w:left="0"/>
              <w:rPr>
                <w:rFonts w:ascii="Tahoma" w:hAnsi="Tahoma" w:cs="Tahoma"/>
                <w:b w:val="0"/>
                <w:sz w:val="14"/>
                <w:szCs w:val="14"/>
              </w:rPr>
            </w:pPr>
            <w:bookmarkStart w:id="587" w:name="_Toc336338155"/>
            <w:bookmarkStart w:id="588" w:name="_Toc352234223"/>
            <w:r w:rsidRPr="005C0614">
              <w:rPr>
                <w:rFonts w:ascii="Tahoma" w:hAnsi="Tahoma" w:cs="Tahoma"/>
                <w:b w:val="0"/>
                <w:sz w:val="14"/>
                <w:szCs w:val="14"/>
              </w:rPr>
              <w:t>Windows Small Business Server 2008 CAL Suite para Usuários ou Dispositivos Premium (5 Clientes)</w:t>
            </w:r>
            <w:bookmarkEnd w:id="587"/>
            <w:bookmarkEnd w:id="588"/>
          </w:p>
        </w:tc>
        <w:tc>
          <w:tcPr>
            <w:tcW w:w="450" w:type="dxa"/>
            <w:tcBorders>
              <w:bottom w:val="single" w:sz="4" w:space="0" w:color="auto"/>
            </w:tcBorders>
            <w:shd w:val="clear" w:color="auto" w:fill="FABF8F"/>
            <w:vAlign w:val="center"/>
          </w:tcPr>
          <w:p w:rsidR="00A5643F" w:rsidRPr="00B01D7E" w:rsidRDefault="00A5643F" w:rsidP="00CE54BA">
            <w:pPr>
              <w:pStyle w:val="TableText"/>
              <w:widowControl w:val="0"/>
              <w:spacing w:before="20" w:after="20"/>
              <w:rPr>
                <w:b/>
                <w:sz w:val="13"/>
                <w:szCs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tcBorders>
            <w:shd w:val="clear" w:color="auto" w:fill="FABF8F"/>
            <w:vAlign w:val="center"/>
          </w:tcPr>
          <w:p w:rsidR="00A5643F" w:rsidRPr="00416070" w:rsidDel="001265B4" w:rsidRDefault="00A5643F"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F76ED4" w:rsidRPr="00416070" w:rsidTr="005C0614">
        <w:trPr>
          <w:gridBefore w:val="1"/>
          <w:wBefore w:w="20" w:type="dxa"/>
          <w:trHeight w:val="145"/>
        </w:trPr>
        <w:tc>
          <w:tcPr>
            <w:tcW w:w="2714" w:type="dxa"/>
            <w:tcBorders>
              <w:bottom w:val="single" w:sz="4" w:space="0" w:color="auto"/>
            </w:tcBorders>
            <w:shd w:val="clear" w:color="auto" w:fill="auto"/>
            <w:vAlign w:val="center"/>
          </w:tcPr>
          <w:p w:rsidR="00A5643F" w:rsidRPr="005C0614" w:rsidRDefault="00A5643F" w:rsidP="005C0614">
            <w:pPr>
              <w:pStyle w:val="Heading2"/>
              <w:spacing w:before="20" w:after="20"/>
              <w:ind w:left="0"/>
              <w:rPr>
                <w:rFonts w:ascii="Tahoma" w:hAnsi="Tahoma" w:cs="Tahoma"/>
                <w:b w:val="0"/>
                <w:sz w:val="14"/>
                <w:szCs w:val="14"/>
              </w:rPr>
            </w:pPr>
            <w:bookmarkStart w:id="589" w:name="_Toc336338156"/>
            <w:bookmarkStart w:id="590" w:name="_Toc352234224"/>
            <w:r w:rsidRPr="005C0614">
              <w:rPr>
                <w:rFonts w:ascii="Tahoma" w:hAnsi="Tahoma" w:cs="Tahoma"/>
                <w:b w:val="0"/>
                <w:sz w:val="14"/>
                <w:szCs w:val="14"/>
              </w:rPr>
              <w:t>Windows Small Business Server 2008 CAL Suite para Usuários ou Dispositivos Premium (20 Clientes)</w:t>
            </w:r>
            <w:bookmarkEnd w:id="589"/>
            <w:bookmarkEnd w:id="590"/>
          </w:p>
        </w:tc>
        <w:tc>
          <w:tcPr>
            <w:tcW w:w="450" w:type="dxa"/>
            <w:tcBorders>
              <w:bottom w:val="single" w:sz="4" w:space="0" w:color="auto"/>
            </w:tcBorders>
            <w:shd w:val="clear" w:color="auto" w:fill="auto"/>
            <w:vAlign w:val="center"/>
          </w:tcPr>
          <w:p w:rsidR="00A5643F" w:rsidRPr="00B01D7E" w:rsidRDefault="00A5643F" w:rsidP="00CE54BA">
            <w:pPr>
              <w:pStyle w:val="TableText"/>
              <w:widowControl w:val="0"/>
              <w:spacing w:before="20" w:after="20"/>
              <w:rPr>
                <w:b/>
                <w:sz w:val="13"/>
                <w:szCs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auto"/>
            <w:vAlign w:val="center"/>
          </w:tcPr>
          <w:p w:rsidR="00A5643F" w:rsidRPr="00416070" w:rsidDel="001265B4" w:rsidRDefault="00A5643F"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F76ED4" w:rsidRPr="00416070" w:rsidTr="005C0614">
        <w:trPr>
          <w:gridBefore w:val="1"/>
          <w:wBefore w:w="20" w:type="dxa"/>
          <w:trHeight w:val="145"/>
        </w:trPr>
        <w:tc>
          <w:tcPr>
            <w:tcW w:w="2714" w:type="dxa"/>
            <w:tcBorders>
              <w:bottom w:val="single" w:sz="4" w:space="0" w:color="auto"/>
            </w:tcBorders>
            <w:shd w:val="clear" w:color="auto" w:fill="FABF8F"/>
            <w:vAlign w:val="center"/>
          </w:tcPr>
          <w:p w:rsidR="00A5643F" w:rsidRPr="005C0614" w:rsidRDefault="00A5643F" w:rsidP="005C0614">
            <w:pPr>
              <w:pStyle w:val="Heading2"/>
              <w:spacing w:before="20" w:after="20"/>
              <w:ind w:left="0"/>
              <w:rPr>
                <w:rFonts w:ascii="Tahoma" w:hAnsi="Tahoma" w:cs="Tahoma"/>
                <w:b w:val="0"/>
                <w:sz w:val="14"/>
                <w:szCs w:val="14"/>
              </w:rPr>
            </w:pPr>
            <w:bookmarkStart w:id="591" w:name="_Toc336338157"/>
            <w:bookmarkStart w:id="592" w:name="_Toc352234225"/>
            <w:r w:rsidRPr="005C0614">
              <w:rPr>
                <w:rFonts w:ascii="Tahoma" w:hAnsi="Tahoma" w:cs="Tahoma"/>
                <w:b w:val="0"/>
                <w:sz w:val="14"/>
                <w:szCs w:val="14"/>
              </w:rPr>
              <w:t>Windows Small Business Server 2011 Standard (5 clientes)</w:t>
            </w:r>
            <w:bookmarkEnd w:id="591"/>
            <w:bookmarkEnd w:id="592"/>
            <w:r w:rsidRPr="005C0614">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B01D7E" w:rsidRDefault="008719E7" w:rsidP="00CE54BA">
            <w:pPr>
              <w:pStyle w:val="TableText"/>
              <w:widowControl w:val="0"/>
              <w:spacing w:before="20" w:after="20"/>
              <w:rPr>
                <w:rStyle w:val="EndnoteReference"/>
                <w:b w:val="0"/>
                <w:color w:val="0000FF"/>
                <w:sz w:val="13"/>
                <w:szCs w:val="13"/>
                <w:u w:val="single"/>
              </w:rPr>
            </w:pPr>
            <w:hyperlink w:anchor="_109_Windows_Small" w:history="1">
              <w:r w:rsidR="005B0EC7" w:rsidRPr="00B01D7E">
                <w:rPr>
                  <w:rStyle w:val="Hyperlink"/>
                  <w:b/>
                  <w:sz w:val="13"/>
                  <w:szCs w:val="13"/>
                </w:rPr>
                <w:t>109</w:t>
              </w:r>
            </w:hyperlink>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color w:val="000000"/>
                <w:sz w:val="13"/>
              </w:rPr>
              <w:t>LO/OV</w:t>
            </w:r>
          </w:p>
        </w:tc>
      </w:tr>
      <w:tr w:rsidR="00F76ED4" w:rsidRPr="00416070" w:rsidTr="005C0614">
        <w:trPr>
          <w:gridBefore w:val="1"/>
          <w:wBefore w:w="20" w:type="dxa"/>
          <w:trHeight w:val="145"/>
        </w:trPr>
        <w:tc>
          <w:tcPr>
            <w:tcW w:w="2714" w:type="dxa"/>
            <w:tcBorders>
              <w:bottom w:val="single" w:sz="4" w:space="0" w:color="auto"/>
            </w:tcBorders>
            <w:shd w:val="clear" w:color="auto" w:fill="auto"/>
            <w:vAlign w:val="center"/>
          </w:tcPr>
          <w:p w:rsidR="00A5643F" w:rsidRPr="005C0614" w:rsidRDefault="00A5643F" w:rsidP="005C0614">
            <w:pPr>
              <w:pStyle w:val="Heading2"/>
              <w:spacing w:before="20" w:after="20"/>
              <w:ind w:left="0"/>
              <w:rPr>
                <w:rFonts w:ascii="Tahoma" w:hAnsi="Tahoma" w:cs="Tahoma"/>
                <w:b w:val="0"/>
                <w:sz w:val="14"/>
                <w:szCs w:val="14"/>
              </w:rPr>
            </w:pPr>
            <w:bookmarkStart w:id="593" w:name="_Toc336338158"/>
            <w:bookmarkStart w:id="594" w:name="_Toc352234226"/>
            <w:r w:rsidRPr="005C0614">
              <w:rPr>
                <w:rFonts w:ascii="Tahoma" w:hAnsi="Tahoma" w:cs="Tahoma"/>
                <w:b w:val="0"/>
                <w:sz w:val="14"/>
                <w:szCs w:val="14"/>
              </w:rPr>
              <w:t>Windows Small Business Server 2011 CAL Suite (1 cliente)</w:t>
            </w:r>
            <w:bookmarkEnd w:id="593"/>
            <w:bookmarkEnd w:id="594"/>
          </w:p>
        </w:tc>
        <w:tc>
          <w:tcPr>
            <w:tcW w:w="450" w:type="dxa"/>
            <w:tcBorders>
              <w:bottom w:val="single" w:sz="4" w:space="0" w:color="auto"/>
            </w:tcBorders>
            <w:shd w:val="clear" w:color="auto" w:fill="auto"/>
            <w:vAlign w:val="center"/>
          </w:tcPr>
          <w:p w:rsidR="00A5643F" w:rsidRPr="00B01D7E" w:rsidRDefault="008719E7" w:rsidP="00CE54BA">
            <w:pPr>
              <w:pStyle w:val="TableText"/>
              <w:widowControl w:val="0"/>
              <w:spacing w:before="20" w:after="20"/>
              <w:rPr>
                <w:rStyle w:val="EndnoteReference"/>
                <w:b w:val="0"/>
                <w:color w:val="0000FF"/>
                <w:sz w:val="13"/>
                <w:szCs w:val="13"/>
                <w:u w:val="single"/>
              </w:rPr>
            </w:pPr>
            <w:hyperlink w:anchor="_119_Windows_Small" w:history="1">
              <w:r w:rsidR="005B0EC7" w:rsidRPr="00B01D7E">
                <w:rPr>
                  <w:rStyle w:val="Hyperlink"/>
                  <w:b/>
                  <w:sz w:val="13"/>
                  <w:szCs w:val="13"/>
                </w:rPr>
                <w:t>110</w:t>
              </w:r>
            </w:hyperlink>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E, P</w:t>
            </w:r>
          </w:p>
        </w:tc>
        <w:tc>
          <w:tcPr>
            <w:tcW w:w="63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r>
      <w:tr w:rsidR="00F76ED4" w:rsidRPr="00416070" w:rsidTr="005C0614">
        <w:trPr>
          <w:gridBefore w:val="1"/>
          <w:wBefore w:w="20" w:type="dxa"/>
          <w:trHeight w:val="145"/>
        </w:trPr>
        <w:tc>
          <w:tcPr>
            <w:tcW w:w="2714" w:type="dxa"/>
            <w:tcBorders>
              <w:bottom w:val="single" w:sz="4" w:space="0" w:color="auto"/>
            </w:tcBorders>
            <w:shd w:val="clear" w:color="auto" w:fill="FABF8F"/>
            <w:vAlign w:val="center"/>
          </w:tcPr>
          <w:p w:rsidR="00A5643F" w:rsidRPr="005C0614" w:rsidRDefault="00A5643F" w:rsidP="005C0614">
            <w:pPr>
              <w:pStyle w:val="Heading2"/>
              <w:spacing w:before="20" w:after="20"/>
              <w:ind w:left="0"/>
              <w:rPr>
                <w:rFonts w:ascii="Tahoma" w:hAnsi="Tahoma" w:cs="Tahoma"/>
                <w:b w:val="0"/>
                <w:color w:val="000000"/>
                <w:sz w:val="14"/>
                <w:szCs w:val="14"/>
              </w:rPr>
            </w:pPr>
            <w:bookmarkStart w:id="595" w:name="_Toc336338159"/>
            <w:bookmarkStart w:id="596" w:name="_Toc352234227"/>
            <w:r w:rsidRPr="005C0614">
              <w:rPr>
                <w:rFonts w:ascii="Tahoma" w:hAnsi="Tahoma" w:cs="Tahoma"/>
                <w:b w:val="0"/>
                <w:sz w:val="14"/>
                <w:szCs w:val="14"/>
              </w:rPr>
              <w:t>Windows Small Business Server 2011 CAL Suite (5 clientes)</w:t>
            </w:r>
            <w:bookmarkEnd w:id="595"/>
            <w:bookmarkEnd w:id="596"/>
          </w:p>
        </w:tc>
        <w:tc>
          <w:tcPr>
            <w:tcW w:w="450" w:type="dxa"/>
            <w:tcBorders>
              <w:bottom w:val="single" w:sz="4" w:space="0" w:color="auto"/>
            </w:tcBorders>
            <w:shd w:val="clear" w:color="auto" w:fill="FABF8F"/>
            <w:vAlign w:val="center"/>
          </w:tcPr>
          <w:p w:rsidR="00A5643F" w:rsidRPr="00B01D7E" w:rsidRDefault="008719E7" w:rsidP="00CE54BA">
            <w:pPr>
              <w:pStyle w:val="TableText"/>
              <w:widowControl w:val="0"/>
              <w:spacing w:before="20" w:after="20"/>
              <w:rPr>
                <w:rStyle w:val="EndnoteReference"/>
                <w:b w:val="0"/>
                <w:sz w:val="13"/>
                <w:szCs w:val="13"/>
                <w:u w:val="single"/>
              </w:rPr>
            </w:pPr>
            <w:hyperlink w:anchor="_119_Windows_Small" w:history="1">
              <w:r w:rsidR="005B0EC7" w:rsidRPr="00B01D7E">
                <w:rPr>
                  <w:rStyle w:val="Hyperlink"/>
                  <w:b/>
                  <w:sz w:val="13"/>
                  <w:szCs w:val="13"/>
                </w:rPr>
                <w:t>110</w:t>
              </w:r>
            </w:hyperlink>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color w:val="000000"/>
                <w:sz w:val="13"/>
              </w:rPr>
              <w:t>LO/OV</w:t>
            </w:r>
          </w:p>
        </w:tc>
      </w:tr>
      <w:tr w:rsidR="00F76ED4" w:rsidRPr="00416070" w:rsidTr="005C0614">
        <w:trPr>
          <w:gridBefore w:val="1"/>
          <w:wBefore w:w="20" w:type="dxa"/>
          <w:trHeight w:val="145"/>
        </w:trPr>
        <w:tc>
          <w:tcPr>
            <w:tcW w:w="2714" w:type="dxa"/>
            <w:tcBorders>
              <w:bottom w:val="single" w:sz="4" w:space="0" w:color="auto"/>
            </w:tcBorders>
            <w:shd w:val="clear" w:color="auto" w:fill="auto"/>
            <w:vAlign w:val="center"/>
          </w:tcPr>
          <w:p w:rsidR="00A5643F" w:rsidRPr="005C0614" w:rsidRDefault="00A5643F" w:rsidP="005C0614">
            <w:pPr>
              <w:pStyle w:val="Heading2"/>
              <w:spacing w:before="20" w:after="20"/>
              <w:ind w:left="0"/>
              <w:rPr>
                <w:rFonts w:ascii="Tahoma" w:hAnsi="Tahoma" w:cs="Tahoma"/>
                <w:b w:val="0"/>
                <w:color w:val="000000"/>
                <w:sz w:val="14"/>
                <w:szCs w:val="14"/>
              </w:rPr>
            </w:pPr>
            <w:bookmarkStart w:id="597" w:name="_Toc336338160"/>
            <w:bookmarkStart w:id="598" w:name="_Toc352234228"/>
            <w:r w:rsidRPr="005C0614">
              <w:rPr>
                <w:rFonts w:ascii="Tahoma" w:hAnsi="Tahoma" w:cs="Tahoma"/>
                <w:b w:val="0"/>
                <w:sz w:val="14"/>
                <w:szCs w:val="14"/>
              </w:rPr>
              <w:t>Windows Small Business Server 2011 CAL Suite (20 clientes)</w:t>
            </w:r>
            <w:bookmarkEnd w:id="597"/>
            <w:bookmarkEnd w:id="598"/>
            <w:r w:rsidRPr="005C0614">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B01D7E" w:rsidRDefault="008719E7" w:rsidP="00CE54BA">
            <w:pPr>
              <w:pStyle w:val="TableText"/>
              <w:widowControl w:val="0"/>
              <w:spacing w:before="20" w:after="20"/>
              <w:rPr>
                <w:rStyle w:val="EndnoteReference"/>
                <w:b w:val="0"/>
                <w:sz w:val="13"/>
                <w:szCs w:val="13"/>
                <w:u w:val="single"/>
              </w:rPr>
            </w:pPr>
            <w:hyperlink w:anchor="_119_Windows_Small" w:history="1">
              <w:r w:rsidR="00FD7426" w:rsidRPr="00B01D7E">
                <w:rPr>
                  <w:rStyle w:val="Hyperlink"/>
                  <w:b/>
                  <w:sz w:val="13"/>
                  <w:szCs w:val="13"/>
                </w:rPr>
                <w:t>110</w:t>
              </w:r>
            </w:hyperlink>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color w:val="000000"/>
                <w:sz w:val="13"/>
              </w:rPr>
              <w:t>LO/OV</w:t>
            </w:r>
          </w:p>
        </w:tc>
      </w:tr>
      <w:tr w:rsidR="00A5643F" w:rsidRPr="00416070" w:rsidTr="005C0614">
        <w:trPr>
          <w:gridBefore w:val="1"/>
          <w:wBefore w:w="20" w:type="dxa"/>
          <w:trHeight w:val="145"/>
        </w:trPr>
        <w:tc>
          <w:tcPr>
            <w:tcW w:w="2714" w:type="dxa"/>
            <w:tcBorders>
              <w:bottom w:val="single" w:sz="4" w:space="0" w:color="auto"/>
            </w:tcBorders>
            <w:shd w:val="clear" w:color="auto" w:fill="FABF8F"/>
            <w:vAlign w:val="center"/>
          </w:tcPr>
          <w:p w:rsidR="00A5643F" w:rsidRPr="005C0614" w:rsidRDefault="00A5643F" w:rsidP="005C0614">
            <w:pPr>
              <w:pStyle w:val="Heading2"/>
              <w:spacing w:before="20" w:after="20"/>
              <w:ind w:left="0"/>
              <w:rPr>
                <w:rFonts w:ascii="Tahoma" w:hAnsi="Tahoma" w:cs="Tahoma"/>
                <w:b w:val="0"/>
                <w:sz w:val="14"/>
                <w:szCs w:val="14"/>
              </w:rPr>
            </w:pPr>
            <w:bookmarkStart w:id="599" w:name="_Toc336338161"/>
            <w:bookmarkStart w:id="600" w:name="_Toc352234229"/>
            <w:r w:rsidRPr="005C0614">
              <w:rPr>
                <w:rFonts w:ascii="Tahoma" w:hAnsi="Tahoma" w:cs="Tahoma"/>
                <w:b w:val="0"/>
                <w:sz w:val="14"/>
                <w:szCs w:val="14"/>
              </w:rPr>
              <w:t>Complemento do Windows Small Business Server 2011 Premium (5 clientes)</w:t>
            </w:r>
            <w:bookmarkEnd w:id="599"/>
            <w:bookmarkEnd w:id="600"/>
          </w:p>
        </w:tc>
        <w:tc>
          <w:tcPr>
            <w:tcW w:w="450" w:type="dxa"/>
            <w:tcBorders>
              <w:bottom w:val="single" w:sz="4" w:space="0" w:color="auto"/>
            </w:tcBorders>
            <w:shd w:val="clear" w:color="auto" w:fill="FABF8F"/>
            <w:vAlign w:val="center"/>
          </w:tcPr>
          <w:p w:rsidR="00A5643F" w:rsidRPr="00B01D7E" w:rsidRDefault="008719E7" w:rsidP="00CE54BA">
            <w:pPr>
              <w:pStyle w:val="TableText"/>
              <w:widowControl w:val="0"/>
              <w:spacing w:before="20" w:after="20"/>
              <w:rPr>
                <w:rStyle w:val="EndnoteReference"/>
                <w:rFonts w:cs="Tahoma"/>
                <w:b w:val="0"/>
                <w:color w:val="0000FF"/>
                <w:sz w:val="13"/>
                <w:szCs w:val="13"/>
                <w:u w:val="single"/>
              </w:rPr>
            </w:pPr>
            <w:hyperlink w:anchor="_111_Pacote_de" w:history="1">
              <w:r w:rsidR="005B0EC7" w:rsidRPr="00B01D7E">
                <w:rPr>
                  <w:rStyle w:val="Hyperlink"/>
                  <w:b/>
                  <w:sz w:val="13"/>
                  <w:szCs w:val="13"/>
                </w:rPr>
                <w:t>111</w:t>
              </w:r>
            </w:hyperlink>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A5643F" w:rsidRPr="00416070" w:rsidTr="005C0614">
        <w:trPr>
          <w:gridBefore w:val="1"/>
          <w:wBefore w:w="20" w:type="dxa"/>
          <w:trHeight w:val="145"/>
        </w:trPr>
        <w:tc>
          <w:tcPr>
            <w:tcW w:w="2714" w:type="dxa"/>
            <w:tcBorders>
              <w:bottom w:val="single" w:sz="4" w:space="0" w:color="auto"/>
            </w:tcBorders>
            <w:shd w:val="clear" w:color="auto" w:fill="auto"/>
            <w:vAlign w:val="center"/>
          </w:tcPr>
          <w:p w:rsidR="00A5643F" w:rsidRPr="005C0614" w:rsidRDefault="00A5643F" w:rsidP="005C0614">
            <w:pPr>
              <w:pStyle w:val="Heading2"/>
              <w:spacing w:before="20" w:after="20"/>
              <w:ind w:left="0"/>
              <w:rPr>
                <w:rFonts w:ascii="Tahoma" w:hAnsi="Tahoma" w:cs="Tahoma"/>
                <w:b w:val="0"/>
                <w:sz w:val="14"/>
                <w:szCs w:val="14"/>
              </w:rPr>
            </w:pPr>
            <w:bookmarkStart w:id="601" w:name="_Toc336338162"/>
            <w:bookmarkStart w:id="602" w:name="_Toc352234230"/>
            <w:r w:rsidRPr="005C0614">
              <w:rPr>
                <w:rFonts w:ascii="Tahoma" w:hAnsi="Tahoma" w:cs="Tahoma"/>
                <w:b w:val="0"/>
                <w:sz w:val="14"/>
                <w:szCs w:val="14"/>
              </w:rPr>
              <w:t>Pacote de CALs do Complemento do Windows Small Business Server (SBS) 2011 Premium</w:t>
            </w:r>
            <w:bookmarkEnd w:id="601"/>
            <w:bookmarkEnd w:id="602"/>
            <w:r w:rsidRPr="005C0614">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B01D7E" w:rsidRDefault="008719E7" w:rsidP="00CE54BA">
            <w:pPr>
              <w:pStyle w:val="TableText"/>
              <w:widowControl w:val="0"/>
              <w:spacing w:before="20" w:after="20"/>
              <w:rPr>
                <w:b/>
                <w:sz w:val="13"/>
                <w:szCs w:val="13"/>
                <w:u w:val="single"/>
              </w:rPr>
            </w:pPr>
            <w:hyperlink w:anchor="_112_Complemento_do" w:history="1">
              <w:r w:rsidR="005B0EC7" w:rsidRPr="00B01D7E">
                <w:rPr>
                  <w:rStyle w:val="Hyperlink"/>
                  <w:b/>
                  <w:sz w:val="13"/>
                  <w:szCs w:val="13"/>
                </w:rPr>
                <w:t>112</w:t>
              </w:r>
            </w:hyperlink>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E, P</w:t>
            </w:r>
          </w:p>
        </w:tc>
        <w:tc>
          <w:tcPr>
            <w:tcW w:w="63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A,ST</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r>
      <w:tr w:rsidR="00A5643F" w:rsidRPr="00416070" w:rsidTr="005C0614">
        <w:trPr>
          <w:gridBefore w:val="1"/>
          <w:wBefore w:w="20" w:type="dxa"/>
          <w:trHeight w:val="145"/>
        </w:trPr>
        <w:tc>
          <w:tcPr>
            <w:tcW w:w="2714" w:type="dxa"/>
            <w:tcBorders>
              <w:bottom w:val="single" w:sz="4" w:space="0" w:color="auto"/>
            </w:tcBorders>
            <w:shd w:val="clear" w:color="auto" w:fill="FABF8F"/>
            <w:vAlign w:val="center"/>
          </w:tcPr>
          <w:p w:rsidR="00A5643F" w:rsidRPr="005C0614" w:rsidRDefault="00A5643F" w:rsidP="005C0614">
            <w:pPr>
              <w:pStyle w:val="Heading2"/>
              <w:spacing w:before="20" w:after="20"/>
              <w:ind w:left="0"/>
              <w:rPr>
                <w:rFonts w:ascii="Tahoma" w:hAnsi="Tahoma" w:cs="Tahoma"/>
                <w:b w:val="0"/>
                <w:sz w:val="14"/>
                <w:szCs w:val="14"/>
              </w:rPr>
            </w:pPr>
            <w:bookmarkStart w:id="603" w:name="_Toc336338163"/>
            <w:bookmarkStart w:id="604" w:name="_Toc352234231"/>
            <w:r w:rsidRPr="005C0614">
              <w:rPr>
                <w:rFonts w:ascii="Tahoma" w:hAnsi="Tahoma" w:cs="Tahoma"/>
                <w:b w:val="0"/>
                <w:sz w:val="14"/>
                <w:szCs w:val="14"/>
              </w:rPr>
              <w:t>Pacote de CALs do Complemento do Windows Small Business Server 2011 (5</w:t>
            </w:r>
            <w:r w:rsidR="00DE1733">
              <w:rPr>
                <w:rFonts w:ascii="Tahoma" w:hAnsi="Tahoma" w:cs="Tahoma"/>
                <w:sz w:val="14"/>
                <w:szCs w:val="14"/>
              </w:rPr>
              <w:t> </w:t>
            </w:r>
            <w:r w:rsidRPr="005C0614">
              <w:rPr>
                <w:rFonts w:ascii="Tahoma" w:hAnsi="Tahoma" w:cs="Tahoma"/>
                <w:b w:val="0"/>
                <w:sz w:val="14"/>
                <w:szCs w:val="14"/>
              </w:rPr>
              <w:t>clientes)</w:t>
            </w:r>
            <w:bookmarkEnd w:id="603"/>
            <w:bookmarkEnd w:id="604"/>
          </w:p>
        </w:tc>
        <w:tc>
          <w:tcPr>
            <w:tcW w:w="450" w:type="dxa"/>
            <w:tcBorders>
              <w:bottom w:val="single" w:sz="4" w:space="0" w:color="auto"/>
            </w:tcBorders>
            <w:shd w:val="clear" w:color="auto" w:fill="FABF8F"/>
            <w:vAlign w:val="center"/>
          </w:tcPr>
          <w:p w:rsidR="00A5643F" w:rsidRPr="00B01D7E" w:rsidRDefault="008719E7" w:rsidP="00CE54BA">
            <w:pPr>
              <w:pStyle w:val="TableText"/>
              <w:widowControl w:val="0"/>
              <w:spacing w:before="20" w:after="20"/>
              <w:rPr>
                <w:b/>
                <w:sz w:val="13"/>
                <w:szCs w:val="13"/>
                <w:u w:val="single"/>
              </w:rPr>
            </w:pPr>
            <w:hyperlink w:anchor="_112_Complemento_do" w:history="1">
              <w:r w:rsidR="005B0EC7" w:rsidRPr="00B01D7E">
                <w:rPr>
                  <w:rStyle w:val="Hyperlink"/>
                  <w:b/>
                  <w:sz w:val="13"/>
                  <w:szCs w:val="13"/>
                </w:rPr>
                <w:t>112</w:t>
              </w:r>
            </w:hyperlink>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LO/OV</w:t>
            </w:r>
          </w:p>
        </w:tc>
      </w:tr>
      <w:tr w:rsidR="00A5643F" w:rsidRPr="00416070" w:rsidTr="005C0614">
        <w:trPr>
          <w:gridBefore w:val="1"/>
          <w:wBefore w:w="20" w:type="dxa"/>
          <w:trHeight w:val="440"/>
        </w:trPr>
        <w:tc>
          <w:tcPr>
            <w:tcW w:w="2714" w:type="dxa"/>
            <w:tcBorders>
              <w:bottom w:val="single" w:sz="4" w:space="0" w:color="auto"/>
            </w:tcBorders>
            <w:shd w:val="clear" w:color="auto" w:fill="auto"/>
            <w:vAlign w:val="center"/>
          </w:tcPr>
          <w:p w:rsidR="00A5643F" w:rsidRPr="005C0614" w:rsidRDefault="00A5643F" w:rsidP="005C0614">
            <w:pPr>
              <w:pStyle w:val="Heading2"/>
              <w:spacing w:before="20" w:after="20"/>
              <w:ind w:left="0"/>
              <w:rPr>
                <w:rFonts w:ascii="Tahoma" w:hAnsi="Tahoma" w:cs="Tahoma"/>
                <w:b w:val="0"/>
                <w:sz w:val="14"/>
                <w:szCs w:val="14"/>
              </w:rPr>
            </w:pPr>
            <w:bookmarkStart w:id="605" w:name="_Toc336338164"/>
            <w:bookmarkStart w:id="606" w:name="_Toc352234232"/>
            <w:r w:rsidRPr="005C0614">
              <w:rPr>
                <w:rFonts w:ascii="Tahoma" w:hAnsi="Tahoma" w:cs="Tahoma"/>
                <w:b w:val="0"/>
                <w:sz w:val="14"/>
                <w:szCs w:val="14"/>
              </w:rPr>
              <w:t>Pacote de CALs do Complemento do Windows Small Business Server 2011 (20</w:t>
            </w:r>
            <w:r w:rsidR="00DE1733">
              <w:rPr>
                <w:rFonts w:ascii="Tahoma" w:hAnsi="Tahoma" w:cs="Tahoma"/>
                <w:sz w:val="14"/>
                <w:szCs w:val="14"/>
              </w:rPr>
              <w:t> </w:t>
            </w:r>
            <w:r w:rsidRPr="005C0614">
              <w:rPr>
                <w:rFonts w:ascii="Tahoma" w:hAnsi="Tahoma" w:cs="Tahoma"/>
                <w:b w:val="0"/>
                <w:sz w:val="14"/>
                <w:szCs w:val="14"/>
              </w:rPr>
              <w:t>clientes)</w:t>
            </w:r>
            <w:bookmarkEnd w:id="605"/>
            <w:bookmarkEnd w:id="606"/>
          </w:p>
        </w:tc>
        <w:tc>
          <w:tcPr>
            <w:tcW w:w="450" w:type="dxa"/>
            <w:tcBorders>
              <w:bottom w:val="single" w:sz="4" w:space="0" w:color="auto"/>
            </w:tcBorders>
            <w:shd w:val="clear" w:color="auto" w:fill="auto"/>
            <w:vAlign w:val="center"/>
          </w:tcPr>
          <w:p w:rsidR="00A5643F" w:rsidRPr="00B01D7E" w:rsidRDefault="008719E7" w:rsidP="00CE54BA">
            <w:pPr>
              <w:pStyle w:val="TableText"/>
              <w:widowControl w:val="0"/>
              <w:spacing w:before="20" w:after="20"/>
              <w:rPr>
                <w:b/>
                <w:sz w:val="13"/>
                <w:szCs w:val="13"/>
                <w:u w:val="single"/>
              </w:rPr>
            </w:pPr>
            <w:hyperlink w:anchor="_112_Complemento_do" w:history="1">
              <w:r w:rsidR="005B0EC7" w:rsidRPr="00B01D7E">
                <w:rPr>
                  <w:rStyle w:val="Hyperlink"/>
                  <w:b/>
                  <w:sz w:val="13"/>
                  <w:szCs w:val="13"/>
                </w:rPr>
                <w:t>112</w:t>
              </w:r>
            </w:hyperlink>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color w:val="000000"/>
                <w:sz w:val="13"/>
              </w:rPr>
              <w:t>LO/OV</w:t>
            </w:r>
          </w:p>
        </w:tc>
      </w:tr>
      <w:tr w:rsidR="00A5643F" w:rsidRPr="00416070" w:rsidTr="005C0614">
        <w:trPr>
          <w:gridBefore w:val="1"/>
          <w:wBefore w:w="20" w:type="dxa"/>
          <w:trHeight w:val="440"/>
        </w:trPr>
        <w:tc>
          <w:tcPr>
            <w:tcW w:w="2714" w:type="dxa"/>
            <w:tcBorders>
              <w:bottom w:val="single" w:sz="4" w:space="0" w:color="auto"/>
            </w:tcBorders>
            <w:shd w:val="clear" w:color="auto" w:fill="FABF8F"/>
            <w:vAlign w:val="center"/>
          </w:tcPr>
          <w:p w:rsidR="00A5643F" w:rsidRPr="005C0614" w:rsidRDefault="00A5643F" w:rsidP="005C0614">
            <w:pPr>
              <w:pStyle w:val="Heading2"/>
              <w:spacing w:before="20" w:after="20"/>
              <w:ind w:left="0"/>
              <w:rPr>
                <w:rFonts w:ascii="Tahoma" w:hAnsi="Tahoma" w:cs="Tahoma"/>
                <w:b w:val="0"/>
                <w:sz w:val="14"/>
                <w:szCs w:val="14"/>
              </w:rPr>
            </w:pPr>
            <w:bookmarkStart w:id="607" w:name="_Toc336338165"/>
            <w:bookmarkStart w:id="608" w:name="_Toc352234233"/>
            <w:r w:rsidRPr="005C0614">
              <w:rPr>
                <w:rFonts w:ascii="Tahoma" w:hAnsi="Tahoma" w:cs="Tahoma"/>
                <w:b w:val="0"/>
                <w:sz w:val="14"/>
                <w:szCs w:val="14"/>
              </w:rPr>
              <w:t>Windows Server Essentials 2012</w:t>
            </w:r>
            <w:bookmarkEnd w:id="607"/>
            <w:bookmarkEnd w:id="608"/>
          </w:p>
        </w:tc>
        <w:tc>
          <w:tcPr>
            <w:tcW w:w="450" w:type="dxa"/>
            <w:tcBorders>
              <w:bottom w:val="single" w:sz="4" w:space="0" w:color="auto"/>
            </w:tcBorders>
            <w:shd w:val="clear" w:color="auto" w:fill="FABF8F"/>
            <w:vAlign w:val="center"/>
          </w:tcPr>
          <w:p w:rsidR="00A5643F" w:rsidRPr="00B01D7E" w:rsidRDefault="00A5643F" w:rsidP="00CE54BA">
            <w:pPr>
              <w:pStyle w:val="TableText"/>
              <w:widowControl w:val="0"/>
              <w:spacing w:before="20" w:after="20"/>
              <w:rPr>
                <w:b/>
                <w:sz w:val="13"/>
                <w:szCs w:val="13"/>
                <w:u w:val="single"/>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P</w:t>
            </w:r>
          </w:p>
        </w:tc>
        <w:tc>
          <w:tcPr>
            <w:tcW w:w="63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FABF8F"/>
            <w:vAlign w:val="center"/>
          </w:tcPr>
          <w:p w:rsidR="00A5643F" w:rsidRPr="00416070" w:rsidRDefault="00A5643F" w:rsidP="00CE54BA">
            <w:pPr>
              <w:pStyle w:val="TableText"/>
              <w:widowControl w:val="0"/>
              <w:spacing w:before="20" w:after="20"/>
              <w:rPr>
                <w:rFonts w:ascii="Tahoma" w:hAnsi="Tahoma" w:cs="Tahoma"/>
                <w:color w:val="000000"/>
                <w:sz w:val="13"/>
              </w:rPr>
            </w:pPr>
          </w:p>
        </w:tc>
      </w:tr>
      <w:tr w:rsidR="00A5643F" w:rsidRPr="00416070" w:rsidTr="005C0614">
        <w:trPr>
          <w:gridBefore w:val="1"/>
          <w:wBefore w:w="20" w:type="dxa"/>
          <w:trHeight w:val="145"/>
        </w:trPr>
        <w:tc>
          <w:tcPr>
            <w:tcW w:w="2714" w:type="dxa"/>
            <w:shd w:val="clear" w:color="auto" w:fill="auto"/>
            <w:vAlign w:val="center"/>
          </w:tcPr>
          <w:p w:rsidR="00A5643F" w:rsidRPr="005C0614" w:rsidRDefault="00A5643F" w:rsidP="005C0614">
            <w:pPr>
              <w:pStyle w:val="Heading2"/>
              <w:spacing w:before="20" w:after="20"/>
              <w:ind w:left="0"/>
              <w:rPr>
                <w:rFonts w:ascii="Tahoma" w:hAnsi="Tahoma" w:cs="Tahoma"/>
                <w:b w:val="0"/>
                <w:sz w:val="14"/>
                <w:szCs w:val="14"/>
              </w:rPr>
            </w:pPr>
            <w:bookmarkStart w:id="609" w:name="_Toc336338166"/>
            <w:bookmarkStart w:id="610" w:name="_Toc352234234"/>
            <w:r w:rsidRPr="005C0614">
              <w:rPr>
                <w:rFonts w:ascii="Tahoma" w:hAnsi="Tahoma" w:cs="Tahoma"/>
                <w:b w:val="0"/>
                <w:sz w:val="14"/>
                <w:szCs w:val="14"/>
              </w:rPr>
              <w:t>Windows Small Business Server 2011 Essentials</w:t>
            </w:r>
            <w:bookmarkEnd w:id="609"/>
            <w:bookmarkEnd w:id="610"/>
          </w:p>
        </w:tc>
        <w:tc>
          <w:tcPr>
            <w:tcW w:w="450" w:type="dxa"/>
            <w:shd w:val="clear" w:color="auto" w:fill="auto"/>
            <w:vAlign w:val="center"/>
          </w:tcPr>
          <w:p w:rsidR="00A5643F" w:rsidRPr="00B01D7E" w:rsidRDefault="008719E7" w:rsidP="00CE54BA">
            <w:pPr>
              <w:pStyle w:val="TableText"/>
              <w:widowControl w:val="0"/>
              <w:spacing w:before="20" w:after="20"/>
              <w:rPr>
                <w:b/>
                <w:sz w:val="13"/>
                <w:szCs w:val="13"/>
                <w:u w:val="single"/>
              </w:rPr>
            </w:pPr>
            <w:hyperlink w:anchor="_113_Pacote_de" w:history="1">
              <w:r w:rsidR="005B0EC7" w:rsidRPr="00FD7426">
                <w:rPr>
                  <w:rStyle w:val="Hyperlink"/>
                  <w:b/>
                  <w:sz w:val="13"/>
                  <w:szCs w:val="13"/>
                </w:rPr>
                <w:t>113</w:t>
              </w:r>
            </w:hyperlink>
          </w:p>
        </w:tc>
        <w:tc>
          <w:tcPr>
            <w:tcW w:w="450" w:type="dxa"/>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05/11</w:t>
            </w:r>
          </w:p>
        </w:tc>
        <w:tc>
          <w:tcPr>
            <w:tcW w:w="360" w:type="dxa"/>
            <w:tcBorders>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630" w:type="dxa"/>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r>
      <w:tr w:rsidR="00CE1716" w:rsidRPr="00416070" w:rsidTr="005C0614">
        <w:trPr>
          <w:gridBefore w:val="1"/>
          <w:wBefore w:w="20" w:type="dxa"/>
          <w:trHeight w:val="359"/>
        </w:trPr>
        <w:tc>
          <w:tcPr>
            <w:tcW w:w="2714" w:type="dxa"/>
            <w:tcBorders>
              <w:bottom w:val="single" w:sz="4" w:space="0" w:color="auto"/>
            </w:tcBorders>
            <w:shd w:val="clear" w:color="auto" w:fill="FABF8F"/>
            <w:vAlign w:val="center"/>
          </w:tcPr>
          <w:p w:rsidR="00CE1716" w:rsidRPr="005C0614" w:rsidRDefault="00CE1716" w:rsidP="005C0614">
            <w:pPr>
              <w:pStyle w:val="Heading2"/>
              <w:keepNext/>
              <w:spacing w:before="20" w:after="20"/>
              <w:ind w:left="0"/>
              <w:rPr>
                <w:rFonts w:ascii="Tahoma" w:hAnsi="Tahoma" w:cs="Tahoma"/>
                <w:b w:val="0"/>
                <w:sz w:val="14"/>
                <w:szCs w:val="14"/>
              </w:rPr>
            </w:pPr>
            <w:bookmarkStart w:id="611" w:name="_Toc352234235"/>
            <w:r w:rsidRPr="005C0614">
              <w:rPr>
                <w:rFonts w:ascii="Tahoma" w:hAnsi="Tahoma" w:cs="Tahoma"/>
                <w:b w:val="0"/>
                <w:sz w:val="14"/>
                <w:szCs w:val="14"/>
              </w:rPr>
              <w:t>Windows Web Server 2008 R2</w:t>
            </w:r>
            <w:bookmarkEnd w:id="611"/>
          </w:p>
        </w:tc>
        <w:tc>
          <w:tcPr>
            <w:tcW w:w="450" w:type="dxa"/>
            <w:tcBorders>
              <w:bottom w:val="single" w:sz="4" w:space="0" w:color="auto"/>
            </w:tcBorders>
            <w:shd w:val="clear" w:color="auto" w:fill="FABF8F"/>
            <w:vAlign w:val="center"/>
          </w:tcPr>
          <w:p w:rsidR="00CE1716" w:rsidRPr="00B01D7E" w:rsidRDefault="008719E7" w:rsidP="00CE54BA">
            <w:pPr>
              <w:pStyle w:val="TableText"/>
              <w:keepNext/>
              <w:widowControl w:val="0"/>
              <w:spacing w:before="20" w:after="20"/>
              <w:rPr>
                <w:rStyle w:val="EndnoteReference"/>
                <w:b w:val="0"/>
                <w:sz w:val="13"/>
                <w:szCs w:val="13"/>
                <w:u w:val="single"/>
              </w:rPr>
            </w:pPr>
            <w:hyperlink w:anchor="_124_Windows_Small_1" w:history="1">
              <w:r w:rsidR="005B0EC7" w:rsidRPr="00B01D7E">
                <w:rPr>
                  <w:rStyle w:val="Hyperlink"/>
                  <w:b/>
                  <w:sz w:val="13"/>
                  <w:szCs w:val="13"/>
                </w:rPr>
                <w:t>114</w:t>
              </w:r>
            </w:hyperlink>
          </w:p>
        </w:tc>
        <w:tc>
          <w:tcPr>
            <w:tcW w:w="450" w:type="dxa"/>
            <w:tcBorders>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color w:val="000000"/>
                <w:sz w:val="13"/>
              </w:rPr>
            </w:pPr>
            <w:r w:rsidRPr="00416070">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color w:val="000000"/>
                <w:sz w:val="13"/>
              </w:rPr>
            </w:pPr>
            <w:r w:rsidRPr="00416070">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sz w:val="13"/>
              </w:rPr>
            </w:pPr>
          </w:p>
        </w:tc>
        <w:tc>
          <w:tcPr>
            <w:tcW w:w="630" w:type="dxa"/>
            <w:tcBorders>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color w:val="000000"/>
                <w:sz w:val="13"/>
              </w:rPr>
            </w:pPr>
          </w:p>
        </w:tc>
        <w:tc>
          <w:tcPr>
            <w:tcW w:w="450" w:type="dxa"/>
            <w:tcBorders>
              <w:bottom w:val="single" w:sz="4" w:space="0" w:color="auto"/>
            </w:tcBorders>
            <w:shd w:val="clear" w:color="auto" w:fill="FABF8F"/>
            <w:vAlign w:val="center"/>
          </w:tcPr>
          <w:p w:rsidR="00CE1716" w:rsidRPr="00416070" w:rsidRDefault="00CE1716" w:rsidP="00CE54BA">
            <w:pPr>
              <w:pStyle w:val="TableText"/>
              <w:keepNext/>
              <w:widowControl w:val="0"/>
              <w:spacing w:before="20" w:after="20"/>
              <w:rPr>
                <w:rFonts w:ascii="Tahoma" w:hAnsi="Tahoma" w:cs="Tahoma"/>
                <w:color w:val="000000"/>
                <w:sz w:val="13"/>
              </w:rPr>
            </w:pPr>
          </w:p>
        </w:tc>
      </w:tr>
      <w:tr w:rsidR="00A5643F" w:rsidRPr="00416070" w:rsidTr="005C0614">
        <w:trPr>
          <w:gridBefore w:val="1"/>
          <w:wBefore w:w="20" w:type="dxa"/>
          <w:trHeight w:val="145"/>
        </w:trPr>
        <w:tc>
          <w:tcPr>
            <w:tcW w:w="2714" w:type="dxa"/>
            <w:tcBorders>
              <w:bottom w:val="single" w:sz="4" w:space="0" w:color="auto"/>
            </w:tcBorders>
            <w:shd w:val="clear" w:color="auto" w:fill="auto"/>
            <w:vAlign w:val="center"/>
          </w:tcPr>
          <w:p w:rsidR="00A5643F" w:rsidRPr="005C0614" w:rsidRDefault="00A5643F" w:rsidP="005C0614">
            <w:pPr>
              <w:pStyle w:val="Heading2"/>
              <w:spacing w:before="20" w:after="20"/>
              <w:ind w:left="0"/>
              <w:rPr>
                <w:rFonts w:ascii="Tahoma" w:hAnsi="Tahoma" w:cs="Tahoma"/>
                <w:b w:val="0"/>
                <w:sz w:val="14"/>
                <w:szCs w:val="14"/>
              </w:rPr>
            </w:pPr>
            <w:bookmarkStart w:id="612" w:name="_Toc352234236"/>
            <w:r w:rsidRPr="005C0614">
              <w:rPr>
                <w:rFonts w:ascii="Tahoma" w:hAnsi="Tahoma" w:cs="Tahoma"/>
                <w:b w:val="0"/>
                <w:sz w:val="14"/>
                <w:szCs w:val="14"/>
              </w:rPr>
              <w:t>Yammer Enterprise</w:t>
            </w:r>
            <w:bookmarkEnd w:id="612"/>
          </w:p>
        </w:tc>
        <w:tc>
          <w:tcPr>
            <w:tcW w:w="450" w:type="dxa"/>
            <w:tcBorders>
              <w:bottom w:val="single" w:sz="4" w:space="0" w:color="auto"/>
            </w:tcBorders>
            <w:shd w:val="clear" w:color="auto" w:fill="auto"/>
            <w:vAlign w:val="center"/>
          </w:tcPr>
          <w:p w:rsidR="00A5643F" w:rsidRPr="00B01D7E" w:rsidRDefault="00A5643F" w:rsidP="00CE54BA">
            <w:pPr>
              <w:pStyle w:val="TableText"/>
              <w:widowControl w:val="0"/>
              <w:spacing w:before="20" w:after="20"/>
              <w:rPr>
                <w:b/>
                <w:sz w:val="13"/>
                <w:szCs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p>
        </w:tc>
        <w:tc>
          <w:tcPr>
            <w:tcW w:w="63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sz w:val="13"/>
              </w:rPr>
            </w:pPr>
            <w:r w:rsidRPr="00416070">
              <w:rPr>
                <w:rFonts w:ascii="Tahoma" w:hAnsi="Tahoma" w:cs="Tahoma"/>
                <w:sz w:val="13"/>
              </w:rPr>
              <w:t>A</w:t>
            </w:r>
          </w:p>
        </w:tc>
        <w:tc>
          <w:tcPr>
            <w:tcW w:w="450" w:type="dxa"/>
            <w:tcBorders>
              <w:bottom w:val="single" w:sz="4" w:space="0" w:color="auto"/>
            </w:tcBorders>
            <w:shd w:val="clear" w:color="auto" w:fill="auto"/>
            <w:vAlign w:val="center"/>
          </w:tcPr>
          <w:p w:rsidR="00A5643F" w:rsidRPr="00416070" w:rsidRDefault="00A5643F" w:rsidP="00CE54BA">
            <w:pPr>
              <w:pStyle w:val="TableText"/>
              <w:widowControl w:val="0"/>
              <w:spacing w:before="20" w:after="20"/>
              <w:rPr>
                <w:rFonts w:ascii="Tahoma" w:hAnsi="Tahoma" w:cs="Tahoma"/>
                <w:color w:val="000000"/>
                <w:sz w:val="13"/>
              </w:rPr>
            </w:pPr>
          </w:p>
        </w:tc>
      </w:tr>
    </w:tbl>
    <w:bookmarkStart w:id="613" w:name="_Toc349586123"/>
    <w:bookmarkStart w:id="614" w:name="_Toc349586654"/>
    <w:bookmarkStart w:id="615" w:name="_Toc351213117"/>
    <w:bookmarkStart w:id="616" w:name="_Toc352234237"/>
    <w:bookmarkStart w:id="617" w:name="_Toc336338167"/>
    <w:p w:rsidR="00612FCC" w:rsidRPr="00416070" w:rsidRDefault="003C5D8F" w:rsidP="0037071B">
      <w:pPr>
        <w:pStyle w:val="Heading1"/>
      </w:pPr>
      <w:r w:rsidRPr="00416070">
        <w:rPr>
          <w:noProof/>
          <w:sz w:val="14"/>
          <w:lang w:val="en-US" w:eastAsia="en-US"/>
        </w:rPr>
        <mc:AlternateContent>
          <mc:Choice Requires="wps">
            <w:drawing>
              <wp:anchor distT="0" distB="0" distL="114300" distR="114300" simplePos="0" relativeHeight="251656704" behindDoc="0" locked="0" layoutInCell="1" allowOverlap="1" wp14:anchorId="2687615C" wp14:editId="32AED1A7">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15ABE" w:rsidRPr="008D38F6" w:rsidRDefault="00715ABE" w:rsidP="00C8780F">
                            <w:pPr>
                              <w:rPr>
                                <w:rFonts w:cs="Tahoma"/>
                                <w:i/>
                                <w:color w:val="000000"/>
                                <w:sz w:val="14"/>
                                <w:szCs w:val="14"/>
                                <w:lang w:val="pt-BR"/>
                              </w:rPr>
                            </w:pPr>
                            <w:r w:rsidRPr="008D38F6">
                              <w:rPr>
                                <w:rFonts w:cs="Tahoma"/>
                                <w:i/>
                                <w:color w:val="000000"/>
                                <w:sz w:val="14"/>
                                <w:szCs w:val="14"/>
                                <w:lang w:val="pt-BR"/>
                              </w:rPr>
                              <w:t>Observação: se a célula correspondente ao produto estiver vazia, significa que no momento ele não é oferecido no programa.</w:t>
                            </w:r>
                          </w:p>
                          <w:p w:rsidR="00715ABE" w:rsidRPr="008D38F6" w:rsidRDefault="00715ABE" w:rsidP="00C8780F">
                            <w:pPr>
                              <w:rPr>
                                <w:rFonts w:cs="Tahoma"/>
                                <w:i/>
                                <w:color w:val="000000"/>
                                <w:sz w:val="14"/>
                                <w:szCs w:val="14"/>
                                <w:lang w:val="pt-BR"/>
                              </w:rPr>
                            </w:pPr>
                            <w:r w:rsidRPr="008D38F6">
                              <w:rPr>
                                <w:rFonts w:cs="Tahoma"/>
                                <w:i/>
                                <w:color w:val="000000"/>
                                <w:sz w:val="14"/>
                                <w:szCs w:val="14"/>
                                <w:lang w:val="pt-BR"/>
                              </w:rPr>
                              <w:t>*Para Select Plus, serão usados apenas os valores de ‘L’ e três anos para ‘L&amp;SA’ / ’SA’.</w:t>
                            </w:r>
                          </w:p>
                          <w:p w:rsidR="00715ABE" w:rsidRPr="008D38F6" w:rsidRDefault="00715ABE" w:rsidP="00C8780F">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687615C"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715ABE" w:rsidRPr="008D38F6" w:rsidRDefault="00715ABE" w:rsidP="00C8780F">
                      <w:pPr>
                        <w:rPr>
                          <w:rFonts w:cs="Tahoma"/>
                          <w:i/>
                          <w:color w:val="000000"/>
                          <w:sz w:val="14"/>
                          <w:szCs w:val="14"/>
                          <w:lang w:val="pt-BR"/>
                        </w:rPr>
                      </w:pPr>
                      <w:r w:rsidRPr="008D38F6">
                        <w:rPr>
                          <w:rFonts w:cs="Tahoma"/>
                          <w:i/>
                          <w:color w:val="000000"/>
                          <w:sz w:val="14"/>
                          <w:szCs w:val="14"/>
                          <w:lang w:val="pt-BR"/>
                        </w:rPr>
                        <w:t>Observação: se a célula correspondente ao produto estiver vazia, significa que no momento ele não é oferecido no programa.</w:t>
                      </w:r>
                    </w:p>
                    <w:p w:rsidR="00715ABE" w:rsidRPr="008D38F6" w:rsidRDefault="00715ABE" w:rsidP="00C8780F">
                      <w:pPr>
                        <w:rPr>
                          <w:rFonts w:cs="Tahoma"/>
                          <w:i/>
                          <w:color w:val="000000"/>
                          <w:sz w:val="14"/>
                          <w:szCs w:val="14"/>
                          <w:lang w:val="pt-BR"/>
                        </w:rPr>
                      </w:pPr>
                      <w:r w:rsidRPr="008D38F6">
                        <w:rPr>
                          <w:rFonts w:cs="Tahoma"/>
                          <w:i/>
                          <w:color w:val="000000"/>
                          <w:sz w:val="14"/>
                          <w:szCs w:val="14"/>
                          <w:lang w:val="pt-BR"/>
                        </w:rPr>
                        <w:t>*Para Select Plus, serão usados apenas os valores de ‘L’ e três anos para ‘L&amp;SA’ / ’SA’.</w:t>
                      </w:r>
                    </w:p>
                    <w:p w:rsidR="00715ABE" w:rsidRPr="008D38F6" w:rsidRDefault="00715ABE" w:rsidP="00C8780F">
                      <w:pPr>
                        <w:rPr>
                          <w:lang w:val="pt-BR"/>
                        </w:rPr>
                      </w:pPr>
                    </w:p>
                  </w:txbxContent>
                </v:textbox>
                <w10:wrap type="topAndBottom"/>
              </v:shape>
            </w:pict>
          </mc:Fallback>
        </mc:AlternateContent>
      </w:r>
      <w:bookmarkEnd w:id="613"/>
      <w:bookmarkEnd w:id="614"/>
      <w:bookmarkEnd w:id="615"/>
      <w:bookmarkEnd w:id="616"/>
      <w:r w:rsidR="005B0EC7" w:rsidRPr="00416070">
        <w:br w:type="page"/>
      </w:r>
    </w:p>
    <w:p w:rsidR="00023FE7" w:rsidRPr="00416070" w:rsidRDefault="00A33112" w:rsidP="003179E3">
      <w:pPr>
        <w:pStyle w:val="Heading1"/>
        <w:spacing w:before="0"/>
      </w:pPr>
      <w:bookmarkStart w:id="618" w:name="_Toc349586124"/>
      <w:bookmarkStart w:id="619" w:name="_Toc352234238"/>
      <w:r w:rsidRPr="00416070">
        <w:lastRenderedPageBreak/>
        <w:t>SEÇÃO 1 – Alterações na LISTA DE PRODUTOS nos</w:t>
      </w:r>
      <w:bookmarkEnd w:id="618"/>
      <w:r w:rsidRPr="00416070">
        <w:t xml:space="preserve"> últimos 12 meses</w:t>
      </w:r>
      <w:bookmarkEnd w:id="617"/>
      <w:bookmarkEnd w:id="619"/>
    </w:p>
    <w:p w:rsidR="0064651F" w:rsidRPr="00416070" w:rsidRDefault="0064651F" w:rsidP="004759C6">
      <w:pPr>
        <w:pStyle w:val="Heading2"/>
        <w:ind w:left="0"/>
        <w:jc w:val="both"/>
        <w:rPr>
          <w:rFonts w:ascii="Tahoma" w:hAnsi="Tahoma" w:cs="Tahoma"/>
        </w:rPr>
      </w:pPr>
      <w:bookmarkStart w:id="620" w:name="_Toc336338168"/>
    </w:p>
    <w:p w:rsidR="00B65F35" w:rsidRPr="00416070" w:rsidRDefault="00B65F35" w:rsidP="00B65F35">
      <w:pPr>
        <w:pStyle w:val="Heading2"/>
        <w:ind w:left="0"/>
        <w:jc w:val="both"/>
      </w:pPr>
      <w:bookmarkStart w:id="621" w:name="_Toc352234239"/>
      <w:r w:rsidRPr="00416070">
        <w:rPr>
          <w:rFonts w:ascii="Tahoma" w:hAnsi="Tahoma" w:cs="Tahoma"/>
          <w:color w:val="FF6600"/>
        </w:rPr>
        <w:t>ALTERAÇÕES EM ABRIL DE 2013</w:t>
      </w:r>
      <w:bookmarkEnd w:id="621"/>
    </w:p>
    <w:p w:rsidR="00B65F35" w:rsidRPr="00416070" w:rsidRDefault="00B65F35" w:rsidP="004759C6">
      <w:pPr>
        <w:pStyle w:val="Heading2"/>
        <w:ind w:left="0"/>
        <w:jc w:val="both"/>
        <w:rPr>
          <w:rFonts w:ascii="Tahoma" w:hAnsi="Tahoma" w:cs="Tahoma"/>
        </w:rPr>
      </w:pPr>
    </w:p>
    <w:p w:rsidR="00B65F35" w:rsidRPr="008D38F6" w:rsidRDefault="00B65F35" w:rsidP="00B65F35">
      <w:pPr>
        <w:spacing w:after="60"/>
        <w:rPr>
          <w:lang w:val="pt-BR"/>
        </w:rPr>
      </w:pPr>
      <w:r w:rsidRPr="008D38F6">
        <w:rPr>
          <w:b/>
          <w:lang w:val="pt-BR"/>
        </w:rPr>
        <w:t>Adições</w:t>
      </w:r>
    </w:p>
    <w:p w:rsidR="00D02D7A" w:rsidRPr="008D38F6" w:rsidRDefault="00D02D7A" w:rsidP="00D02D7A">
      <w:pPr>
        <w:rPr>
          <w:lang w:val="pt-BR"/>
        </w:rPr>
      </w:pPr>
      <w:r w:rsidRPr="008D38F6">
        <w:rPr>
          <w:lang w:val="pt-BR"/>
        </w:rPr>
        <w:t>Bing Maps Consumer Controlado por Assinatura Mensal de Ativos</w:t>
      </w:r>
    </w:p>
    <w:p w:rsidR="00D02D7A" w:rsidRPr="008D38F6" w:rsidRDefault="00D02D7A" w:rsidP="00D02D7A">
      <w:pPr>
        <w:rPr>
          <w:lang w:val="pt-BR"/>
        </w:rPr>
      </w:pPr>
      <w:r w:rsidRPr="008D38F6">
        <w:rPr>
          <w:lang w:val="pt-BR"/>
        </w:rPr>
        <w:t>Bing Maps Desktop com Pacote de Conteúdo Aprimorado</w:t>
      </w:r>
    </w:p>
    <w:p w:rsidR="00D02D7A" w:rsidRPr="008D38F6" w:rsidRDefault="00D02D7A" w:rsidP="00D02D7A">
      <w:pPr>
        <w:rPr>
          <w:lang w:val="pt-BR"/>
        </w:rPr>
      </w:pPr>
      <w:r w:rsidRPr="008D38F6">
        <w:rPr>
          <w:lang w:val="pt-BR"/>
        </w:rPr>
        <w:t>Bing Maps para Assinatura Mensal de Tarifa por Plataforma Enterprise</w:t>
      </w:r>
    </w:p>
    <w:p w:rsidR="00D02D7A" w:rsidRPr="008D38F6" w:rsidRDefault="00D02D7A" w:rsidP="00D02D7A">
      <w:pPr>
        <w:rPr>
          <w:lang w:val="pt-BR"/>
        </w:rPr>
      </w:pPr>
      <w:r w:rsidRPr="008D38F6">
        <w:rPr>
          <w:lang w:val="pt-BR"/>
        </w:rPr>
        <w:t>Assinatura Mensal de 100 Mil Transações de Uso de Site Público do Bing Maps</w:t>
      </w:r>
    </w:p>
    <w:p w:rsidR="00D02D7A" w:rsidRPr="008D38F6" w:rsidRDefault="00D02D7A" w:rsidP="00D02D7A">
      <w:pPr>
        <w:rPr>
          <w:lang w:val="pt-BR"/>
        </w:rPr>
      </w:pPr>
      <w:r w:rsidRPr="008D38F6">
        <w:rPr>
          <w:lang w:val="pt-BR"/>
        </w:rPr>
        <w:t>Assinatura Mensal de 250 Mil Transações de Uso de Site Público do Bing Maps</w:t>
      </w:r>
    </w:p>
    <w:p w:rsidR="00D02D7A" w:rsidRPr="008D38F6" w:rsidRDefault="00D02D7A" w:rsidP="00D02D7A">
      <w:pPr>
        <w:rPr>
          <w:lang w:val="pt-BR"/>
        </w:rPr>
      </w:pPr>
      <w:r w:rsidRPr="008D38F6">
        <w:rPr>
          <w:lang w:val="pt-BR"/>
        </w:rPr>
        <w:t>Assinatura Mensal de 420 Mil Transações de Uso de Site Público do Bing Maps</w:t>
      </w:r>
    </w:p>
    <w:p w:rsidR="00D02D7A" w:rsidRPr="008D38F6" w:rsidRDefault="00D02D7A" w:rsidP="00D02D7A">
      <w:pPr>
        <w:rPr>
          <w:lang w:val="pt-BR"/>
        </w:rPr>
      </w:pPr>
      <w:r w:rsidRPr="008D38F6">
        <w:rPr>
          <w:lang w:val="pt-BR"/>
        </w:rPr>
        <w:t>Assinatura Mensal de 840 Mil Transações de Uso de Site Público do Bing Maps</w:t>
      </w:r>
    </w:p>
    <w:p w:rsidR="00D02D7A" w:rsidRPr="008D38F6" w:rsidRDefault="00D02D7A" w:rsidP="00D02D7A">
      <w:pPr>
        <w:rPr>
          <w:lang w:val="pt-BR"/>
        </w:rPr>
      </w:pPr>
      <w:r w:rsidRPr="008D38F6">
        <w:rPr>
          <w:lang w:val="pt-BR"/>
        </w:rPr>
        <w:t>Assinatura Mensal de 2,5 Milhões de Transações de Uso de Site Público do Bing Maps</w:t>
      </w:r>
    </w:p>
    <w:p w:rsidR="00D02D7A" w:rsidRPr="008D38F6" w:rsidRDefault="00D02D7A" w:rsidP="00D02D7A">
      <w:pPr>
        <w:rPr>
          <w:lang w:val="pt-BR"/>
        </w:rPr>
      </w:pPr>
      <w:r w:rsidRPr="008D38F6">
        <w:rPr>
          <w:lang w:val="pt-BR"/>
        </w:rPr>
        <w:t>Assinatura Mensal de 4,2 Milhões Transações de Uso de Site Público do Bing Maps</w:t>
      </w:r>
    </w:p>
    <w:p w:rsidR="00D02D7A" w:rsidRPr="008D38F6" w:rsidRDefault="00D02D7A" w:rsidP="00D02D7A">
      <w:pPr>
        <w:rPr>
          <w:lang w:val="pt-BR"/>
        </w:rPr>
      </w:pPr>
      <w:r w:rsidRPr="008D38F6">
        <w:rPr>
          <w:lang w:val="pt-BR"/>
        </w:rPr>
        <w:t>Assinatura Mensal de 8,4 Milhões de Transações de Uso de Site Público do Bing Maps</w:t>
      </w:r>
    </w:p>
    <w:p w:rsidR="00D02D7A" w:rsidRPr="008D38F6" w:rsidRDefault="00D02D7A" w:rsidP="00D02D7A">
      <w:pPr>
        <w:rPr>
          <w:lang w:val="pt-BR"/>
        </w:rPr>
      </w:pPr>
      <w:r w:rsidRPr="008D38F6">
        <w:rPr>
          <w:lang w:val="pt-BR"/>
        </w:rPr>
        <w:t>Assinatura Mensal de Transações Ilimitadas de Uso de Site Público do Bing Maps</w:t>
      </w:r>
    </w:p>
    <w:p w:rsidR="00D02D7A" w:rsidRPr="008D38F6" w:rsidRDefault="00D02D7A" w:rsidP="00D02D7A">
      <w:pPr>
        <w:rPr>
          <w:lang w:val="pt-BR"/>
        </w:rPr>
      </w:pPr>
      <w:r w:rsidRPr="008D38F6">
        <w:rPr>
          <w:lang w:val="pt-BR"/>
        </w:rPr>
        <w:t>Assinatura Mensal de 100 Mil Transações de Uso de Site Interno do Bing Maps</w:t>
      </w:r>
    </w:p>
    <w:p w:rsidR="00D02D7A" w:rsidRPr="008D38F6" w:rsidRDefault="00D02D7A" w:rsidP="00D02D7A">
      <w:pPr>
        <w:rPr>
          <w:lang w:val="pt-BR"/>
        </w:rPr>
      </w:pPr>
      <w:r w:rsidRPr="008D38F6">
        <w:rPr>
          <w:lang w:val="pt-BR"/>
        </w:rPr>
        <w:t>Assinatura Mensal de 250 Mil Transações de Uso de Site Interno do Bing Maps</w:t>
      </w:r>
    </w:p>
    <w:p w:rsidR="00D02D7A" w:rsidRPr="008D38F6" w:rsidRDefault="00D02D7A" w:rsidP="00D02D7A">
      <w:pPr>
        <w:rPr>
          <w:lang w:val="pt-BR"/>
        </w:rPr>
      </w:pPr>
      <w:r w:rsidRPr="008D38F6">
        <w:rPr>
          <w:lang w:val="pt-BR"/>
        </w:rPr>
        <w:t>Assinatura Mensal de 420 Mil Transações de Uso de Site Interno do Bing Maps</w:t>
      </w:r>
    </w:p>
    <w:p w:rsidR="00D02D7A" w:rsidRPr="008D38F6" w:rsidRDefault="00D02D7A" w:rsidP="00D02D7A">
      <w:pPr>
        <w:rPr>
          <w:lang w:val="pt-BR"/>
        </w:rPr>
      </w:pPr>
      <w:r w:rsidRPr="008D38F6">
        <w:rPr>
          <w:lang w:val="pt-BR"/>
        </w:rPr>
        <w:t>Assinatura Mensal de 1,</w:t>
      </w:r>
      <w:r w:rsidR="00B90F38" w:rsidRPr="008D38F6">
        <w:rPr>
          <w:lang w:val="pt-BR"/>
        </w:rPr>
        <w:t>2</w:t>
      </w:r>
      <w:r w:rsidRPr="008D38F6">
        <w:rPr>
          <w:lang w:val="pt-BR"/>
        </w:rPr>
        <w:t>5 Milhões de Transações de Uso de Site Interno do Bing Maps</w:t>
      </w:r>
    </w:p>
    <w:p w:rsidR="00D02D7A" w:rsidRPr="008D38F6" w:rsidRDefault="00D02D7A" w:rsidP="00D02D7A">
      <w:pPr>
        <w:rPr>
          <w:lang w:val="pt-BR"/>
        </w:rPr>
      </w:pPr>
      <w:r w:rsidRPr="008D38F6">
        <w:rPr>
          <w:lang w:val="pt-BR"/>
        </w:rPr>
        <w:t>Assinatura Mensal de 2,1 Milhões de Transações de Uso de Site Interno do Bing Maps</w:t>
      </w:r>
    </w:p>
    <w:p w:rsidR="00D02D7A" w:rsidRPr="008D38F6" w:rsidRDefault="00D02D7A" w:rsidP="00D02D7A">
      <w:pPr>
        <w:rPr>
          <w:lang w:val="pt-BR"/>
        </w:rPr>
      </w:pPr>
      <w:r w:rsidRPr="008D38F6">
        <w:rPr>
          <w:lang w:val="pt-BR"/>
        </w:rPr>
        <w:t>Assinatura Mensal de Transações Ilimitadas de Uso de Site Interno do Bing Maps</w:t>
      </w:r>
    </w:p>
    <w:p w:rsidR="00D02D7A" w:rsidRPr="008D38F6" w:rsidRDefault="00D02D7A" w:rsidP="001E75DE">
      <w:pPr>
        <w:rPr>
          <w:lang w:val="pt-BR"/>
        </w:rPr>
      </w:pPr>
      <w:r w:rsidRPr="008D38F6">
        <w:rPr>
          <w:lang w:val="pt-BR"/>
        </w:rPr>
        <w:t>Bing Maps por Assinatura Mensal de Usuários</w:t>
      </w:r>
      <w:r w:rsidR="001E75DE">
        <w:rPr>
          <w:lang w:val="pt-BR"/>
        </w:rPr>
        <w:t xml:space="preserve"> </w:t>
      </w:r>
      <w:r w:rsidR="001E75DE" w:rsidRPr="001E75DE">
        <w:rPr>
          <w:lang w:val="pt-BR"/>
        </w:rPr>
        <w:t>Conhecidos</w:t>
      </w:r>
    </w:p>
    <w:p w:rsidR="00D02D7A" w:rsidRPr="008D38F6" w:rsidRDefault="00D02D7A" w:rsidP="00436E5B">
      <w:pPr>
        <w:rPr>
          <w:lang w:val="pt-BR"/>
        </w:rPr>
      </w:pPr>
      <w:r w:rsidRPr="008D38F6">
        <w:rPr>
          <w:lang w:val="pt-BR"/>
        </w:rPr>
        <w:t>Bing Maps por Assinatura Mensal de Pacote de 5 Mil Usuários</w:t>
      </w:r>
      <w:r w:rsidR="00436E5B">
        <w:rPr>
          <w:lang w:val="pt-BR"/>
        </w:rPr>
        <w:t xml:space="preserve"> </w:t>
      </w:r>
      <w:r w:rsidR="00436E5B" w:rsidRPr="00436E5B">
        <w:rPr>
          <w:lang w:val="pt-BR"/>
        </w:rPr>
        <w:t>Conhecidos</w:t>
      </w:r>
    </w:p>
    <w:p w:rsidR="00D02D7A" w:rsidRPr="008D38F6" w:rsidRDefault="00D02D7A" w:rsidP="00D02D7A">
      <w:pPr>
        <w:rPr>
          <w:lang w:val="pt-BR"/>
        </w:rPr>
      </w:pPr>
      <w:r w:rsidRPr="008D38F6">
        <w:rPr>
          <w:lang w:val="pt-BR"/>
        </w:rPr>
        <w:t>Bing Maps Light Conhecido por Assinatura Mensal de Usuários</w:t>
      </w:r>
    </w:p>
    <w:p w:rsidR="00D02D7A" w:rsidRPr="008D38F6" w:rsidRDefault="00D02D7A" w:rsidP="00D02D7A">
      <w:pPr>
        <w:rPr>
          <w:lang w:val="pt-BR"/>
        </w:rPr>
      </w:pPr>
      <w:r w:rsidRPr="008D38F6">
        <w:rPr>
          <w:lang w:val="pt-BR"/>
        </w:rPr>
        <w:t>Bing Maps Light Conhecido por Assinatura Mensal de Pacote de 5 Mil Usuários</w:t>
      </w:r>
    </w:p>
    <w:p w:rsidR="00D02D7A" w:rsidRPr="008D38F6" w:rsidRDefault="00D02D7A" w:rsidP="00D02D7A">
      <w:pPr>
        <w:rPr>
          <w:lang w:val="pt-BR"/>
        </w:rPr>
      </w:pPr>
      <w:r w:rsidRPr="008D38F6">
        <w:rPr>
          <w:lang w:val="pt-BR"/>
        </w:rPr>
        <w:t>Assinatura Mensal de Tarifa por Plataforma de Gerenciamento de Ativos Móveis do Bing Maps</w:t>
      </w:r>
    </w:p>
    <w:p w:rsidR="00D02D7A" w:rsidRPr="008D38F6" w:rsidRDefault="00D02D7A" w:rsidP="00F51352">
      <w:pPr>
        <w:rPr>
          <w:lang w:val="pt-BR"/>
        </w:rPr>
      </w:pPr>
      <w:r w:rsidRPr="008D38F6">
        <w:rPr>
          <w:lang w:val="pt-BR"/>
        </w:rPr>
        <w:t xml:space="preserve">Gerenciamento de Ativos Móveis do Bing Maps </w:t>
      </w:r>
      <w:r w:rsidR="00F51352" w:rsidRPr="00F51352">
        <w:rPr>
          <w:lang w:val="pt-BR"/>
        </w:rPr>
        <w:t>(América do Norte)</w:t>
      </w:r>
      <w:r w:rsidR="00F51352">
        <w:rPr>
          <w:lang w:val="pt-BR"/>
        </w:rPr>
        <w:t xml:space="preserve"> </w:t>
      </w:r>
      <w:r w:rsidRPr="008D38F6">
        <w:rPr>
          <w:lang w:val="pt-BR"/>
        </w:rPr>
        <w:t>com roteamento por Assinatura Mensal de Ativos</w:t>
      </w:r>
    </w:p>
    <w:p w:rsidR="00D02D7A" w:rsidRPr="008D38F6" w:rsidRDefault="00D02D7A" w:rsidP="0077249E">
      <w:pPr>
        <w:rPr>
          <w:lang w:val="pt-BR"/>
        </w:rPr>
      </w:pPr>
      <w:r w:rsidRPr="008D38F6">
        <w:rPr>
          <w:lang w:val="pt-BR"/>
        </w:rPr>
        <w:t xml:space="preserve">Gerenciamento de Ativos Móveis do Bing Maps </w:t>
      </w:r>
      <w:r w:rsidR="0077249E" w:rsidRPr="0077249E">
        <w:rPr>
          <w:lang w:val="pt-BR"/>
        </w:rPr>
        <w:t>(América do Norte)</w:t>
      </w:r>
      <w:r w:rsidRPr="008D38F6">
        <w:rPr>
          <w:lang w:val="pt-BR"/>
        </w:rPr>
        <w:t xml:space="preserve"> sem roteamento por Assinatura Mensal de Ativos</w:t>
      </w:r>
    </w:p>
    <w:p w:rsidR="00D02D7A" w:rsidRPr="008D38F6" w:rsidRDefault="00D02D7A" w:rsidP="00890F21">
      <w:pPr>
        <w:rPr>
          <w:lang w:val="pt-BR"/>
        </w:rPr>
      </w:pPr>
      <w:r w:rsidRPr="008D38F6">
        <w:rPr>
          <w:lang w:val="pt-BR"/>
        </w:rPr>
        <w:t xml:space="preserve">Gerenciamento de Ativos Móveis do Bing Maps </w:t>
      </w:r>
      <w:r w:rsidR="00890F21" w:rsidRPr="00890F21">
        <w:rPr>
          <w:lang w:val="pt-BR"/>
        </w:rPr>
        <w:t>(Europa)</w:t>
      </w:r>
      <w:r w:rsidRPr="008D38F6">
        <w:rPr>
          <w:lang w:val="pt-BR"/>
        </w:rPr>
        <w:t xml:space="preserve"> com roteamento por Assinatura Mensal de Ativos</w:t>
      </w:r>
    </w:p>
    <w:p w:rsidR="00D02D7A" w:rsidRPr="008D38F6" w:rsidRDefault="00D02D7A" w:rsidP="001B3CB1">
      <w:pPr>
        <w:rPr>
          <w:lang w:val="pt-BR"/>
        </w:rPr>
      </w:pPr>
      <w:r w:rsidRPr="008D38F6">
        <w:rPr>
          <w:lang w:val="pt-BR"/>
        </w:rPr>
        <w:t xml:space="preserve">Gerenciamento de Ativos Móveis do Bing Maps </w:t>
      </w:r>
      <w:r w:rsidR="001B3CB1" w:rsidRPr="001B3CB1">
        <w:rPr>
          <w:lang w:val="pt-BR"/>
        </w:rPr>
        <w:t>(Europa)</w:t>
      </w:r>
      <w:r w:rsidRPr="008D38F6">
        <w:rPr>
          <w:lang w:val="pt-BR"/>
        </w:rPr>
        <w:t xml:space="preserve"> sem roteamento por Assinatura Mensal de Ativos</w:t>
      </w:r>
    </w:p>
    <w:p w:rsidR="00D02D7A" w:rsidRPr="00416070" w:rsidRDefault="00D02D7A" w:rsidP="00D02D7A">
      <w:r w:rsidRPr="00416070">
        <w:t>Bing Maps Server</w:t>
      </w:r>
    </w:p>
    <w:p w:rsidR="00D02D7A" w:rsidRPr="00416070" w:rsidRDefault="00D02D7A" w:rsidP="00D02D7A">
      <w:r w:rsidRPr="00416070">
        <w:t>BizTalk</w:t>
      </w:r>
      <w:r w:rsidR="00510A6E" w:rsidRPr="00416070">
        <w:rPr>
          <w:vertAlign w:val="superscript"/>
        </w:rPr>
        <w:t>®</w:t>
      </w:r>
      <w:r w:rsidRPr="00416070">
        <w:t xml:space="preserve"> Server 2013 Enterprise Edition </w:t>
      </w:r>
    </w:p>
    <w:p w:rsidR="00D02D7A" w:rsidRPr="00416070" w:rsidRDefault="00D02D7A" w:rsidP="00D02D7A">
      <w:r w:rsidRPr="00416070">
        <w:t>BizTalk</w:t>
      </w:r>
      <w:r w:rsidR="00510A6E" w:rsidRPr="00416070">
        <w:rPr>
          <w:vertAlign w:val="superscript"/>
        </w:rPr>
        <w:t>®</w:t>
      </w:r>
      <w:r w:rsidRPr="00416070">
        <w:t xml:space="preserve"> Server 2013 Standard Edition </w:t>
      </w:r>
    </w:p>
    <w:p w:rsidR="00D02D7A" w:rsidRPr="00416070" w:rsidRDefault="00D02D7A" w:rsidP="00D02D7A">
      <w:r w:rsidRPr="00416070">
        <w:t>BizTalk</w:t>
      </w:r>
      <w:r w:rsidR="00510A6E" w:rsidRPr="00416070">
        <w:rPr>
          <w:vertAlign w:val="superscript"/>
        </w:rPr>
        <w:t>®</w:t>
      </w:r>
      <w:r w:rsidRPr="00416070">
        <w:t xml:space="preserve"> Server 2013 Branch</w:t>
      </w:r>
    </w:p>
    <w:p w:rsidR="00D02D7A" w:rsidRPr="00416070" w:rsidRDefault="00D02D7A" w:rsidP="00D02D7A">
      <w:r w:rsidRPr="00416070">
        <w:t>BizTalk</w:t>
      </w:r>
      <w:r w:rsidR="00510A6E" w:rsidRPr="00416070">
        <w:rPr>
          <w:vertAlign w:val="superscript"/>
        </w:rPr>
        <w:t>®</w:t>
      </w:r>
      <w:r w:rsidRPr="00416070">
        <w:t xml:space="preserve"> Server 2013 Branch IDC </w:t>
      </w:r>
    </w:p>
    <w:p w:rsidR="00D02D7A" w:rsidRPr="00416070" w:rsidRDefault="00D02D7A" w:rsidP="00D02D7A">
      <w:r w:rsidRPr="00416070">
        <w:t>BizTalk</w:t>
      </w:r>
      <w:r w:rsidR="00510A6E" w:rsidRPr="00416070">
        <w:rPr>
          <w:vertAlign w:val="superscript"/>
        </w:rPr>
        <w:t>®</w:t>
      </w:r>
      <w:r w:rsidRPr="00416070">
        <w:t xml:space="preserve"> Server 2013 Standard Edition IDC </w:t>
      </w:r>
    </w:p>
    <w:p w:rsidR="00D02D7A" w:rsidRPr="008D38F6" w:rsidRDefault="00D02D7A" w:rsidP="00D02D7A">
      <w:pPr>
        <w:rPr>
          <w:lang w:val="pt-BR"/>
        </w:rPr>
      </w:pPr>
      <w:r w:rsidRPr="008D38F6">
        <w:rPr>
          <w:lang w:val="pt-BR"/>
        </w:rPr>
        <w:t>Office 365 Enterprise E1 (SL de Usuário) (Pool de Aplicativos)</w:t>
      </w:r>
    </w:p>
    <w:p w:rsidR="00D02D7A" w:rsidRPr="008D38F6" w:rsidRDefault="00D02D7A" w:rsidP="00D02D7A">
      <w:pPr>
        <w:rPr>
          <w:lang w:val="pt-BR"/>
        </w:rPr>
      </w:pPr>
      <w:r w:rsidRPr="008D38F6">
        <w:rPr>
          <w:lang w:val="pt-BR"/>
        </w:rPr>
        <w:t>Office 365 Enterprise E2 (SL de Usuário) (Pool de Aplicativos)</w:t>
      </w:r>
    </w:p>
    <w:p w:rsidR="00D02D7A" w:rsidRPr="008D38F6" w:rsidRDefault="00D02D7A" w:rsidP="00D02D7A">
      <w:pPr>
        <w:rPr>
          <w:lang w:val="pt-BR"/>
        </w:rPr>
      </w:pPr>
      <w:r w:rsidRPr="008D38F6">
        <w:rPr>
          <w:lang w:val="pt-BR"/>
        </w:rPr>
        <w:t>Office 365 Enterprise E3 (SL de Usuário) (Pool de Aplicativos)</w:t>
      </w:r>
    </w:p>
    <w:p w:rsidR="00D02D7A" w:rsidRPr="008D38F6" w:rsidRDefault="00D02D7A" w:rsidP="00D02D7A">
      <w:pPr>
        <w:rPr>
          <w:lang w:val="pt-BR"/>
        </w:rPr>
      </w:pPr>
      <w:r w:rsidRPr="008D38F6">
        <w:rPr>
          <w:lang w:val="pt-BR"/>
        </w:rPr>
        <w:t>Office 365 Enterprise E4 (SL de Usuário) (Pool de Aplicativos)</w:t>
      </w:r>
    </w:p>
    <w:p w:rsidR="00D02D7A" w:rsidRPr="008D38F6" w:rsidRDefault="00D02D7A" w:rsidP="00D02D7A">
      <w:pPr>
        <w:rPr>
          <w:lang w:val="pt-BR"/>
        </w:rPr>
      </w:pPr>
      <w:r w:rsidRPr="008D38F6">
        <w:rPr>
          <w:lang w:val="pt-BR"/>
        </w:rPr>
        <w:t>Office 365 Education A2 (SL de Usuário) (Pool de Aplicativos)</w:t>
      </w:r>
    </w:p>
    <w:p w:rsidR="00D02D7A" w:rsidRPr="008D38F6" w:rsidRDefault="00D02D7A" w:rsidP="00D02D7A">
      <w:pPr>
        <w:rPr>
          <w:lang w:val="pt-BR"/>
        </w:rPr>
      </w:pPr>
      <w:r w:rsidRPr="008D38F6">
        <w:rPr>
          <w:lang w:val="pt-BR"/>
        </w:rPr>
        <w:t>Office 365 Education A3 (SL de Usuário) (Pool de Aplicativos)</w:t>
      </w:r>
    </w:p>
    <w:p w:rsidR="00D02D7A" w:rsidRPr="008D38F6" w:rsidRDefault="00D02D7A" w:rsidP="00D02D7A">
      <w:pPr>
        <w:rPr>
          <w:lang w:val="pt-BR"/>
        </w:rPr>
      </w:pPr>
      <w:r w:rsidRPr="008D38F6">
        <w:rPr>
          <w:lang w:val="pt-BR"/>
        </w:rPr>
        <w:t>Office 365 Education A4 (SL de Usuário) (Pool de Aplicativos)</w:t>
      </w:r>
    </w:p>
    <w:p w:rsidR="00D02D7A" w:rsidRPr="008D38F6" w:rsidRDefault="00D02D7A" w:rsidP="00D02D7A">
      <w:pPr>
        <w:rPr>
          <w:lang w:val="pt-BR"/>
        </w:rPr>
      </w:pPr>
      <w:r w:rsidRPr="008D38F6">
        <w:rPr>
          <w:lang w:val="pt-BR"/>
        </w:rPr>
        <w:t>Office 365 Enterprise E1 (SL de Usuário) (Pool de Servidores)</w:t>
      </w:r>
    </w:p>
    <w:p w:rsidR="00D02D7A" w:rsidRPr="008D38F6" w:rsidRDefault="00D02D7A" w:rsidP="00D02D7A">
      <w:pPr>
        <w:rPr>
          <w:lang w:val="pt-BR"/>
        </w:rPr>
      </w:pPr>
      <w:r w:rsidRPr="008D38F6">
        <w:rPr>
          <w:lang w:val="pt-BR"/>
        </w:rPr>
        <w:t>Office 365 Enterprise E2 (SL de Usuário) (Pool de Servidores)</w:t>
      </w:r>
    </w:p>
    <w:p w:rsidR="00D02D7A" w:rsidRPr="008D38F6" w:rsidRDefault="00D02D7A" w:rsidP="00D02D7A">
      <w:pPr>
        <w:rPr>
          <w:lang w:val="pt-BR"/>
        </w:rPr>
      </w:pPr>
      <w:r w:rsidRPr="008D38F6">
        <w:rPr>
          <w:lang w:val="pt-BR"/>
        </w:rPr>
        <w:t>Office 365 Enterprise E3 (SL de Usuário) (Pool de Servidores)</w:t>
      </w:r>
    </w:p>
    <w:p w:rsidR="00D02D7A" w:rsidRPr="008D38F6" w:rsidRDefault="00D02D7A" w:rsidP="00D02D7A">
      <w:pPr>
        <w:rPr>
          <w:lang w:val="pt-BR"/>
        </w:rPr>
      </w:pPr>
      <w:r w:rsidRPr="008D38F6">
        <w:rPr>
          <w:lang w:val="pt-BR"/>
        </w:rPr>
        <w:t>Office 365 Enterprise E4 (SL de Usuário) (Pool de Servidores)</w:t>
      </w:r>
    </w:p>
    <w:p w:rsidR="00D02D7A" w:rsidRPr="008D38F6" w:rsidRDefault="00D02D7A" w:rsidP="00D02D7A">
      <w:pPr>
        <w:rPr>
          <w:lang w:val="pt-BR"/>
        </w:rPr>
      </w:pPr>
      <w:r w:rsidRPr="008D38F6">
        <w:rPr>
          <w:lang w:val="pt-BR"/>
        </w:rPr>
        <w:t>Office 365 Government G1 (SL de Usuário) (Pool de Servidores)</w:t>
      </w:r>
    </w:p>
    <w:p w:rsidR="00D02D7A" w:rsidRPr="008D38F6" w:rsidRDefault="00D02D7A" w:rsidP="00D02D7A">
      <w:pPr>
        <w:rPr>
          <w:lang w:val="pt-BR"/>
        </w:rPr>
      </w:pPr>
      <w:r w:rsidRPr="008D38F6">
        <w:rPr>
          <w:lang w:val="pt-BR"/>
        </w:rPr>
        <w:t>Office 365 Government G2 (SL de Usuário) (Pool de Servidores)</w:t>
      </w:r>
    </w:p>
    <w:p w:rsidR="00D02D7A" w:rsidRPr="008D38F6" w:rsidRDefault="00D02D7A" w:rsidP="00D02D7A">
      <w:pPr>
        <w:rPr>
          <w:lang w:val="pt-BR"/>
        </w:rPr>
      </w:pPr>
      <w:r w:rsidRPr="008D38F6">
        <w:rPr>
          <w:lang w:val="pt-BR"/>
        </w:rPr>
        <w:t>Office 365 Government G3 (SL de Usuário) (Pool de Servidores)</w:t>
      </w:r>
    </w:p>
    <w:p w:rsidR="00D02D7A" w:rsidRPr="008D38F6" w:rsidRDefault="00D02D7A" w:rsidP="00D02D7A">
      <w:pPr>
        <w:rPr>
          <w:lang w:val="pt-BR"/>
        </w:rPr>
      </w:pPr>
      <w:r w:rsidRPr="008D38F6">
        <w:rPr>
          <w:lang w:val="pt-BR"/>
        </w:rPr>
        <w:t>Office 365 Government G4 (SL de Usuário) (Pool de Servidores)</w:t>
      </w:r>
    </w:p>
    <w:p w:rsidR="00D02D7A" w:rsidRPr="008D38F6" w:rsidRDefault="00D02D7A" w:rsidP="00D02D7A">
      <w:pPr>
        <w:rPr>
          <w:lang w:val="pt-BR"/>
        </w:rPr>
      </w:pPr>
      <w:r w:rsidRPr="008D38F6">
        <w:rPr>
          <w:lang w:val="pt-BR"/>
        </w:rPr>
        <w:t>Office 365 Enterprise K1 (SL de Usuário) (Pool de Servidores)</w:t>
      </w:r>
    </w:p>
    <w:p w:rsidR="00D02D7A" w:rsidRPr="008D38F6" w:rsidRDefault="00D02D7A" w:rsidP="00D02D7A">
      <w:pPr>
        <w:rPr>
          <w:lang w:val="pt-BR"/>
        </w:rPr>
      </w:pPr>
      <w:r w:rsidRPr="008D38F6">
        <w:rPr>
          <w:lang w:val="pt-BR"/>
        </w:rPr>
        <w:t>Office 365 Enterprise K2 (SL de Usuário) (Pool de Servidores)</w:t>
      </w:r>
    </w:p>
    <w:p w:rsidR="003418C5" w:rsidRPr="008D38F6" w:rsidRDefault="003418C5" w:rsidP="003418C5">
      <w:pPr>
        <w:rPr>
          <w:lang w:val="pt-BR"/>
        </w:rPr>
      </w:pPr>
      <w:r w:rsidRPr="008D38F6">
        <w:rPr>
          <w:lang w:val="pt-BR"/>
        </w:rPr>
        <w:lastRenderedPageBreak/>
        <w:t>Office 365 ProPlus SA Transition (SL de Usuário) (Pool de Aplicativos)</w:t>
      </w:r>
    </w:p>
    <w:p w:rsidR="00D02D7A" w:rsidRPr="008D38F6" w:rsidRDefault="00D02D7A">
      <w:pPr>
        <w:rPr>
          <w:lang w:val="pt-BR"/>
        </w:rPr>
      </w:pPr>
      <w:r w:rsidRPr="008D38F6">
        <w:rPr>
          <w:lang w:val="pt-BR"/>
        </w:rPr>
        <w:t>Microsoft Desktop Optimization Pack para Software Assurance 2013</w:t>
      </w:r>
    </w:p>
    <w:p w:rsidR="00D02D7A" w:rsidRPr="008D38F6" w:rsidRDefault="00D02D7A" w:rsidP="007E466C">
      <w:pPr>
        <w:rPr>
          <w:lang w:val="pt-BR"/>
        </w:rPr>
      </w:pPr>
      <w:r w:rsidRPr="008D38F6">
        <w:rPr>
          <w:lang w:val="pt-BR"/>
        </w:rPr>
        <w:t>System Center Global Service Monitor</w:t>
      </w:r>
    </w:p>
    <w:p w:rsidR="005F584F" w:rsidRPr="008D38F6" w:rsidRDefault="005F584F" w:rsidP="005F584F">
      <w:pPr>
        <w:rPr>
          <w:lang w:val="pt-BR"/>
        </w:rPr>
      </w:pPr>
      <w:r w:rsidRPr="008D38F6">
        <w:rPr>
          <w:lang w:val="pt-BR"/>
        </w:rPr>
        <w:t>Vexcel Desktop com Pacote de Conteúdo Aprimorado</w:t>
      </w:r>
    </w:p>
    <w:p w:rsidR="009C779A" w:rsidRPr="008D38F6" w:rsidRDefault="00242B11">
      <w:pPr>
        <w:rPr>
          <w:lang w:val="pt-BR"/>
        </w:rPr>
      </w:pPr>
      <w:r w:rsidRPr="008D38F6">
        <w:rPr>
          <w:lang w:val="pt-BR"/>
        </w:rPr>
        <w:t>Vexcel Server</w:t>
      </w:r>
    </w:p>
    <w:p w:rsidR="00242B11" w:rsidRPr="008D38F6" w:rsidRDefault="00242B11">
      <w:pPr>
        <w:rPr>
          <w:lang w:val="pt-BR"/>
        </w:rPr>
      </w:pPr>
      <w:r w:rsidRPr="008D38F6">
        <w:rPr>
          <w:lang w:val="pt-BR"/>
        </w:rPr>
        <w:t>Vexcel Server com Pacote de Conteúdo Aprimorado</w:t>
      </w:r>
    </w:p>
    <w:p w:rsidR="00CA15C4" w:rsidRPr="008D38F6" w:rsidRDefault="00CA15C4" w:rsidP="00B65F35">
      <w:pPr>
        <w:spacing w:after="60"/>
        <w:rPr>
          <w:b/>
          <w:lang w:val="pt-BR"/>
        </w:rPr>
      </w:pPr>
    </w:p>
    <w:p w:rsidR="00B65F35" w:rsidRPr="008D38F6" w:rsidRDefault="00B65F35" w:rsidP="00B65F35">
      <w:pPr>
        <w:spacing w:after="60"/>
        <w:rPr>
          <w:lang w:val="pt-BR"/>
        </w:rPr>
      </w:pPr>
      <w:r w:rsidRPr="008D38F6">
        <w:rPr>
          <w:b/>
          <w:lang w:val="pt-BR"/>
        </w:rPr>
        <w:t>Alterações</w:t>
      </w:r>
    </w:p>
    <w:p w:rsidR="00B65F35" w:rsidRPr="008D38F6" w:rsidRDefault="009C779A" w:rsidP="009C779A">
      <w:pPr>
        <w:rPr>
          <w:lang w:val="pt-BR"/>
        </w:rPr>
      </w:pPr>
      <w:r w:rsidRPr="008D38F6">
        <w:rPr>
          <w:lang w:val="pt-BR"/>
        </w:rPr>
        <w:t>Bing Maps Standard (SL de Usuário)</w:t>
      </w:r>
    </w:p>
    <w:p w:rsidR="009C779A" w:rsidRPr="008D38F6" w:rsidRDefault="009C779A" w:rsidP="00D66F68">
      <w:pPr>
        <w:rPr>
          <w:lang w:val="pt-BR"/>
        </w:rPr>
      </w:pPr>
      <w:r w:rsidRPr="008D38F6">
        <w:rPr>
          <w:lang w:val="pt-BR"/>
        </w:rPr>
        <w:t>Office 365 Plano E1 (SL de Usuário) (Pool de Aplicativos)</w:t>
      </w:r>
    </w:p>
    <w:p w:rsidR="009C779A" w:rsidRPr="008D38F6" w:rsidRDefault="009C779A" w:rsidP="00D66F68">
      <w:pPr>
        <w:rPr>
          <w:lang w:val="pt-BR"/>
        </w:rPr>
      </w:pPr>
      <w:r w:rsidRPr="008D38F6">
        <w:rPr>
          <w:lang w:val="pt-BR"/>
        </w:rPr>
        <w:t>Office 365 Plano E2 (SL de Usuário) (Pool de Aplicativos)</w:t>
      </w:r>
    </w:p>
    <w:p w:rsidR="009C779A" w:rsidRPr="008D38F6" w:rsidRDefault="009C779A" w:rsidP="00D02D7A">
      <w:pPr>
        <w:rPr>
          <w:lang w:val="pt-BR"/>
        </w:rPr>
      </w:pPr>
      <w:r w:rsidRPr="008D38F6">
        <w:rPr>
          <w:lang w:val="pt-BR"/>
        </w:rPr>
        <w:t>Office 365 Plano E3 (SL de Usuário) (Pool de Aplicativos)</w:t>
      </w:r>
    </w:p>
    <w:p w:rsidR="009C779A" w:rsidRPr="008D38F6" w:rsidRDefault="009C779A" w:rsidP="00D02D7A">
      <w:pPr>
        <w:rPr>
          <w:lang w:val="pt-BR"/>
        </w:rPr>
      </w:pPr>
      <w:r w:rsidRPr="008D38F6">
        <w:rPr>
          <w:lang w:val="pt-BR"/>
        </w:rPr>
        <w:t>Office 365 Plano E4 (SL de Usuário) (Pool de Aplicativos)</w:t>
      </w:r>
    </w:p>
    <w:p w:rsidR="009C779A" w:rsidRPr="008D38F6" w:rsidRDefault="009C779A" w:rsidP="00242B11">
      <w:pPr>
        <w:rPr>
          <w:lang w:val="pt-BR"/>
        </w:rPr>
      </w:pPr>
      <w:r w:rsidRPr="008D38F6">
        <w:rPr>
          <w:lang w:val="pt-BR"/>
        </w:rPr>
        <w:t>Office 365 Plano A2 (SL de Usuário) (Pool de Aplicativos)</w:t>
      </w:r>
    </w:p>
    <w:p w:rsidR="009C779A" w:rsidRPr="008D38F6" w:rsidRDefault="009C779A" w:rsidP="00242B11">
      <w:pPr>
        <w:rPr>
          <w:lang w:val="pt-BR"/>
        </w:rPr>
      </w:pPr>
      <w:r w:rsidRPr="008D38F6">
        <w:rPr>
          <w:lang w:val="pt-BR"/>
        </w:rPr>
        <w:t>Office 365 Plano A3 (SL de Usuário) (Pool de Aplicativos)</w:t>
      </w:r>
    </w:p>
    <w:p w:rsidR="009C779A" w:rsidRPr="008D38F6" w:rsidRDefault="009C779A" w:rsidP="00EA31A6">
      <w:pPr>
        <w:rPr>
          <w:lang w:val="pt-BR"/>
        </w:rPr>
      </w:pPr>
      <w:r w:rsidRPr="008D38F6">
        <w:rPr>
          <w:lang w:val="pt-BR"/>
        </w:rPr>
        <w:t>Office 365 Plano A4 (SL de Usuário) (Pool de Aplicativos)</w:t>
      </w:r>
    </w:p>
    <w:p w:rsidR="009C779A" w:rsidRPr="008D38F6" w:rsidRDefault="009C779A" w:rsidP="00EA31A6">
      <w:pPr>
        <w:rPr>
          <w:lang w:val="pt-BR"/>
        </w:rPr>
      </w:pPr>
      <w:r w:rsidRPr="008D38F6">
        <w:rPr>
          <w:lang w:val="pt-BR"/>
        </w:rPr>
        <w:t>Office 365 Plano E1 (SL de Usuário) (Pool de Servidores)</w:t>
      </w:r>
    </w:p>
    <w:p w:rsidR="009C779A" w:rsidRPr="008D38F6" w:rsidRDefault="009C779A" w:rsidP="00EA31A6">
      <w:pPr>
        <w:rPr>
          <w:lang w:val="pt-BR"/>
        </w:rPr>
      </w:pPr>
      <w:r w:rsidRPr="008D38F6">
        <w:rPr>
          <w:lang w:val="pt-BR"/>
        </w:rPr>
        <w:t>Office 365 Plano E2 - E4 (SL de Usuário) (Pool de Servidores)</w:t>
      </w:r>
    </w:p>
    <w:p w:rsidR="009C779A" w:rsidRPr="008D38F6" w:rsidRDefault="009C779A" w:rsidP="00EA31A6">
      <w:pPr>
        <w:rPr>
          <w:lang w:val="pt-BR"/>
        </w:rPr>
      </w:pPr>
      <w:r w:rsidRPr="008D38F6">
        <w:rPr>
          <w:lang w:val="pt-BR"/>
        </w:rPr>
        <w:t>Office 365 Plano G1 - G4 (SL de Usuário) (Pool de Servidores)</w:t>
      </w:r>
    </w:p>
    <w:p w:rsidR="009C779A" w:rsidRPr="008D38F6" w:rsidRDefault="009C779A" w:rsidP="003537B9">
      <w:pPr>
        <w:rPr>
          <w:lang w:val="pt-BR"/>
        </w:rPr>
      </w:pPr>
      <w:r w:rsidRPr="008D38F6">
        <w:rPr>
          <w:lang w:val="pt-BR"/>
        </w:rPr>
        <w:t>Office 365 Plano K1 (SL de Usuário) (Pool de Servidores)</w:t>
      </w:r>
    </w:p>
    <w:p w:rsidR="009C779A" w:rsidRPr="008D38F6" w:rsidRDefault="009C779A" w:rsidP="003537B9">
      <w:pPr>
        <w:rPr>
          <w:lang w:val="pt-BR"/>
        </w:rPr>
      </w:pPr>
      <w:r w:rsidRPr="008D38F6">
        <w:rPr>
          <w:lang w:val="pt-BR"/>
        </w:rPr>
        <w:t>Office 365 Plano K2 (SL de Usuário) (Pool de Servidores)</w:t>
      </w:r>
    </w:p>
    <w:p w:rsidR="003A31B1" w:rsidRPr="008D38F6" w:rsidRDefault="003A31B1" w:rsidP="003A31B1">
      <w:pPr>
        <w:rPr>
          <w:lang w:val="pt-BR"/>
        </w:rPr>
      </w:pPr>
      <w:r w:rsidRPr="008D38F6">
        <w:rPr>
          <w:lang w:val="pt-BR"/>
        </w:rPr>
        <w:t>System Center 2012 Endpoint Protection</w:t>
      </w:r>
    </w:p>
    <w:p w:rsidR="00242B11" w:rsidRPr="008D38F6" w:rsidRDefault="00242B11" w:rsidP="00242B11">
      <w:pPr>
        <w:rPr>
          <w:lang w:val="pt-BR"/>
        </w:rPr>
      </w:pPr>
      <w:r w:rsidRPr="008D38F6">
        <w:rPr>
          <w:lang w:val="pt-BR"/>
        </w:rPr>
        <w:t>O BizTalk Server mudou do modelo de licença “Proc” para “Core” na versão 2013</w:t>
      </w:r>
    </w:p>
    <w:p w:rsidR="00242B11" w:rsidRPr="008D38F6" w:rsidRDefault="00242B11" w:rsidP="00242B11">
      <w:pPr>
        <w:rPr>
          <w:lang w:val="pt-BR"/>
        </w:rPr>
      </w:pPr>
      <w:r w:rsidRPr="008D38F6">
        <w:rPr>
          <w:lang w:val="pt-BR"/>
        </w:rPr>
        <w:t>Produto Adicional (</w:t>
      </w:r>
      <w:r w:rsidR="00910E93" w:rsidRPr="008D38F6">
        <w:rPr>
          <w:lang w:val="pt-BR"/>
        </w:rPr>
        <w:t>“</w:t>
      </w:r>
      <w:r w:rsidRPr="008D38F6">
        <w:rPr>
          <w:lang w:val="pt-BR"/>
        </w:rPr>
        <w:t>A</w:t>
      </w:r>
      <w:r w:rsidR="00910E93" w:rsidRPr="008D38F6">
        <w:rPr>
          <w:lang w:val="pt-BR"/>
        </w:rPr>
        <w:t>”</w:t>
      </w:r>
      <w:r w:rsidRPr="008D38F6">
        <w:rPr>
          <w:lang w:val="pt-BR"/>
        </w:rPr>
        <w:t>) Removido do Sys Ctr Endpoint Protection</w:t>
      </w:r>
    </w:p>
    <w:p w:rsidR="00242B11" w:rsidRPr="008D38F6" w:rsidRDefault="00242B11" w:rsidP="00242B11">
      <w:pPr>
        <w:rPr>
          <w:lang w:val="pt-BR"/>
        </w:rPr>
      </w:pPr>
      <w:r w:rsidRPr="008D38F6">
        <w:rPr>
          <w:lang w:val="pt-BR"/>
        </w:rPr>
        <w:t>Entrada Professional Removida do Bing Maps Standard (SL de Usuário)</w:t>
      </w:r>
    </w:p>
    <w:p w:rsidR="009C779A" w:rsidRPr="008D38F6" w:rsidRDefault="009C779A" w:rsidP="009C779A">
      <w:pPr>
        <w:rPr>
          <w:lang w:val="pt-BR"/>
        </w:rPr>
      </w:pPr>
    </w:p>
    <w:p w:rsidR="00B65F35" w:rsidRPr="008D38F6" w:rsidRDefault="00B65F35" w:rsidP="007E466C">
      <w:pPr>
        <w:spacing w:after="60"/>
        <w:rPr>
          <w:lang w:val="pt-BR"/>
        </w:rPr>
      </w:pPr>
      <w:r w:rsidRPr="008D38F6">
        <w:rPr>
          <w:b/>
          <w:lang w:val="pt-BR"/>
        </w:rPr>
        <w:t>Exclusões</w:t>
      </w:r>
    </w:p>
    <w:p w:rsidR="00D02D7A" w:rsidRPr="008D38F6" w:rsidRDefault="00D02D7A" w:rsidP="00D02D7A">
      <w:pPr>
        <w:rPr>
          <w:lang w:val="pt-BR"/>
        </w:rPr>
      </w:pPr>
      <w:r w:rsidRPr="008D38F6">
        <w:rPr>
          <w:lang w:val="pt-BR"/>
        </w:rPr>
        <w:t>Bing Maps 25KTrx (SL Complementar)</w:t>
      </w:r>
    </w:p>
    <w:p w:rsidR="00D02D7A" w:rsidRPr="00416070" w:rsidRDefault="00D02D7A" w:rsidP="00D02D7A">
      <w:r w:rsidRPr="00416070">
        <w:t>Bing Maps 250KTrx (SL Complementar)</w:t>
      </w:r>
    </w:p>
    <w:p w:rsidR="00D02D7A" w:rsidRPr="008D38F6" w:rsidRDefault="00D02D7A" w:rsidP="00D02D7A">
      <w:pPr>
        <w:rPr>
          <w:lang w:val="pt-BR"/>
        </w:rPr>
      </w:pPr>
      <w:r w:rsidRPr="008D38F6">
        <w:rPr>
          <w:lang w:val="pt-BR"/>
        </w:rPr>
        <w:t>Bing Maps Professional (SL de Serviços)</w:t>
      </w:r>
    </w:p>
    <w:p w:rsidR="005F584F" w:rsidRPr="008D38F6" w:rsidRDefault="005F584F" w:rsidP="005F584F">
      <w:pPr>
        <w:rPr>
          <w:lang w:val="pt-BR"/>
        </w:rPr>
      </w:pPr>
      <w:r w:rsidRPr="008D38F6">
        <w:rPr>
          <w:lang w:val="pt-BR"/>
        </w:rPr>
        <w:t>Bing Maps Desktop com Pacote de Conteúdo Aprimorado</w:t>
      </w:r>
    </w:p>
    <w:p w:rsidR="005F584F" w:rsidRPr="008D38F6" w:rsidRDefault="005F584F" w:rsidP="005F584F">
      <w:pPr>
        <w:rPr>
          <w:lang w:val="pt-BR"/>
        </w:rPr>
      </w:pPr>
      <w:r w:rsidRPr="008D38F6">
        <w:rPr>
          <w:lang w:val="pt-BR"/>
        </w:rPr>
        <w:t>Bing Maps Server</w:t>
      </w:r>
    </w:p>
    <w:p w:rsidR="005F584F" w:rsidRPr="008D38F6" w:rsidRDefault="005F584F" w:rsidP="005F584F">
      <w:pPr>
        <w:rPr>
          <w:lang w:val="pt-BR"/>
        </w:rPr>
      </w:pPr>
      <w:r w:rsidRPr="008D38F6">
        <w:rPr>
          <w:lang w:val="pt-BR"/>
        </w:rPr>
        <w:t>Bing Maps com Pacote de Conteúdo Aprimorado</w:t>
      </w:r>
    </w:p>
    <w:p w:rsidR="00D02D7A" w:rsidRPr="00416070" w:rsidRDefault="00D02D7A" w:rsidP="00D02D7A">
      <w:r w:rsidRPr="00416070">
        <w:t>Bing Maps Unlimited Trx (SL Complementar)</w:t>
      </w:r>
    </w:p>
    <w:p w:rsidR="00242B11" w:rsidRPr="008D38F6" w:rsidRDefault="00242B11" w:rsidP="00D02D7A">
      <w:pPr>
        <w:rPr>
          <w:lang w:val="pt-BR"/>
        </w:rPr>
      </w:pPr>
      <w:r w:rsidRPr="008D38F6">
        <w:rPr>
          <w:lang w:val="pt-BR"/>
        </w:rPr>
        <w:t>Bing Server</w:t>
      </w:r>
    </w:p>
    <w:p w:rsidR="00242B11" w:rsidRPr="008D38F6" w:rsidRDefault="00242B11" w:rsidP="00D02D7A">
      <w:pPr>
        <w:rPr>
          <w:lang w:val="pt-BR"/>
        </w:rPr>
      </w:pPr>
      <w:r w:rsidRPr="008D38F6">
        <w:rPr>
          <w:lang w:val="pt-BR"/>
        </w:rPr>
        <w:t>Bing Server com Pacote de Conteúdo Aprimorado</w:t>
      </w:r>
    </w:p>
    <w:p w:rsidR="00D02D7A" w:rsidRPr="00416070" w:rsidRDefault="00D02D7A" w:rsidP="00D02D7A">
      <w:r w:rsidRPr="00416070">
        <w:t>BizTalk</w:t>
      </w:r>
      <w:r w:rsidR="00510A6E" w:rsidRPr="00416070">
        <w:rPr>
          <w:vertAlign w:val="superscript"/>
        </w:rPr>
        <w:t>®</w:t>
      </w:r>
      <w:r w:rsidRPr="00416070">
        <w:t xml:space="preserve"> Server 2010 Branch Edition </w:t>
      </w:r>
    </w:p>
    <w:p w:rsidR="00D02D7A" w:rsidRPr="00416070" w:rsidRDefault="00D02D7A" w:rsidP="00D02D7A">
      <w:r w:rsidRPr="00416070">
        <w:t>BizTalk</w:t>
      </w:r>
      <w:r w:rsidR="00510A6E" w:rsidRPr="00416070">
        <w:rPr>
          <w:vertAlign w:val="superscript"/>
        </w:rPr>
        <w:t>®</w:t>
      </w:r>
      <w:r w:rsidRPr="00416070">
        <w:t xml:space="preserve"> Server 2010 Enterprise Edition</w:t>
      </w:r>
    </w:p>
    <w:p w:rsidR="00D02D7A" w:rsidRPr="00416070" w:rsidRDefault="00D02D7A" w:rsidP="00D02D7A">
      <w:r w:rsidRPr="00416070">
        <w:t>BizTalk</w:t>
      </w:r>
      <w:r w:rsidR="00510A6E" w:rsidRPr="00416070">
        <w:rPr>
          <w:vertAlign w:val="superscript"/>
        </w:rPr>
        <w:t>®</w:t>
      </w:r>
      <w:r w:rsidRPr="00416070">
        <w:t xml:space="preserve"> Server 2010 Enterprise RFID</w:t>
      </w:r>
    </w:p>
    <w:p w:rsidR="00D02D7A" w:rsidRPr="00416070" w:rsidRDefault="00D02D7A" w:rsidP="00D02D7A">
      <w:r w:rsidRPr="00416070">
        <w:t>BizTalk</w:t>
      </w:r>
      <w:r w:rsidR="00510A6E" w:rsidRPr="00416070">
        <w:rPr>
          <w:vertAlign w:val="superscript"/>
        </w:rPr>
        <w:t>®</w:t>
      </w:r>
      <w:r w:rsidRPr="00416070">
        <w:t xml:space="preserve"> Server 2010 Standard Edition </w:t>
      </w:r>
    </w:p>
    <w:p w:rsidR="00D02D7A" w:rsidRPr="00416070" w:rsidRDefault="00D02D7A" w:rsidP="00D02D7A">
      <w:r w:rsidRPr="00416070">
        <w:t>BizTalk</w:t>
      </w:r>
      <w:r w:rsidR="00510A6E" w:rsidRPr="00416070">
        <w:rPr>
          <w:vertAlign w:val="superscript"/>
        </w:rPr>
        <w:t>®</w:t>
      </w:r>
      <w:r w:rsidRPr="00416070">
        <w:t xml:space="preserve"> Server 2010 Developer IDC </w:t>
      </w:r>
    </w:p>
    <w:p w:rsidR="00D02D7A" w:rsidRPr="00416070" w:rsidRDefault="00D02D7A" w:rsidP="00D02D7A">
      <w:r w:rsidRPr="00416070">
        <w:t>BizTalk</w:t>
      </w:r>
      <w:r w:rsidR="00510A6E" w:rsidRPr="00416070">
        <w:rPr>
          <w:vertAlign w:val="superscript"/>
        </w:rPr>
        <w:t>®</w:t>
      </w:r>
      <w:r w:rsidRPr="00416070">
        <w:t xml:space="preserve"> Server 2010 Branch IDC </w:t>
      </w:r>
    </w:p>
    <w:p w:rsidR="00D02D7A" w:rsidRPr="00416070" w:rsidRDefault="00D02D7A" w:rsidP="00D02D7A">
      <w:r w:rsidRPr="00416070">
        <w:t>Data Warehouse Appliance 2012</w:t>
      </w:r>
    </w:p>
    <w:p w:rsidR="00D02D7A" w:rsidRPr="008D38F6" w:rsidRDefault="00D02D7A" w:rsidP="00D02D7A">
      <w:pPr>
        <w:rPr>
          <w:lang w:val="pt-BR"/>
        </w:rPr>
      </w:pPr>
      <w:r w:rsidRPr="008D38F6">
        <w:rPr>
          <w:lang w:val="pt-BR"/>
        </w:rPr>
        <w:t>Office 365 Plano E1 (SL de Usuário) (Pool de Aplicativos)</w:t>
      </w:r>
    </w:p>
    <w:p w:rsidR="00D02D7A" w:rsidRPr="008D38F6" w:rsidRDefault="00D02D7A" w:rsidP="00D02D7A">
      <w:pPr>
        <w:rPr>
          <w:lang w:val="pt-BR"/>
        </w:rPr>
      </w:pPr>
      <w:r w:rsidRPr="008D38F6">
        <w:rPr>
          <w:lang w:val="pt-BR"/>
        </w:rPr>
        <w:t>Office 365 Plano E2 (SL de Usuário) (Pool de Aplicativos)</w:t>
      </w:r>
    </w:p>
    <w:p w:rsidR="00D02D7A" w:rsidRPr="008D38F6" w:rsidRDefault="00D02D7A" w:rsidP="00D02D7A">
      <w:pPr>
        <w:rPr>
          <w:lang w:val="pt-BR"/>
        </w:rPr>
      </w:pPr>
      <w:r w:rsidRPr="008D38F6">
        <w:rPr>
          <w:lang w:val="pt-BR"/>
        </w:rPr>
        <w:t>Office 365 Plano E3 (SL de Usuário) (Pool de Aplicativos)</w:t>
      </w:r>
    </w:p>
    <w:p w:rsidR="00D02D7A" w:rsidRPr="008D38F6" w:rsidRDefault="00D02D7A" w:rsidP="00D02D7A">
      <w:pPr>
        <w:rPr>
          <w:lang w:val="pt-BR"/>
        </w:rPr>
      </w:pPr>
      <w:r w:rsidRPr="008D38F6">
        <w:rPr>
          <w:lang w:val="pt-BR"/>
        </w:rPr>
        <w:t>Office 365 Plano E4 (SL de Usuário) (Pool de Aplicativos)</w:t>
      </w:r>
    </w:p>
    <w:p w:rsidR="00D02D7A" w:rsidRPr="008D38F6" w:rsidRDefault="00D02D7A" w:rsidP="00D02D7A">
      <w:pPr>
        <w:rPr>
          <w:lang w:val="pt-BR"/>
        </w:rPr>
      </w:pPr>
      <w:r w:rsidRPr="008D38F6">
        <w:rPr>
          <w:lang w:val="pt-BR"/>
        </w:rPr>
        <w:t>Office 365 Plano A2 (SL de Usuário) (Pool de Aplicativos)</w:t>
      </w:r>
    </w:p>
    <w:p w:rsidR="00D02D7A" w:rsidRPr="008D38F6" w:rsidRDefault="00D02D7A" w:rsidP="00D02D7A">
      <w:pPr>
        <w:rPr>
          <w:lang w:val="pt-BR"/>
        </w:rPr>
      </w:pPr>
      <w:r w:rsidRPr="008D38F6">
        <w:rPr>
          <w:lang w:val="pt-BR"/>
        </w:rPr>
        <w:t>Office 365 Plano A3 (SL de Usuário) (Pool de Aplicativos)</w:t>
      </w:r>
    </w:p>
    <w:p w:rsidR="00D02D7A" w:rsidRPr="008D38F6" w:rsidRDefault="00D02D7A" w:rsidP="00D02D7A">
      <w:pPr>
        <w:rPr>
          <w:lang w:val="pt-BR"/>
        </w:rPr>
      </w:pPr>
      <w:r w:rsidRPr="008D38F6">
        <w:rPr>
          <w:lang w:val="pt-BR"/>
        </w:rPr>
        <w:t>Office 365 Plano A4 (SL de Usuário) (Pool de Aplicativos)</w:t>
      </w:r>
    </w:p>
    <w:p w:rsidR="00D02D7A" w:rsidRPr="008D38F6" w:rsidRDefault="00D02D7A" w:rsidP="00D02D7A">
      <w:pPr>
        <w:rPr>
          <w:lang w:val="pt-BR"/>
        </w:rPr>
      </w:pPr>
      <w:r w:rsidRPr="008D38F6">
        <w:rPr>
          <w:lang w:val="pt-BR"/>
        </w:rPr>
        <w:t>Office 365 Plano E1 (SL de Usuário) (Pool de Servidores)</w:t>
      </w:r>
    </w:p>
    <w:p w:rsidR="00D02D7A" w:rsidRPr="008D38F6" w:rsidRDefault="00D02D7A" w:rsidP="00D02D7A">
      <w:pPr>
        <w:rPr>
          <w:lang w:val="pt-BR"/>
        </w:rPr>
      </w:pPr>
      <w:r w:rsidRPr="008D38F6">
        <w:rPr>
          <w:lang w:val="pt-BR"/>
        </w:rPr>
        <w:t>Office 365 Plano E2 (SL de Usuário) (Pool de Servidores)</w:t>
      </w:r>
    </w:p>
    <w:p w:rsidR="00D02D7A" w:rsidRPr="008D38F6" w:rsidRDefault="00D02D7A" w:rsidP="00D02D7A">
      <w:pPr>
        <w:rPr>
          <w:lang w:val="pt-BR"/>
        </w:rPr>
      </w:pPr>
      <w:r w:rsidRPr="008D38F6">
        <w:rPr>
          <w:lang w:val="pt-BR"/>
        </w:rPr>
        <w:t>Office 365 Plano E3 (SL de Usuário) (Pool de Servidores)</w:t>
      </w:r>
    </w:p>
    <w:p w:rsidR="00D02D7A" w:rsidRPr="008D38F6" w:rsidRDefault="00D02D7A" w:rsidP="00D02D7A">
      <w:pPr>
        <w:rPr>
          <w:lang w:val="pt-BR"/>
        </w:rPr>
      </w:pPr>
      <w:r w:rsidRPr="008D38F6">
        <w:rPr>
          <w:lang w:val="pt-BR"/>
        </w:rPr>
        <w:t>Office 365 Plano E4 (SL de Usuário) (Pool de Servidores)</w:t>
      </w:r>
    </w:p>
    <w:p w:rsidR="00D02D7A" w:rsidRPr="008D38F6" w:rsidRDefault="00D02D7A" w:rsidP="00D02D7A">
      <w:pPr>
        <w:rPr>
          <w:lang w:val="pt-BR"/>
        </w:rPr>
      </w:pPr>
      <w:r w:rsidRPr="008D38F6">
        <w:rPr>
          <w:lang w:val="pt-BR"/>
        </w:rPr>
        <w:t>Office 365 Plano G1 (SL de Usuário) (Pool de Servidores)</w:t>
      </w:r>
    </w:p>
    <w:p w:rsidR="00D02D7A" w:rsidRPr="008D38F6" w:rsidRDefault="00D02D7A" w:rsidP="00D02D7A">
      <w:pPr>
        <w:rPr>
          <w:lang w:val="pt-BR"/>
        </w:rPr>
      </w:pPr>
      <w:r w:rsidRPr="008D38F6">
        <w:rPr>
          <w:lang w:val="pt-BR"/>
        </w:rPr>
        <w:t>Office 365 Plano G2 (SL de Usuário) (Pool de Servidores)</w:t>
      </w:r>
    </w:p>
    <w:p w:rsidR="00D02D7A" w:rsidRPr="008D38F6" w:rsidRDefault="00D02D7A" w:rsidP="00D02D7A">
      <w:pPr>
        <w:rPr>
          <w:lang w:val="pt-BR"/>
        </w:rPr>
      </w:pPr>
      <w:r w:rsidRPr="008D38F6">
        <w:rPr>
          <w:lang w:val="pt-BR"/>
        </w:rPr>
        <w:t>Office 365 Plano G3 (SL de Usuário) (Pool de Servidores)</w:t>
      </w:r>
    </w:p>
    <w:p w:rsidR="00D02D7A" w:rsidRPr="008D38F6" w:rsidRDefault="00D02D7A" w:rsidP="00D02D7A">
      <w:pPr>
        <w:rPr>
          <w:lang w:val="pt-BR"/>
        </w:rPr>
      </w:pPr>
      <w:r w:rsidRPr="008D38F6">
        <w:rPr>
          <w:lang w:val="pt-BR"/>
        </w:rPr>
        <w:t>Office 365 Plano G4 (SL de Usuário) (Pool de Servidores)</w:t>
      </w:r>
    </w:p>
    <w:p w:rsidR="00D02D7A" w:rsidRPr="008D38F6" w:rsidRDefault="00D02D7A" w:rsidP="00D02D7A">
      <w:pPr>
        <w:rPr>
          <w:lang w:val="pt-BR"/>
        </w:rPr>
      </w:pPr>
      <w:r w:rsidRPr="008D38F6">
        <w:rPr>
          <w:lang w:val="pt-BR"/>
        </w:rPr>
        <w:lastRenderedPageBreak/>
        <w:t>Office 365 Plano K1 (SL de Usuário) (Pool de Servidores)</w:t>
      </w:r>
    </w:p>
    <w:p w:rsidR="00D02D7A" w:rsidRPr="008D38F6" w:rsidRDefault="00D02D7A" w:rsidP="00D02D7A">
      <w:pPr>
        <w:rPr>
          <w:lang w:val="pt-BR"/>
        </w:rPr>
      </w:pPr>
      <w:r w:rsidRPr="008D38F6">
        <w:rPr>
          <w:lang w:val="pt-BR"/>
        </w:rPr>
        <w:t>Office 365 Plano K2 (SL de Usuário) (Pool de Servidores)</w:t>
      </w:r>
    </w:p>
    <w:p w:rsidR="00D02D7A" w:rsidRPr="008D38F6" w:rsidRDefault="00D02D7A" w:rsidP="00D02D7A">
      <w:pPr>
        <w:rPr>
          <w:lang w:val="pt-BR"/>
        </w:rPr>
      </w:pPr>
      <w:r w:rsidRPr="008D38F6">
        <w:rPr>
          <w:lang w:val="pt-BR"/>
        </w:rPr>
        <w:t>System Center 2012 Endpoint Protection</w:t>
      </w:r>
    </w:p>
    <w:p w:rsidR="00D02D7A" w:rsidRPr="008D38F6" w:rsidRDefault="00D02D7A" w:rsidP="00D02D7A">
      <w:pPr>
        <w:rPr>
          <w:lang w:val="pt-BR"/>
        </w:rPr>
      </w:pPr>
      <w:r w:rsidRPr="008D38F6">
        <w:rPr>
          <w:lang w:val="pt-BR"/>
        </w:rPr>
        <w:t>Forefront Online Protection for Exchange (SL de Dispositivo e Usuário)</w:t>
      </w:r>
    </w:p>
    <w:p w:rsidR="00D02D7A" w:rsidRPr="008D38F6" w:rsidRDefault="00D02D7A" w:rsidP="00D02D7A">
      <w:pPr>
        <w:rPr>
          <w:lang w:val="pt-BR"/>
        </w:rPr>
      </w:pPr>
      <w:r w:rsidRPr="008D38F6">
        <w:rPr>
          <w:lang w:val="pt-BR"/>
        </w:rPr>
        <w:t>Microsoft Desktop Optimization Pack para Software Assurance 2012</w:t>
      </w:r>
    </w:p>
    <w:p w:rsidR="00B65F35" w:rsidRPr="008D38F6" w:rsidRDefault="00B65F35" w:rsidP="007E466C">
      <w:pPr>
        <w:rPr>
          <w:lang w:val="pt-BR"/>
        </w:rPr>
      </w:pPr>
    </w:p>
    <w:p w:rsidR="004759C6" w:rsidRPr="00416070" w:rsidRDefault="004759C6" w:rsidP="004759C6">
      <w:pPr>
        <w:pStyle w:val="Heading2"/>
        <w:ind w:left="0"/>
        <w:jc w:val="both"/>
      </w:pPr>
      <w:bookmarkStart w:id="622" w:name="_Toc352234240"/>
      <w:r w:rsidRPr="00416070">
        <w:rPr>
          <w:rFonts w:ascii="Tahoma" w:hAnsi="Tahoma" w:cs="Tahoma"/>
          <w:color w:val="FF6600"/>
        </w:rPr>
        <w:t>ALTERAÇÕES EM MARÇO DE 2013</w:t>
      </w:r>
      <w:bookmarkEnd w:id="622"/>
    </w:p>
    <w:p w:rsidR="004759C6" w:rsidRPr="00416070" w:rsidRDefault="004759C6" w:rsidP="004759C6">
      <w:pPr>
        <w:pStyle w:val="Heading2"/>
        <w:ind w:left="0"/>
        <w:jc w:val="both"/>
        <w:rPr>
          <w:rFonts w:ascii="Tahoma" w:hAnsi="Tahoma" w:cs="Tahoma"/>
          <w:sz w:val="18"/>
          <w:szCs w:val="18"/>
        </w:rPr>
      </w:pPr>
    </w:p>
    <w:p w:rsidR="0064651F" w:rsidRPr="008D38F6" w:rsidRDefault="004759C6" w:rsidP="0064651F">
      <w:pPr>
        <w:spacing w:after="60"/>
        <w:rPr>
          <w:lang w:val="pt-BR"/>
        </w:rPr>
      </w:pPr>
      <w:r w:rsidRPr="008D38F6">
        <w:rPr>
          <w:b/>
          <w:lang w:val="pt-BR"/>
        </w:rPr>
        <w:t>Adições</w:t>
      </w:r>
    </w:p>
    <w:p w:rsidR="006D5B20" w:rsidRPr="008D38F6" w:rsidRDefault="006D5B20" w:rsidP="006D5B20">
      <w:pPr>
        <w:rPr>
          <w:lang w:val="pt-BR"/>
        </w:rPr>
      </w:pPr>
      <w:r w:rsidRPr="008D38F6">
        <w:rPr>
          <w:rFonts w:cs="Tahoma"/>
          <w:color w:val="000000"/>
          <w:szCs w:val="18"/>
          <w:lang w:val="pt-BR"/>
        </w:rPr>
        <w:t>Arquivamento do Exchange Online para Exchange Online</w:t>
      </w:r>
    </w:p>
    <w:p w:rsidR="006D5B20" w:rsidRPr="008D38F6" w:rsidRDefault="006D5B20" w:rsidP="006D5B20">
      <w:pPr>
        <w:rPr>
          <w:lang w:val="pt-BR"/>
        </w:rPr>
      </w:pPr>
      <w:r w:rsidRPr="008D38F6">
        <w:rPr>
          <w:rFonts w:cs="Tahoma"/>
          <w:color w:val="000000"/>
          <w:szCs w:val="18"/>
          <w:lang w:val="pt-BR"/>
        </w:rPr>
        <w:t xml:space="preserve">Arquivamento do Exchange Online para Exchange Online A </w:t>
      </w:r>
    </w:p>
    <w:p w:rsidR="006D5B20" w:rsidRPr="008D38F6" w:rsidRDefault="006D5B20" w:rsidP="006D5B20">
      <w:pPr>
        <w:rPr>
          <w:lang w:val="pt-BR"/>
        </w:rPr>
      </w:pPr>
      <w:r w:rsidRPr="008D38F6">
        <w:rPr>
          <w:rFonts w:cs="Tahoma"/>
          <w:color w:val="000000"/>
          <w:szCs w:val="18"/>
          <w:lang w:val="pt-BR"/>
        </w:rPr>
        <w:t>Exchange Online Protection (SL de Usuário)</w:t>
      </w:r>
    </w:p>
    <w:p w:rsidR="00140B67" w:rsidRPr="008D38F6" w:rsidRDefault="00140B67" w:rsidP="006D6A83">
      <w:pPr>
        <w:rPr>
          <w:lang w:val="pt-BR"/>
        </w:rPr>
      </w:pPr>
      <w:r w:rsidRPr="008D38F6">
        <w:rPr>
          <w:rFonts w:cs="Tahoma"/>
          <w:color w:val="000000"/>
          <w:szCs w:val="18"/>
          <w:lang w:val="pt-BR"/>
        </w:rPr>
        <w:t>Office 365 Midsize Business (SL de Usuário)</w:t>
      </w:r>
    </w:p>
    <w:p w:rsidR="001C4B96" w:rsidRDefault="006D5B20" w:rsidP="006D6A83">
      <w:pPr>
        <w:rPr>
          <w:rFonts w:cs="Tahoma"/>
          <w:color w:val="000000"/>
          <w:szCs w:val="18"/>
          <w:lang w:val="pt-BR"/>
        </w:rPr>
      </w:pPr>
      <w:r w:rsidRPr="008D38F6">
        <w:rPr>
          <w:rFonts w:cs="Tahoma"/>
          <w:color w:val="000000"/>
          <w:szCs w:val="18"/>
          <w:lang w:val="pt-BR"/>
        </w:rPr>
        <w:t xml:space="preserve">Office 365 Plano E1 (SL de Usuário) </w:t>
      </w:r>
    </w:p>
    <w:p w:rsidR="00170CFB" w:rsidRPr="008D38F6" w:rsidRDefault="006D5B20" w:rsidP="006D6A83">
      <w:pPr>
        <w:rPr>
          <w:lang w:val="pt-BR"/>
        </w:rPr>
      </w:pPr>
      <w:r w:rsidRPr="008D38F6">
        <w:rPr>
          <w:rFonts w:cs="Tahoma"/>
          <w:color w:val="000000"/>
          <w:szCs w:val="18"/>
          <w:lang w:val="pt-BR"/>
        </w:rPr>
        <w:t>SQL Server</w:t>
      </w:r>
      <w:r w:rsidR="00510A6E" w:rsidRPr="008D38F6">
        <w:rPr>
          <w:rFonts w:cs="Tahoma"/>
          <w:color w:val="000000"/>
          <w:szCs w:val="18"/>
          <w:vertAlign w:val="superscript"/>
          <w:lang w:val="pt-BR"/>
        </w:rPr>
        <w:t>®</w:t>
      </w:r>
      <w:r w:rsidRPr="008D38F6">
        <w:rPr>
          <w:rFonts w:cs="Tahoma"/>
          <w:color w:val="000000"/>
          <w:szCs w:val="18"/>
          <w:lang w:val="pt-BR"/>
        </w:rPr>
        <w:t xml:space="preserve"> 2012 Parallel Data Warehouse</w:t>
      </w:r>
    </w:p>
    <w:p w:rsidR="006D5B20" w:rsidRPr="00416070" w:rsidRDefault="006D5B20" w:rsidP="006D5B20">
      <w:r w:rsidRPr="00416070">
        <w:rPr>
          <w:rFonts w:cs="Tahoma"/>
          <w:color w:val="000000"/>
          <w:szCs w:val="18"/>
        </w:rPr>
        <w:t xml:space="preserve">Project Online </w:t>
      </w:r>
    </w:p>
    <w:p w:rsidR="006D5B20" w:rsidRPr="00416070" w:rsidRDefault="006D5B20" w:rsidP="006D5B20">
      <w:r w:rsidRPr="00416070">
        <w:rPr>
          <w:rFonts w:cs="Tahoma"/>
          <w:color w:val="000000"/>
          <w:szCs w:val="18"/>
        </w:rPr>
        <w:t>Project Online A</w:t>
      </w:r>
      <w:r w:rsidR="00FB5496" w:rsidRPr="00416070">
        <w:rPr>
          <w:rFonts w:cs="Tahoma"/>
          <w:color w:val="000000"/>
          <w:szCs w:val="18"/>
        </w:rPr>
        <w:t xml:space="preserve"> </w:t>
      </w:r>
    </w:p>
    <w:p w:rsidR="006D5B20" w:rsidRPr="00416070" w:rsidRDefault="006D5B20" w:rsidP="006D5B20">
      <w:r w:rsidRPr="00416070">
        <w:rPr>
          <w:rFonts w:cs="Tahoma"/>
          <w:color w:val="000000"/>
          <w:szCs w:val="18"/>
        </w:rPr>
        <w:t xml:space="preserve">Project Pro para Office 365 </w:t>
      </w:r>
    </w:p>
    <w:p w:rsidR="006D5B20" w:rsidRPr="00416070" w:rsidRDefault="006D5B20" w:rsidP="006D5B20">
      <w:r w:rsidRPr="00416070">
        <w:rPr>
          <w:rFonts w:cs="Tahoma"/>
          <w:color w:val="000000"/>
          <w:szCs w:val="18"/>
        </w:rPr>
        <w:t>Project Pro para Office 365 A</w:t>
      </w:r>
      <w:r w:rsidR="00FB5496" w:rsidRPr="00416070">
        <w:rPr>
          <w:rFonts w:cs="Tahoma"/>
          <w:color w:val="000000"/>
          <w:szCs w:val="18"/>
        </w:rPr>
        <w:t xml:space="preserve"> </w:t>
      </w:r>
    </w:p>
    <w:p w:rsidR="00170CFB" w:rsidRPr="00416070" w:rsidRDefault="00170CFB" w:rsidP="006D6A83">
      <w:r w:rsidRPr="00416070">
        <w:rPr>
          <w:rFonts w:cs="Tahoma"/>
          <w:color w:val="000000"/>
          <w:szCs w:val="18"/>
        </w:rPr>
        <w:t>SQL Server</w:t>
      </w:r>
      <w:r w:rsidR="00510A6E" w:rsidRPr="00416070">
        <w:rPr>
          <w:rFonts w:cs="Tahoma"/>
          <w:color w:val="000000"/>
          <w:szCs w:val="18"/>
          <w:vertAlign w:val="superscript"/>
        </w:rPr>
        <w:t>®</w:t>
      </w:r>
      <w:r w:rsidRPr="00416070">
        <w:rPr>
          <w:rFonts w:cs="Tahoma"/>
          <w:color w:val="000000"/>
          <w:szCs w:val="18"/>
        </w:rPr>
        <w:t xml:space="preserve"> 2012 Parallel Data Warehouse Developer</w:t>
      </w:r>
    </w:p>
    <w:p w:rsidR="00170CFB" w:rsidRPr="008D38F6" w:rsidRDefault="00170CFB" w:rsidP="006D6A83">
      <w:pPr>
        <w:rPr>
          <w:lang w:val="pt-BR"/>
        </w:rPr>
      </w:pPr>
      <w:r w:rsidRPr="008D38F6">
        <w:rPr>
          <w:rFonts w:cs="Tahoma"/>
          <w:color w:val="000000"/>
          <w:szCs w:val="18"/>
          <w:lang w:val="pt-BR"/>
        </w:rPr>
        <w:t>Visio Pro para Office 365 A</w:t>
      </w:r>
      <w:r w:rsidR="00FB5496" w:rsidRPr="008D38F6">
        <w:rPr>
          <w:rFonts w:cs="Tahoma"/>
          <w:color w:val="000000"/>
          <w:szCs w:val="18"/>
          <w:lang w:val="pt-BR"/>
        </w:rPr>
        <w:t xml:space="preserve"> </w:t>
      </w:r>
    </w:p>
    <w:p w:rsidR="00170CFB" w:rsidRPr="008D38F6" w:rsidRDefault="00170CFB" w:rsidP="006D6A83">
      <w:pPr>
        <w:rPr>
          <w:lang w:val="pt-BR"/>
        </w:rPr>
      </w:pPr>
      <w:r w:rsidRPr="008D38F6">
        <w:rPr>
          <w:rFonts w:cs="Tahoma"/>
          <w:color w:val="000000"/>
          <w:szCs w:val="18"/>
          <w:lang w:val="pt-BR"/>
        </w:rPr>
        <w:t xml:space="preserve">Visio Pro para Office 365 </w:t>
      </w:r>
    </w:p>
    <w:p w:rsidR="00170CFB" w:rsidRPr="008D38F6" w:rsidRDefault="00170CFB" w:rsidP="006D6A83">
      <w:pPr>
        <w:rPr>
          <w:lang w:val="pt-BR"/>
        </w:rPr>
      </w:pPr>
      <w:r w:rsidRPr="008D38F6">
        <w:rPr>
          <w:rFonts w:cs="Tahoma"/>
          <w:color w:val="000000"/>
          <w:szCs w:val="18"/>
          <w:lang w:val="pt-BR"/>
        </w:rPr>
        <w:t xml:space="preserve">Yammer Enterprise </w:t>
      </w:r>
    </w:p>
    <w:p w:rsidR="004759C6" w:rsidRPr="008D38F6" w:rsidRDefault="004759C6" w:rsidP="004759C6">
      <w:pPr>
        <w:keepNext/>
        <w:tabs>
          <w:tab w:val="num" w:pos="720"/>
        </w:tabs>
        <w:outlineLvl w:val="3"/>
        <w:rPr>
          <w:lang w:val="pt-BR"/>
        </w:rPr>
      </w:pPr>
    </w:p>
    <w:p w:rsidR="004759C6" w:rsidRPr="008D38F6" w:rsidRDefault="004759C6" w:rsidP="004759C6">
      <w:pPr>
        <w:spacing w:after="60"/>
        <w:rPr>
          <w:lang w:val="pt-BR"/>
        </w:rPr>
      </w:pPr>
      <w:r w:rsidRPr="008D38F6">
        <w:rPr>
          <w:b/>
          <w:lang w:val="pt-BR"/>
        </w:rPr>
        <w:t>Alterações</w:t>
      </w:r>
    </w:p>
    <w:p w:rsidR="00497ADA" w:rsidRPr="008D38F6" w:rsidRDefault="00497ADA" w:rsidP="006D5B20">
      <w:pPr>
        <w:rPr>
          <w:lang w:val="pt-BR"/>
        </w:rPr>
      </w:pPr>
      <w:r w:rsidRPr="008D38F6">
        <w:rPr>
          <w:rFonts w:cs="Tahoma"/>
          <w:color w:val="000000"/>
          <w:szCs w:val="18"/>
          <w:lang w:val="pt-BR"/>
        </w:rPr>
        <w:t>Dynamics CRM Online</w:t>
      </w:r>
    </w:p>
    <w:p w:rsidR="006D5B20" w:rsidRPr="008D38F6" w:rsidRDefault="006D5B20" w:rsidP="006D5B20">
      <w:pPr>
        <w:rPr>
          <w:lang w:val="pt-BR"/>
        </w:rPr>
      </w:pPr>
      <w:r w:rsidRPr="008D38F6">
        <w:rPr>
          <w:rFonts w:cs="Tahoma"/>
          <w:color w:val="000000"/>
          <w:szCs w:val="18"/>
          <w:lang w:val="pt-BR"/>
        </w:rPr>
        <w:t>Arquivamento do Exchange Online para Exchange Server</w:t>
      </w:r>
    </w:p>
    <w:p w:rsidR="006D5B20" w:rsidRPr="008D38F6" w:rsidRDefault="006D5B20" w:rsidP="006D5B20">
      <w:pPr>
        <w:rPr>
          <w:lang w:val="pt-BR"/>
        </w:rPr>
      </w:pPr>
      <w:r w:rsidRPr="008D38F6">
        <w:rPr>
          <w:rFonts w:cs="Tahoma"/>
          <w:color w:val="000000"/>
          <w:szCs w:val="18"/>
          <w:lang w:val="pt-BR"/>
        </w:rPr>
        <w:t>Exchange Online Plano 1 (SL de Usuário)</w:t>
      </w:r>
    </w:p>
    <w:p w:rsidR="006D5B20" w:rsidRPr="008D38F6" w:rsidRDefault="006D5B20" w:rsidP="006D5B20">
      <w:pPr>
        <w:rPr>
          <w:lang w:val="pt-BR"/>
        </w:rPr>
      </w:pPr>
      <w:r w:rsidRPr="008D38F6">
        <w:rPr>
          <w:rFonts w:cs="Tahoma"/>
          <w:color w:val="000000"/>
          <w:szCs w:val="18"/>
          <w:lang w:val="pt-BR"/>
        </w:rPr>
        <w:t>Exchange Online Plano 2 (SL de Usuário)</w:t>
      </w:r>
    </w:p>
    <w:p w:rsidR="006D5B20" w:rsidRPr="008D38F6" w:rsidRDefault="006D5B20" w:rsidP="006D5B20">
      <w:pPr>
        <w:rPr>
          <w:lang w:val="pt-BR"/>
        </w:rPr>
      </w:pPr>
      <w:r w:rsidRPr="008D38F6">
        <w:rPr>
          <w:rFonts w:cs="Tahoma"/>
          <w:color w:val="000000"/>
          <w:szCs w:val="18"/>
          <w:lang w:val="pt-BR"/>
        </w:rPr>
        <w:t>Exchange Online Plan 1A para Alunos (SL do Usuário)</w:t>
      </w:r>
    </w:p>
    <w:p w:rsidR="006D5B20" w:rsidRPr="008D38F6" w:rsidRDefault="006D5B20" w:rsidP="006D5B20">
      <w:pPr>
        <w:rPr>
          <w:lang w:val="pt-BR"/>
        </w:rPr>
      </w:pPr>
      <w:r w:rsidRPr="008D38F6">
        <w:rPr>
          <w:rFonts w:cs="Tahoma"/>
          <w:color w:val="000000"/>
          <w:szCs w:val="18"/>
          <w:lang w:val="pt-BR"/>
        </w:rPr>
        <w:t>Exchange Online Plano 2A (SL de Usuário)</w:t>
      </w:r>
    </w:p>
    <w:p w:rsidR="006D5B20" w:rsidRPr="008D38F6" w:rsidRDefault="006D5B20" w:rsidP="006D5B20">
      <w:pPr>
        <w:rPr>
          <w:lang w:val="pt-BR"/>
        </w:rPr>
      </w:pPr>
      <w:r w:rsidRPr="008D38F6">
        <w:rPr>
          <w:rFonts w:cs="Tahoma"/>
          <w:color w:val="000000"/>
          <w:szCs w:val="18"/>
          <w:lang w:val="pt-BR"/>
        </w:rPr>
        <w:t>Lync Online Plano 3A (SL de Usuário)</w:t>
      </w:r>
    </w:p>
    <w:p w:rsidR="00497ADA" w:rsidRPr="008D38F6" w:rsidRDefault="00497ADA" w:rsidP="006D5B20">
      <w:pPr>
        <w:rPr>
          <w:lang w:val="pt-BR"/>
        </w:rPr>
      </w:pPr>
      <w:r w:rsidRPr="008D38F6">
        <w:rPr>
          <w:rFonts w:cs="Tahoma"/>
          <w:color w:val="000000"/>
          <w:szCs w:val="18"/>
          <w:lang w:val="pt-BR"/>
        </w:rPr>
        <w:t>Microsoft Dynamics CRM 2011 Server</w:t>
      </w:r>
    </w:p>
    <w:p w:rsidR="006D5B20" w:rsidRPr="008D38F6" w:rsidRDefault="006D5B20" w:rsidP="006D5B20">
      <w:pPr>
        <w:rPr>
          <w:lang w:val="pt-BR"/>
        </w:rPr>
      </w:pPr>
      <w:r w:rsidRPr="008D38F6">
        <w:rPr>
          <w:rFonts w:cs="Tahoma"/>
          <w:color w:val="000000"/>
          <w:szCs w:val="18"/>
          <w:lang w:val="pt-BR"/>
        </w:rPr>
        <w:t>Ofertas de Suporte do Microsoft Windows Azure</w:t>
      </w:r>
    </w:p>
    <w:p w:rsidR="006D5B20" w:rsidRPr="008D38F6" w:rsidRDefault="006D5B20" w:rsidP="006D5B20">
      <w:pPr>
        <w:rPr>
          <w:lang w:val="pt-BR"/>
        </w:rPr>
      </w:pPr>
      <w:r w:rsidRPr="008D38F6">
        <w:rPr>
          <w:rFonts w:cs="Tahoma"/>
          <w:color w:val="000000"/>
          <w:szCs w:val="18"/>
          <w:lang w:val="pt-BR"/>
        </w:rPr>
        <w:t>Office 365 A2 (SL de Usuário)</w:t>
      </w:r>
    </w:p>
    <w:p w:rsidR="006D5B20" w:rsidRPr="008D38F6" w:rsidRDefault="006D5B20" w:rsidP="006D5B20">
      <w:pPr>
        <w:rPr>
          <w:lang w:val="pt-BR"/>
        </w:rPr>
      </w:pPr>
      <w:r w:rsidRPr="008D38F6">
        <w:rPr>
          <w:rFonts w:cs="Tahoma"/>
          <w:color w:val="000000"/>
          <w:szCs w:val="18"/>
          <w:lang w:val="pt-BR"/>
        </w:rPr>
        <w:t>Office 365 A3 (SL de Usuário)</w:t>
      </w:r>
    </w:p>
    <w:p w:rsidR="006D5B20" w:rsidRPr="008D38F6" w:rsidRDefault="006D5B20" w:rsidP="006D5B20">
      <w:pPr>
        <w:rPr>
          <w:lang w:val="pt-BR"/>
        </w:rPr>
      </w:pPr>
      <w:r w:rsidRPr="008D38F6">
        <w:rPr>
          <w:rFonts w:cs="Tahoma"/>
          <w:color w:val="000000"/>
          <w:szCs w:val="18"/>
          <w:lang w:val="pt-BR"/>
        </w:rPr>
        <w:t>Office 365 A4 (SL de Usuário)</w:t>
      </w:r>
    </w:p>
    <w:p w:rsidR="006D5B20" w:rsidRPr="008D38F6" w:rsidRDefault="006D5B20" w:rsidP="006D5B20">
      <w:pPr>
        <w:rPr>
          <w:lang w:val="pt-BR"/>
        </w:rPr>
      </w:pPr>
      <w:r w:rsidRPr="008D38F6">
        <w:rPr>
          <w:rFonts w:cs="Tahoma"/>
          <w:color w:val="000000"/>
          <w:szCs w:val="18"/>
          <w:lang w:val="pt-BR"/>
        </w:rPr>
        <w:t>Assinatura A do Office Professional Plus (SL de Usuário)</w:t>
      </w:r>
    </w:p>
    <w:p w:rsidR="006D5B20" w:rsidRPr="008D38F6" w:rsidRDefault="006D5B20" w:rsidP="006D5B20">
      <w:pPr>
        <w:rPr>
          <w:lang w:val="pt-BR"/>
        </w:rPr>
      </w:pPr>
      <w:r w:rsidRPr="008D38F6">
        <w:rPr>
          <w:rFonts w:cs="Tahoma"/>
          <w:color w:val="000000"/>
          <w:szCs w:val="18"/>
          <w:lang w:val="pt-BR"/>
        </w:rPr>
        <w:t>Aplicativos da Web do Office com SharePoint Plano 2A (SL do Usuário)</w:t>
      </w:r>
    </w:p>
    <w:p w:rsidR="006D5B20" w:rsidRPr="008D38F6" w:rsidRDefault="006D5B20" w:rsidP="006D6A83">
      <w:pPr>
        <w:rPr>
          <w:lang w:val="pt-BR"/>
        </w:rPr>
      </w:pPr>
      <w:r w:rsidRPr="008D38F6">
        <w:rPr>
          <w:rFonts w:cs="Tahoma"/>
          <w:color w:val="000000"/>
          <w:szCs w:val="18"/>
          <w:lang w:val="pt-BR"/>
        </w:rPr>
        <w:t>Armazenamento Extra do SharePoint™ Online de A 1 GB (SL Complementar)</w:t>
      </w:r>
    </w:p>
    <w:p w:rsidR="00170CFB" w:rsidRPr="008D38F6" w:rsidRDefault="00170CFB" w:rsidP="006D6A83">
      <w:pPr>
        <w:rPr>
          <w:lang w:val="pt-BR"/>
        </w:rPr>
      </w:pPr>
      <w:r w:rsidRPr="008D38F6">
        <w:rPr>
          <w:rFonts w:cs="Tahoma"/>
          <w:color w:val="000000"/>
          <w:szCs w:val="18"/>
          <w:lang w:val="pt-BR"/>
        </w:rPr>
        <w:t>Licença de Gerenciamento de Servidor Enterprise do System Center Configuration Manager 2007 R3</w:t>
      </w:r>
    </w:p>
    <w:p w:rsidR="00170CFB" w:rsidRPr="008D38F6" w:rsidRDefault="00170CFB" w:rsidP="006D6A83">
      <w:pPr>
        <w:rPr>
          <w:lang w:val="pt-BR"/>
        </w:rPr>
      </w:pPr>
      <w:r w:rsidRPr="008D38F6">
        <w:rPr>
          <w:rFonts w:cs="Tahoma"/>
          <w:color w:val="000000"/>
          <w:szCs w:val="18"/>
          <w:lang w:val="pt-BR"/>
        </w:rPr>
        <w:t>Licença de Gerenciamento de Servidor Standard (ML de Servidor Standard) do System</w:t>
      </w:r>
      <w:r w:rsidR="00623C76" w:rsidRPr="008D38F6">
        <w:rPr>
          <w:rFonts w:cs="Tahoma"/>
          <w:color w:val="000000"/>
          <w:szCs w:val="18"/>
          <w:lang w:val="pt-BR"/>
        </w:rPr>
        <w:t> </w:t>
      </w:r>
      <w:r w:rsidRPr="008D38F6">
        <w:rPr>
          <w:rFonts w:cs="Tahoma"/>
          <w:color w:val="000000"/>
          <w:szCs w:val="18"/>
          <w:lang w:val="pt-BR"/>
        </w:rPr>
        <w:t>Center</w:t>
      </w:r>
      <w:r w:rsidR="00623C76" w:rsidRPr="008D38F6">
        <w:rPr>
          <w:rFonts w:cs="Tahoma"/>
          <w:color w:val="000000"/>
          <w:szCs w:val="18"/>
          <w:lang w:val="pt-BR"/>
        </w:rPr>
        <w:t> </w:t>
      </w:r>
      <w:r w:rsidRPr="008D38F6">
        <w:rPr>
          <w:rFonts w:cs="Tahoma"/>
          <w:color w:val="000000"/>
          <w:szCs w:val="18"/>
          <w:lang w:val="pt-BR"/>
        </w:rPr>
        <w:t>Configuration</w:t>
      </w:r>
      <w:r w:rsidR="00623C76" w:rsidRPr="008D38F6">
        <w:rPr>
          <w:rFonts w:cs="Tahoma"/>
          <w:color w:val="000000"/>
          <w:szCs w:val="18"/>
          <w:lang w:val="pt-BR"/>
        </w:rPr>
        <w:t> </w:t>
      </w:r>
      <w:r w:rsidRPr="008D38F6">
        <w:rPr>
          <w:rFonts w:cs="Tahoma"/>
          <w:color w:val="000000"/>
          <w:szCs w:val="18"/>
          <w:lang w:val="pt-BR"/>
        </w:rPr>
        <w:t>Manager</w:t>
      </w:r>
      <w:r w:rsidR="00623C76" w:rsidRPr="008D38F6">
        <w:rPr>
          <w:rFonts w:cs="Tahoma"/>
          <w:color w:val="000000"/>
          <w:szCs w:val="18"/>
          <w:lang w:val="pt-BR"/>
        </w:rPr>
        <w:t> </w:t>
      </w:r>
      <w:r w:rsidRPr="008D38F6">
        <w:rPr>
          <w:rFonts w:cs="Tahoma"/>
          <w:color w:val="000000"/>
          <w:szCs w:val="18"/>
          <w:lang w:val="pt-BR"/>
        </w:rPr>
        <w:t>2007 R3)</w:t>
      </w:r>
    </w:p>
    <w:p w:rsidR="00170CFB" w:rsidRPr="008D38F6" w:rsidRDefault="00170CFB" w:rsidP="006D6A83">
      <w:pPr>
        <w:rPr>
          <w:lang w:val="pt-BR"/>
        </w:rPr>
      </w:pPr>
      <w:r w:rsidRPr="008D38F6">
        <w:rPr>
          <w:rFonts w:cs="Tahoma"/>
          <w:color w:val="000000"/>
          <w:szCs w:val="18"/>
          <w:lang w:val="pt-BR"/>
        </w:rPr>
        <w:t>Licença de Gerenciamento de Servidor Enterprise do System Center Data Protection Manager 2010</w:t>
      </w:r>
    </w:p>
    <w:p w:rsidR="00170CFB" w:rsidRPr="008D38F6" w:rsidRDefault="00170CFB" w:rsidP="006D6A83">
      <w:pPr>
        <w:rPr>
          <w:lang w:val="pt-BR"/>
        </w:rPr>
      </w:pPr>
      <w:r w:rsidRPr="008D38F6">
        <w:rPr>
          <w:rFonts w:cs="Tahoma"/>
          <w:color w:val="000000"/>
          <w:szCs w:val="18"/>
          <w:lang w:val="pt-BR"/>
        </w:rPr>
        <w:t>Licença de Gerenciamento de Servidor Standard do System Center Data Protection Manager 2010</w:t>
      </w:r>
    </w:p>
    <w:p w:rsidR="00170CFB" w:rsidRPr="008D38F6" w:rsidRDefault="00170CFB" w:rsidP="006D6A83">
      <w:pPr>
        <w:rPr>
          <w:lang w:val="pt-BR"/>
        </w:rPr>
      </w:pPr>
      <w:r w:rsidRPr="008D38F6">
        <w:rPr>
          <w:rFonts w:cs="Tahoma"/>
          <w:color w:val="000000"/>
          <w:szCs w:val="18"/>
          <w:lang w:val="pt-BR"/>
        </w:rPr>
        <w:t>Licença de Gerenciamento de Cliente do System Center Operations Manager 2007 R2 por Usuário</w:t>
      </w:r>
    </w:p>
    <w:p w:rsidR="00170CFB" w:rsidRPr="008D38F6" w:rsidRDefault="00170CFB" w:rsidP="006D6A83">
      <w:pPr>
        <w:rPr>
          <w:lang w:val="pt-BR"/>
        </w:rPr>
      </w:pPr>
      <w:r w:rsidRPr="008D38F6">
        <w:rPr>
          <w:rFonts w:cs="Tahoma"/>
          <w:color w:val="000000"/>
          <w:szCs w:val="18"/>
          <w:lang w:val="pt-BR"/>
        </w:rPr>
        <w:t>Licença de Gerenciamento de Cliente do System Center Operations Manager 2007 R2 por OSE</w:t>
      </w:r>
    </w:p>
    <w:p w:rsidR="00170CFB" w:rsidRPr="008D38F6" w:rsidRDefault="00170CFB" w:rsidP="006D6A83">
      <w:pPr>
        <w:rPr>
          <w:lang w:val="pt-BR"/>
        </w:rPr>
      </w:pPr>
      <w:r w:rsidRPr="008D38F6">
        <w:rPr>
          <w:rFonts w:cs="Tahoma"/>
          <w:color w:val="000000"/>
          <w:szCs w:val="18"/>
          <w:lang w:val="pt-BR"/>
        </w:rPr>
        <w:t>Licença de Gerenciamento de Servidor Enterprise do System Center Operations Manager 2007 R2</w:t>
      </w:r>
    </w:p>
    <w:p w:rsidR="00170CFB" w:rsidRPr="008D38F6" w:rsidRDefault="00170CFB" w:rsidP="006D6A83">
      <w:pPr>
        <w:rPr>
          <w:lang w:val="pt-BR"/>
        </w:rPr>
      </w:pPr>
      <w:r w:rsidRPr="008D38F6">
        <w:rPr>
          <w:rFonts w:cs="Tahoma"/>
          <w:color w:val="000000"/>
          <w:szCs w:val="18"/>
          <w:lang w:val="pt-BR"/>
        </w:rPr>
        <w:t>Licença de Gerenciamento de Servidor Standard do System Center Operations Manager 2007 R2</w:t>
      </w:r>
    </w:p>
    <w:p w:rsidR="00170CFB" w:rsidRPr="008D38F6" w:rsidRDefault="00170CFB" w:rsidP="006D6A83">
      <w:pPr>
        <w:rPr>
          <w:lang w:val="pt-BR"/>
        </w:rPr>
      </w:pPr>
      <w:r w:rsidRPr="008D38F6">
        <w:rPr>
          <w:rFonts w:cs="Tahoma"/>
          <w:color w:val="000000"/>
          <w:szCs w:val="18"/>
          <w:lang w:val="pt-BR"/>
        </w:rPr>
        <w:t>Licença de Gerenciamento de Cliente (ML de Cliente) do System Center Service Manager 2010 por Usuário</w:t>
      </w:r>
    </w:p>
    <w:p w:rsidR="00170CFB" w:rsidRPr="008D38F6" w:rsidRDefault="00170CFB" w:rsidP="006D6A83">
      <w:pPr>
        <w:rPr>
          <w:lang w:val="pt-BR"/>
        </w:rPr>
      </w:pPr>
      <w:r w:rsidRPr="008D38F6">
        <w:rPr>
          <w:rFonts w:cs="Tahoma"/>
          <w:color w:val="000000"/>
          <w:szCs w:val="18"/>
          <w:lang w:val="pt-BR"/>
        </w:rPr>
        <w:t>Licença de Gerenciamento de Cliente (ML de Cliente) do System Center Service Manager 2010 por OSE</w:t>
      </w:r>
    </w:p>
    <w:p w:rsidR="00170CFB" w:rsidRPr="008D38F6" w:rsidRDefault="00170CFB" w:rsidP="006D6A83">
      <w:pPr>
        <w:rPr>
          <w:lang w:val="pt-BR"/>
        </w:rPr>
      </w:pPr>
      <w:r w:rsidRPr="008D38F6">
        <w:rPr>
          <w:rFonts w:cs="Tahoma"/>
          <w:color w:val="000000"/>
          <w:szCs w:val="18"/>
          <w:lang w:val="pt-BR"/>
        </w:rPr>
        <w:t>Licença de Gerenciamento de Servidor (ML de Servidor) do System Center Service Manager 2010 por OSE</w:t>
      </w:r>
    </w:p>
    <w:p w:rsidR="00170CFB" w:rsidRPr="008D38F6" w:rsidRDefault="00170CFB" w:rsidP="006D6A83">
      <w:pPr>
        <w:rPr>
          <w:lang w:val="pt-BR"/>
        </w:rPr>
      </w:pPr>
      <w:r w:rsidRPr="008D38F6">
        <w:rPr>
          <w:rFonts w:cs="Tahoma"/>
          <w:color w:val="000000"/>
          <w:szCs w:val="18"/>
          <w:lang w:val="pt-BR"/>
        </w:rPr>
        <w:t>Licença de Gerenciamento de Cliente do System Center Virtual Machine Manager 2008 R2 por Usuário</w:t>
      </w:r>
    </w:p>
    <w:p w:rsidR="00170CFB" w:rsidRPr="008D38F6" w:rsidRDefault="00170CFB" w:rsidP="006D6A83">
      <w:pPr>
        <w:rPr>
          <w:lang w:val="pt-BR"/>
        </w:rPr>
      </w:pPr>
      <w:r w:rsidRPr="008D38F6">
        <w:rPr>
          <w:rFonts w:cs="Tahoma"/>
          <w:color w:val="000000"/>
          <w:szCs w:val="18"/>
          <w:lang w:val="pt-BR"/>
        </w:rPr>
        <w:t>Licença de Gerenciamento de Cliente do System Center Virtual Machine Manager 2008 R2 por OSE</w:t>
      </w:r>
    </w:p>
    <w:p w:rsidR="00170CFB" w:rsidRPr="008D38F6" w:rsidRDefault="00170CFB" w:rsidP="006D6A83">
      <w:pPr>
        <w:rPr>
          <w:lang w:val="pt-BR"/>
        </w:rPr>
      </w:pPr>
      <w:r w:rsidRPr="008D38F6">
        <w:rPr>
          <w:rFonts w:cs="Tahoma"/>
          <w:color w:val="000000"/>
          <w:szCs w:val="18"/>
          <w:lang w:val="pt-BR"/>
        </w:rPr>
        <w:t>Licença de Gerenciamento de Servidor Enterprise do System Center Virtual Machine Manager 2008 R2</w:t>
      </w:r>
    </w:p>
    <w:p w:rsidR="0064651F" w:rsidRPr="008D38F6" w:rsidRDefault="00497ADA">
      <w:pPr>
        <w:rPr>
          <w:lang w:val="pt-BR"/>
        </w:rPr>
      </w:pPr>
      <w:r w:rsidRPr="008D38F6">
        <w:rPr>
          <w:rFonts w:cs="Tahoma"/>
          <w:color w:val="000000"/>
          <w:szCs w:val="18"/>
          <w:lang w:val="pt-BR"/>
        </w:rPr>
        <w:t>SL de Usuário do Windows Intune</w:t>
      </w:r>
    </w:p>
    <w:p w:rsidR="0064651F" w:rsidRPr="008D38F6" w:rsidRDefault="0064651F">
      <w:pPr>
        <w:rPr>
          <w:lang w:val="pt-BR"/>
        </w:rPr>
      </w:pPr>
    </w:p>
    <w:p w:rsidR="00467B1E" w:rsidRPr="008D38F6" w:rsidRDefault="00467B1E">
      <w:pPr>
        <w:rPr>
          <w:lang w:val="pt-BR"/>
        </w:rPr>
      </w:pPr>
    </w:p>
    <w:p w:rsidR="00467B1E" w:rsidRPr="008D38F6" w:rsidRDefault="00467B1E">
      <w:pPr>
        <w:rPr>
          <w:lang w:val="pt-BR"/>
        </w:rPr>
      </w:pPr>
    </w:p>
    <w:p w:rsidR="004759C6" w:rsidRPr="008D38F6" w:rsidRDefault="004759C6" w:rsidP="0064651F">
      <w:pPr>
        <w:keepNext/>
        <w:tabs>
          <w:tab w:val="num" w:pos="720"/>
        </w:tabs>
        <w:spacing w:after="60"/>
        <w:outlineLvl w:val="3"/>
        <w:rPr>
          <w:lang w:val="pt-BR"/>
        </w:rPr>
      </w:pPr>
      <w:r w:rsidRPr="008D38F6">
        <w:rPr>
          <w:b/>
          <w:lang w:val="pt-BR"/>
        </w:rPr>
        <w:t>Exclusões</w:t>
      </w:r>
    </w:p>
    <w:p w:rsidR="006D5B20" w:rsidRPr="008D38F6" w:rsidRDefault="006D5B20" w:rsidP="006D5B20">
      <w:pPr>
        <w:rPr>
          <w:lang w:val="pt-BR"/>
        </w:rPr>
      </w:pPr>
      <w:r w:rsidRPr="008D38F6">
        <w:rPr>
          <w:rFonts w:cs="Tahoma"/>
          <w:color w:val="000000"/>
          <w:szCs w:val="18"/>
          <w:lang w:val="pt-BR"/>
        </w:rPr>
        <w:t>Expression Studio Professional 4</w:t>
      </w:r>
    </w:p>
    <w:p w:rsidR="006D5B20" w:rsidRPr="008D38F6" w:rsidRDefault="006D5B20" w:rsidP="006D5B20">
      <w:pPr>
        <w:rPr>
          <w:lang w:val="pt-BR"/>
        </w:rPr>
      </w:pPr>
      <w:r w:rsidRPr="008D38F6">
        <w:rPr>
          <w:rFonts w:cs="Tahoma"/>
          <w:color w:val="000000"/>
          <w:szCs w:val="18"/>
          <w:lang w:val="pt-BR"/>
        </w:rPr>
        <w:t>Expression Studio Ultimate 4</w:t>
      </w:r>
    </w:p>
    <w:p w:rsidR="006D5B20" w:rsidRPr="008D38F6" w:rsidRDefault="006D5B20" w:rsidP="006D5B20">
      <w:pPr>
        <w:rPr>
          <w:lang w:val="pt-BR"/>
        </w:rPr>
      </w:pPr>
      <w:r w:rsidRPr="008D38F6">
        <w:rPr>
          <w:rFonts w:cs="Tahoma"/>
          <w:color w:val="000000"/>
          <w:szCs w:val="18"/>
          <w:lang w:val="pt-BR"/>
        </w:rPr>
        <w:t>Aplicativos da Web do Office A (SL do Usuário)</w:t>
      </w:r>
    </w:p>
    <w:p w:rsidR="006D5B20" w:rsidRPr="00416070" w:rsidRDefault="006D5B20" w:rsidP="006D5B20">
      <w:r w:rsidRPr="00416070">
        <w:rPr>
          <w:rFonts w:cs="Tahoma"/>
          <w:color w:val="000000"/>
          <w:szCs w:val="18"/>
        </w:rPr>
        <w:t>SQL Server</w:t>
      </w:r>
      <w:r w:rsidR="00510A6E" w:rsidRPr="00416070">
        <w:rPr>
          <w:rFonts w:cs="Tahoma"/>
          <w:color w:val="000000"/>
          <w:szCs w:val="18"/>
          <w:vertAlign w:val="superscript"/>
        </w:rPr>
        <w:t>®</w:t>
      </w:r>
      <w:r w:rsidRPr="00416070">
        <w:rPr>
          <w:rFonts w:cs="Tahoma"/>
          <w:color w:val="000000"/>
          <w:szCs w:val="18"/>
        </w:rPr>
        <w:t xml:space="preserve"> 2008 R2 Parallel Data Warehouse</w:t>
      </w:r>
    </w:p>
    <w:p w:rsidR="006D5B20" w:rsidRPr="00416070" w:rsidRDefault="006D5B20" w:rsidP="006D5B20">
      <w:r w:rsidRPr="00416070">
        <w:rPr>
          <w:rFonts w:cs="Tahoma"/>
          <w:color w:val="000000"/>
          <w:szCs w:val="18"/>
        </w:rPr>
        <w:t>SQL Server</w:t>
      </w:r>
      <w:r w:rsidR="00510A6E" w:rsidRPr="00416070">
        <w:rPr>
          <w:rFonts w:cs="Tahoma"/>
          <w:color w:val="000000"/>
          <w:szCs w:val="18"/>
          <w:vertAlign w:val="superscript"/>
        </w:rPr>
        <w:t>®</w:t>
      </w:r>
      <w:r w:rsidRPr="00416070">
        <w:rPr>
          <w:rFonts w:cs="Tahoma"/>
          <w:color w:val="000000"/>
          <w:szCs w:val="18"/>
        </w:rPr>
        <w:t xml:space="preserve"> 2008 R2 Parallel Data Warehouse Developer</w:t>
      </w:r>
    </w:p>
    <w:p w:rsidR="00170CFB" w:rsidRPr="00416070" w:rsidRDefault="00170CFB" w:rsidP="006D6A83">
      <w:r w:rsidRPr="00416070">
        <w:rPr>
          <w:rFonts w:cs="Tahoma"/>
          <w:color w:val="000000"/>
          <w:szCs w:val="18"/>
        </w:rPr>
        <w:t>System Center Configuration Manager 2007 R3</w:t>
      </w:r>
    </w:p>
    <w:p w:rsidR="00170CFB" w:rsidRPr="008D38F6" w:rsidRDefault="00170CFB" w:rsidP="006D6A83">
      <w:pPr>
        <w:rPr>
          <w:lang w:val="pt-BR"/>
        </w:rPr>
      </w:pPr>
      <w:r w:rsidRPr="008D38F6">
        <w:rPr>
          <w:rFonts w:cs="Tahoma"/>
          <w:color w:val="000000"/>
          <w:szCs w:val="18"/>
          <w:lang w:val="pt-BR"/>
        </w:rPr>
        <w:t>System Center Configuration Manager 2007 R3 com Tecnologia SQL Server 2008</w:t>
      </w:r>
    </w:p>
    <w:p w:rsidR="00170CFB" w:rsidRPr="008D38F6" w:rsidRDefault="00170CFB" w:rsidP="006D6A83">
      <w:pPr>
        <w:rPr>
          <w:lang w:val="pt-BR"/>
        </w:rPr>
      </w:pPr>
      <w:r w:rsidRPr="008D38F6">
        <w:rPr>
          <w:rFonts w:cs="Tahoma"/>
          <w:color w:val="000000"/>
          <w:szCs w:val="18"/>
          <w:lang w:val="pt-BR"/>
        </w:rPr>
        <w:t>Licença de Gerenciamento de Cliente do System Center Data Protection Manager 2010 por Usuário</w:t>
      </w:r>
    </w:p>
    <w:p w:rsidR="00170CFB" w:rsidRPr="008D38F6" w:rsidRDefault="00170CFB" w:rsidP="006D6A83">
      <w:pPr>
        <w:rPr>
          <w:lang w:val="pt-BR"/>
        </w:rPr>
      </w:pPr>
      <w:r w:rsidRPr="008D38F6">
        <w:rPr>
          <w:rFonts w:cs="Tahoma"/>
          <w:color w:val="000000"/>
          <w:szCs w:val="18"/>
          <w:lang w:val="pt-BR"/>
        </w:rPr>
        <w:t>Licença de Gerenciamento de Cliente do System Center Data Protection Manager 2010 por OSE</w:t>
      </w:r>
    </w:p>
    <w:p w:rsidR="00170CFB" w:rsidRPr="008D38F6" w:rsidRDefault="00170CFB" w:rsidP="006D6A83">
      <w:pPr>
        <w:rPr>
          <w:lang w:val="pt-BR"/>
        </w:rPr>
      </w:pPr>
      <w:r w:rsidRPr="008D38F6">
        <w:rPr>
          <w:rFonts w:cs="Tahoma"/>
          <w:color w:val="000000"/>
          <w:szCs w:val="18"/>
          <w:lang w:val="pt-BR"/>
        </w:rPr>
        <w:t>System Center Operations Manager 2007 R2</w:t>
      </w:r>
    </w:p>
    <w:p w:rsidR="00170CFB" w:rsidRPr="008D38F6" w:rsidRDefault="00170CFB" w:rsidP="006D6A83">
      <w:pPr>
        <w:rPr>
          <w:lang w:val="pt-BR"/>
        </w:rPr>
      </w:pPr>
      <w:r w:rsidRPr="008D38F6">
        <w:rPr>
          <w:rFonts w:cs="Tahoma"/>
          <w:color w:val="000000"/>
          <w:szCs w:val="18"/>
          <w:lang w:val="pt-BR"/>
        </w:rPr>
        <w:t>System Center Operations Manager 2007 R2 com Tecnologia SQL Server 2008</w:t>
      </w:r>
    </w:p>
    <w:p w:rsidR="00170CFB" w:rsidRPr="008D38F6" w:rsidRDefault="00170CFB" w:rsidP="006D6A83">
      <w:pPr>
        <w:rPr>
          <w:lang w:val="pt-BR"/>
        </w:rPr>
      </w:pPr>
      <w:r w:rsidRPr="008D38F6">
        <w:rPr>
          <w:rFonts w:cs="Tahoma"/>
          <w:color w:val="000000"/>
          <w:szCs w:val="18"/>
          <w:lang w:val="pt-BR"/>
        </w:rPr>
        <w:t>System Center Service Manager 2010</w:t>
      </w:r>
    </w:p>
    <w:p w:rsidR="00170CFB" w:rsidRPr="008D38F6" w:rsidRDefault="00170CFB" w:rsidP="006D6A83">
      <w:pPr>
        <w:rPr>
          <w:lang w:val="pt-BR"/>
        </w:rPr>
      </w:pPr>
      <w:r w:rsidRPr="008D38F6">
        <w:rPr>
          <w:rFonts w:cs="Tahoma"/>
          <w:color w:val="000000"/>
          <w:szCs w:val="18"/>
          <w:lang w:val="pt-BR"/>
        </w:rPr>
        <w:t>System Center Service Manager 2010 com Tecnologia SQL Server 2008</w:t>
      </w:r>
    </w:p>
    <w:p w:rsidR="00170CFB" w:rsidRPr="008D38F6" w:rsidRDefault="00170CFB" w:rsidP="006D6A83">
      <w:pPr>
        <w:rPr>
          <w:lang w:val="pt-BR"/>
        </w:rPr>
      </w:pPr>
      <w:r w:rsidRPr="008D38F6">
        <w:rPr>
          <w:rFonts w:cs="Tahoma"/>
          <w:color w:val="000000"/>
          <w:szCs w:val="18"/>
          <w:lang w:val="pt-BR"/>
        </w:rPr>
        <w:t>System Center Essentials 2010</w:t>
      </w:r>
    </w:p>
    <w:p w:rsidR="00170CFB" w:rsidRPr="008D38F6" w:rsidRDefault="00170CFB" w:rsidP="006D6A83">
      <w:pPr>
        <w:rPr>
          <w:lang w:val="pt-BR"/>
        </w:rPr>
      </w:pPr>
      <w:r w:rsidRPr="008D38F6">
        <w:rPr>
          <w:rFonts w:cs="Tahoma"/>
          <w:color w:val="000000"/>
          <w:szCs w:val="18"/>
          <w:lang w:val="pt-BR"/>
        </w:rPr>
        <w:t>ML de Cliente do System Center Essentials 2010</w:t>
      </w:r>
    </w:p>
    <w:p w:rsidR="00170CFB" w:rsidRPr="008D38F6" w:rsidRDefault="00170CFB" w:rsidP="006D6A83">
      <w:pPr>
        <w:rPr>
          <w:lang w:val="pt-BR"/>
        </w:rPr>
      </w:pPr>
      <w:r w:rsidRPr="008D38F6">
        <w:rPr>
          <w:rFonts w:cs="Tahoma"/>
          <w:color w:val="000000"/>
          <w:szCs w:val="18"/>
          <w:lang w:val="pt-BR"/>
        </w:rPr>
        <w:t>ML de Servidor do System Center Essentials 2010</w:t>
      </w:r>
    </w:p>
    <w:p w:rsidR="00170CFB" w:rsidRPr="008D38F6" w:rsidRDefault="00170CFB" w:rsidP="006D6A83">
      <w:pPr>
        <w:rPr>
          <w:lang w:val="pt-BR"/>
        </w:rPr>
      </w:pPr>
      <w:r w:rsidRPr="008D38F6">
        <w:rPr>
          <w:rFonts w:cs="Tahoma"/>
          <w:color w:val="000000"/>
          <w:szCs w:val="18"/>
          <w:lang w:val="pt-BR"/>
        </w:rPr>
        <w:t xml:space="preserve">System Center Essentials 2010 com Tecnologia SQL Server 2008 </w:t>
      </w:r>
    </w:p>
    <w:p w:rsidR="00170CFB" w:rsidRPr="008D38F6" w:rsidRDefault="00170CFB" w:rsidP="006D6A83">
      <w:pPr>
        <w:rPr>
          <w:lang w:val="fr-FR"/>
        </w:rPr>
      </w:pPr>
      <w:r w:rsidRPr="008D38F6">
        <w:rPr>
          <w:rFonts w:cs="Tahoma"/>
          <w:color w:val="000000"/>
          <w:szCs w:val="18"/>
          <w:lang w:val="fr-FR"/>
        </w:rPr>
        <w:t>Management License Suite do System Center Essentials Plus 2010 Client</w:t>
      </w:r>
    </w:p>
    <w:p w:rsidR="00170CFB" w:rsidRPr="008D38F6" w:rsidRDefault="00170CFB" w:rsidP="006D6A83">
      <w:pPr>
        <w:rPr>
          <w:lang w:val="fr-FR"/>
        </w:rPr>
      </w:pPr>
      <w:r w:rsidRPr="008D38F6">
        <w:rPr>
          <w:rFonts w:cs="Tahoma"/>
          <w:color w:val="000000"/>
          <w:szCs w:val="18"/>
          <w:lang w:val="fr-FR"/>
        </w:rPr>
        <w:t>Management License Suite do System Center Essentials Plus 2010 Server</w:t>
      </w:r>
    </w:p>
    <w:p w:rsidR="00170CFB" w:rsidRPr="00416070" w:rsidRDefault="00170CFB" w:rsidP="006D6A83">
      <w:r w:rsidRPr="00416070">
        <w:rPr>
          <w:rFonts w:cs="Tahoma"/>
          <w:color w:val="000000"/>
          <w:szCs w:val="18"/>
        </w:rPr>
        <w:t>System Center Virtual Machine Manager 2008 R2 Workgroup Edition</w:t>
      </w:r>
    </w:p>
    <w:p w:rsidR="00170CFB" w:rsidRPr="008D38F6" w:rsidRDefault="00170CFB" w:rsidP="006D6A83">
      <w:pPr>
        <w:rPr>
          <w:lang w:val="pt-BR"/>
        </w:rPr>
      </w:pPr>
      <w:r w:rsidRPr="008D38F6">
        <w:rPr>
          <w:rFonts w:cs="Tahoma"/>
          <w:color w:val="000000"/>
          <w:szCs w:val="18"/>
          <w:lang w:val="pt-BR"/>
        </w:rPr>
        <w:t>External Connector do Visual Studio</w:t>
      </w:r>
      <w:r w:rsidR="00510A6E" w:rsidRPr="008D38F6">
        <w:rPr>
          <w:rFonts w:cs="Tahoma"/>
          <w:color w:val="000000"/>
          <w:szCs w:val="18"/>
          <w:vertAlign w:val="superscript"/>
          <w:lang w:val="pt-BR"/>
        </w:rPr>
        <w:t>®</w:t>
      </w:r>
      <w:r w:rsidRPr="008D38F6">
        <w:rPr>
          <w:rFonts w:cs="Tahoma"/>
          <w:color w:val="000000"/>
          <w:szCs w:val="18"/>
          <w:lang w:val="pt-BR"/>
        </w:rPr>
        <w:t xml:space="preserve"> Team Foundation Server 2012</w:t>
      </w:r>
    </w:p>
    <w:p w:rsidR="004759C6" w:rsidRPr="008D38F6" w:rsidRDefault="004759C6" w:rsidP="007E466C">
      <w:pPr>
        <w:rPr>
          <w:lang w:val="pt-BR"/>
        </w:rPr>
      </w:pPr>
    </w:p>
    <w:p w:rsidR="0064651F" w:rsidRPr="008D38F6" w:rsidRDefault="0064651F" w:rsidP="0064651F">
      <w:pPr>
        <w:rPr>
          <w:lang w:val="pt-BR"/>
        </w:rPr>
      </w:pPr>
    </w:p>
    <w:p w:rsidR="00243B33" w:rsidRPr="00416070" w:rsidRDefault="000225E7" w:rsidP="00243B33">
      <w:pPr>
        <w:pStyle w:val="Heading2"/>
        <w:ind w:left="0"/>
        <w:jc w:val="both"/>
      </w:pPr>
      <w:bookmarkStart w:id="623" w:name="_Toc352234241"/>
      <w:r w:rsidRPr="00416070">
        <w:rPr>
          <w:rFonts w:ascii="Tahoma" w:hAnsi="Tahoma" w:cs="Tahoma"/>
          <w:color w:val="FF6600"/>
        </w:rPr>
        <w:t>ALTERAÇÕES EM FEVEREIRO DE 2013</w:t>
      </w:r>
      <w:bookmarkEnd w:id="623"/>
    </w:p>
    <w:p w:rsidR="00243B33" w:rsidRPr="00416070" w:rsidRDefault="00243B33" w:rsidP="00E06050">
      <w:pPr>
        <w:pStyle w:val="Heading2"/>
        <w:ind w:left="0"/>
        <w:jc w:val="both"/>
        <w:rPr>
          <w:rFonts w:ascii="Tahoma" w:hAnsi="Tahoma" w:cs="Tahoma"/>
          <w:sz w:val="18"/>
          <w:szCs w:val="18"/>
        </w:rPr>
      </w:pPr>
    </w:p>
    <w:p w:rsidR="00662A44" w:rsidRPr="008D38F6" w:rsidRDefault="00662A44" w:rsidP="00662A44">
      <w:pPr>
        <w:spacing w:after="60"/>
        <w:rPr>
          <w:lang w:val="pt-BR"/>
        </w:rPr>
      </w:pPr>
      <w:r w:rsidRPr="008D38F6">
        <w:rPr>
          <w:b/>
          <w:lang w:val="pt-BR"/>
        </w:rPr>
        <w:t>Adições</w:t>
      </w:r>
    </w:p>
    <w:p w:rsidR="00662A44" w:rsidRPr="008D38F6" w:rsidRDefault="00662A44" w:rsidP="00662A44">
      <w:pPr>
        <w:rPr>
          <w:lang w:val="pt-BR"/>
        </w:rPr>
      </w:pPr>
      <w:r w:rsidRPr="008D38F6">
        <w:rPr>
          <w:rFonts w:cs="Tahoma"/>
          <w:color w:val="000000"/>
          <w:szCs w:val="18"/>
          <w:lang w:val="pt-BR"/>
        </w:rPr>
        <w:t xml:space="preserve">CAL Empresarial Aditiva do Microsoft </w:t>
      </w:r>
      <w:r w:rsidRPr="008D38F6">
        <w:rPr>
          <w:rFonts w:cs="Tahoma"/>
          <w:color w:val="000000"/>
          <w:szCs w:val="20"/>
          <w:lang w:val="pt-BR"/>
        </w:rPr>
        <w:t>Dynamics AX 2012 R2 (Usuário e Dispositivo)</w:t>
      </w:r>
    </w:p>
    <w:p w:rsidR="00662A44" w:rsidRPr="008D38F6" w:rsidRDefault="00662A44" w:rsidP="00662A44">
      <w:pPr>
        <w:rPr>
          <w:lang w:val="pt-BR"/>
        </w:rPr>
      </w:pPr>
      <w:r w:rsidRPr="008D38F6">
        <w:rPr>
          <w:rFonts w:cs="Tahoma"/>
          <w:color w:val="000000"/>
          <w:szCs w:val="18"/>
          <w:lang w:val="pt-BR"/>
        </w:rPr>
        <w:t xml:space="preserve">CAL Empresarial do Microsoft </w:t>
      </w:r>
      <w:r w:rsidRPr="008D38F6">
        <w:rPr>
          <w:rFonts w:cs="Tahoma"/>
          <w:color w:val="000000"/>
          <w:szCs w:val="20"/>
          <w:lang w:val="pt-BR"/>
        </w:rPr>
        <w:t>Dynamics AX 2012 R2 (Usuário e Dispositivo)</w:t>
      </w:r>
    </w:p>
    <w:p w:rsidR="00662A44" w:rsidRPr="008D38F6" w:rsidRDefault="00662A44" w:rsidP="00662A44">
      <w:pPr>
        <w:rPr>
          <w:lang w:val="pt-BR"/>
        </w:rPr>
      </w:pPr>
      <w:r w:rsidRPr="008D38F6">
        <w:rPr>
          <w:rFonts w:cs="Tahoma"/>
          <w:color w:val="000000"/>
          <w:szCs w:val="18"/>
          <w:lang w:val="pt-BR"/>
        </w:rPr>
        <w:t xml:space="preserve">CAL Aditiva Funcional do Microsoft </w:t>
      </w:r>
      <w:r w:rsidRPr="008D38F6">
        <w:rPr>
          <w:rFonts w:cs="Tahoma"/>
          <w:color w:val="000000"/>
          <w:szCs w:val="20"/>
          <w:lang w:val="pt-BR"/>
        </w:rPr>
        <w:t>Dynamics AX 2012 R2 (Usuário e Dispositivo)</w:t>
      </w:r>
    </w:p>
    <w:p w:rsidR="00662A44" w:rsidRPr="008D38F6" w:rsidRDefault="00662A44" w:rsidP="00662A44">
      <w:pPr>
        <w:rPr>
          <w:lang w:val="pt-BR"/>
        </w:rPr>
      </w:pPr>
      <w:r w:rsidRPr="008D38F6">
        <w:rPr>
          <w:rFonts w:cs="Tahoma"/>
          <w:color w:val="000000"/>
          <w:szCs w:val="18"/>
          <w:lang w:val="pt-BR"/>
        </w:rPr>
        <w:t xml:space="preserve">CAL Funcional do Microsoft </w:t>
      </w:r>
      <w:r w:rsidRPr="008D38F6">
        <w:rPr>
          <w:rFonts w:cs="Tahoma"/>
          <w:color w:val="000000"/>
          <w:szCs w:val="20"/>
          <w:lang w:val="pt-BR"/>
        </w:rPr>
        <w:t>Dynamics AX 2012 R2 (Usuário e Dispositivo)</w:t>
      </w:r>
    </w:p>
    <w:p w:rsidR="00662A44" w:rsidRPr="008D38F6" w:rsidRDefault="00662A44" w:rsidP="00662A44">
      <w:pPr>
        <w:rPr>
          <w:lang w:val="pt-BR"/>
        </w:rPr>
      </w:pPr>
      <w:r w:rsidRPr="008D38F6">
        <w:rPr>
          <w:rFonts w:cs="Tahoma"/>
          <w:color w:val="000000"/>
          <w:szCs w:val="18"/>
          <w:lang w:val="pt-BR"/>
        </w:rPr>
        <w:t xml:space="preserve">CAL de Autoatendimento do Microsoft </w:t>
      </w:r>
      <w:r w:rsidRPr="008D38F6">
        <w:rPr>
          <w:rFonts w:cs="Tahoma"/>
          <w:color w:val="000000"/>
          <w:szCs w:val="20"/>
          <w:lang w:val="pt-BR"/>
        </w:rPr>
        <w:t>Dynamics AX 2012 R2 (Usuário e Dispositivo)</w:t>
      </w:r>
    </w:p>
    <w:p w:rsidR="00662A44" w:rsidRPr="008D38F6" w:rsidRDefault="00662A44" w:rsidP="00662A44">
      <w:pPr>
        <w:rPr>
          <w:lang w:val="pt-BR"/>
        </w:rPr>
      </w:pPr>
      <w:r w:rsidRPr="008D38F6">
        <w:rPr>
          <w:rFonts w:cs="Tahoma"/>
          <w:color w:val="000000"/>
          <w:szCs w:val="18"/>
          <w:lang w:val="pt-BR"/>
        </w:rPr>
        <w:t xml:space="preserve">Microsoft </w:t>
      </w:r>
      <w:r w:rsidRPr="008D38F6">
        <w:rPr>
          <w:rFonts w:cs="Tahoma"/>
          <w:color w:val="000000"/>
          <w:szCs w:val="20"/>
          <w:lang w:val="pt-BR"/>
        </w:rPr>
        <w:t>Dynamics AX 2012 R2 Server</w:t>
      </w:r>
    </w:p>
    <w:p w:rsidR="00662A44" w:rsidRPr="008D38F6" w:rsidRDefault="00662A44" w:rsidP="00662A44">
      <w:pPr>
        <w:rPr>
          <w:lang w:val="pt-BR"/>
        </w:rPr>
      </w:pPr>
      <w:r w:rsidRPr="008D38F6">
        <w:rPr>
          <w:rFonts w:cs="Tahoma"/>
          <w:color w:val="000000"/>
          <w:szCs w:val="18"/>
          <w:lang w:val="pt-BR"/>
        </w:rPr>
        <w:t xml:space="preserve">CAL Aditiva de Tarefa do Microsoft </w:t>
      </w:r>
      <w:r w:rsidRPr="008D38F6">
        <w:rPr>
          <w:rFonts w:cs="Tahoma"/>
          <w:color w:val="000000"/>
          <w:szCs w:val="20"/>
          <w:lang w:val="pt-BR"/>
        </w:rPr>
        <w:t>Dynamics AX 2012 R2 (Usuário e Dispositivo)</w:t>
      </w:r>
    </w:p>
    <w:p w:rsidR="00662A44" w:rsidRPr="008D38F6" w:rsidRDefault="00662A44" w:rsidP="00662A44">
      <w:pPr>
        <w:keepNext/>
        <w:tabs>
          <w:tab w:val="num" w:pos="720"/>
        </w:tabs>
        <w:outlineLvl w:val="3"/>
        <w:rPr>
          <w:lang w:val="pt-BR"/>
        </w:rPr>
      </w:pPr>
      <w:r w:rsidRPr="008D38F6">
        <w:rPr>
          <w:rFonts w:cs="Tahoma"/>
          <w:color w:val="000000"/>
          <w:szCs w:val="18"/>
          <w:lang w:val="pt-BR"/>
        </w:rPr>
        <w:t xml:space="preserve">CAL de Tarefa do Microsoft </w:t>
      </w:r>
      <w:r w:rsidRPr="008D38F6">
        <w:rPr>
          <w:rFonts w:cs="Tahoma"/>
          <w:color w:val="000000"/>
          <w:szCs w:val="20"/>
          <w:lang w:val="pt-BR"/>
        </w:rPr>
        <w:t>Dynamics AX 2012 R2 (Usuário e Dispositivo)</w:t>
      </w:r>
    </w:p>
    <w:p w:rsidR="00662A44" w:rsidRPr="008D38F6" w:rsidRDefault="00662A44" w:rsidP="00662A44">
      <w:pPr>
        <w:keepNext/>
        <w:tabs>
          <w:tab w:val="num" w:pos="720"/>
        </w:tabs>
        <w:outlineLvl w:val="3"/>
        <w:rPr>
          <w:lang w:val="pt-BR"/>
        </w:rPr>
      </w:pPr>
    </w:p>
    <w:p w:rsidR="00662A44" w:rsidRPr="008D38F6" w:rsidRDefault="00662A44" w:rsidP="00662A44">
      <w:pPr>
        <w:spacing w:after="60"/>
        <w:rPr>
          <w:lang w:val="pt-BR"/>
        </w:rPr>
      </w:pPr>
      <w:r w:rsidRPr="008D38F6">
        <w:rPr>
          <w:b/>
          <w:lang w:val="pt-BR"/>
        </w:rPr>
        <w:t>Alterações</w:t>
      </w:r>
    </w:p>
    <w:p w:rsidR="00662A44" w:rsidRPr="008D38F6" w:rsidRDefault="00662A44" w:rsidP="00662A44">
      <w:pPr>
        <w:keepNext/>
        <w:tabs>
          <w:tab w:val="num" w:pos="720"/>
        </w:tabs>
        <w:outlineLvl w:val="3"/>
        <w:rPr>
          <w:lang w:val="pt-BR"/>
        </w:rPr>
      </w:pPr>
      <w:r w:rsidRPr="008D38F6">
        <w:rPr>
          <w:rFonts w:cs="Tahoma"/>
          <w:color w:val="000000"/>
          <w:szCs w:val="20"/>
          <w:lang w:val="pt-BR"/>
        </w:rPr>
        <w:t>Visio 2013 Professional</w:t>
      </w:r>
    </w:p>
    <w:p w:rsidR="00662A44" w:rsidRPr="008D38F6" w:rsidRDefault="00662A44" w:rsidP="00662A44">
      <w:pPr>
        <w:keepNext/>
        <w:tabs>
          <w:tab w:val="num" w:pos="720"/>
        </w:tabs>
        <w:outlineLvl w:val="3"/>
        <w:rPr>
          <w:lang w:val="pt-BR"/>
        </w:rPr>
      </w:pPr>
    </w:p>
    <w:p w:rsidR="00662A44" w:rsidRPr="008D38F6" w:rsidRDefault="00662A44" w:rsidP="0064651F">
      <w:pPr>
        <w:keepNext/>
        <w:tabs>
          <w:tab w:val="num" w:pos="720"/>
        </w:tabs>
        <w:spacing w:after="60"/>
        <w:outlineLvl w:val="3"/>
        <w:rPr>
          <w:lang w:val="pt-BR"/>
        </w:rPr>
      </w:pPr>
      <w:r w:rsidRPr="008D38F6">
        <w:rPr>
          <w:b/>
          <w:lang w:val="pt-BR"/>
        </w:rPr>
        <w:t>Exclusões</w:t>
      </w:r>
    </w:p>
    <w:p w:rsidR="00662A44" w:rsidRPr="008D38F6" w:rsidRDefault="00662A44" w:rsidP="00662A44">
      <w:pPr>
        <w:rPr>
          <w:lang w:val="pt-BR"/>
        </w:rPr>
      </w:pPr>
      <w:r w:rsidRPr="008D38F6">
        <w:rPr>
          <w:rFonts w:cs="Tahoma"/>
          <w:color w:val="000000"/>
          <w:szCs w:val="18"/>
          <w:lang w:val="pt-BR"/>
        </w:rPr>
        <w:t xml:space="preserve">CAL Aditiva Empresarial do Microsoft </w:t>
      </w:r>
      <w:r w:rsidRPr="008D38F6">
        <w:rPr>
          <w:rFonts w:cs="Tahoma"/>
          <w:color w:val="000000"/>
          <w:szCs w:val="20"/>
          <w:lang w:val="pt-BR"/>
        </w:rPr>
        <w:t>Dynamics AX 2012 (Usuário e Dispositivo)</w:t>
      </w:r>
    </w:p>
    <w:p w:rsidR="00662A44" w:rsidRPr="008D38F6" w:rsidRDefault="00662A44" w:rsidP="00662A44">
      <w:pPr>
        <w:rPr>
          <w:lang w:val="pt-BR"/>
        </w:rPr>
      </w:pPr>
      <w:r w:rsidRPr="008D38F6">
        <w:rPr>
          <w:rFonts w:cs="Tahoma"/>
          <w:color w:val="000000"/>
          <w:szCs w:val="18"/>
          <w:lang w:val="pt-BR"/>
        </w:rPr>
        <w:t xml:space="preserve">CAL Empresarial do Microsoft </w:t>
      </w:r>
      <w:r w:rsidRPr="008D38F6">
        <w:rPr>
          <w:rFonts w:cs="Tahoma"/>
          <w:color w:val="000000"/>
          <w:szCs w:val="20"/>
          <w:lang w:val="pt-BR"/>
        </w:rPr>
        <w:t>Dynamics AX 2012 (Usuário e Dispositivo)</w:t>
      </w:r>
    </w:p>
    <w:p w:rsidR="00662A44" w:rsidRPr="008D38F6" w:rsidRDefault="00662A44" w:rsidP="00662A44">
      <w:pPr>
        <w:rPr>
          <w:lang w:val="pt-BR"/>
        </w:rPr>
      </w:pPr>
      <w:r w:rsidRPr="008D38F6">
        <w:rPr>
          <w:rFonts w:cs="Tahoma"/>
          <w:color w:val="000000"/>
          <w:szCs w:val="18"/>
          <w:lang w:val="pt-BR"/>
        </w:rPr>
        <w:t xml:space="preserve">CAL Aditiva Funcional do Microsoft </w:t>
      </w:r>
      <w:r w:rsidRPr="008D38F6">
        <w:rPr>
          <w:rFonts w:cs="Tahoma"/>
          <w:color w:val="000000"/>
          <w:szCs w:val="20"/>
          <w:lang w:val="pt-BR"/>
        </w:rPr>
        <w:t>Dynamics AX 2012 (Usuário e Dispositivo)</w:t>
      </w:r>
    </w:p>
    <w:p w:rsidR="00662A44" w:rsidRPr="008D38F6" w:rsidRDefault="00662A44" w:rsidP="00662A44">
      <w:pPr>
        <w:rPr>
          <w:lang w:val="pt-BR"/>
        </w:rPr>
      </w:pPr>
      <w:r w:rsidRPr="008D38F6">
        <w:rPr>
          <w:rFonts w:cs="Tahoma"/>
          <w:color w:val="000000"/>
          <w:szCs w:val="18"/>
          <w:lang w:val="pt-BR"/>
        </w:rPr>
        <w:t xml:space="preserve">CAL Funcional do Microsoft </w:t>
      </w:r>
      <w:r w:rsidRPr="008D38F6">
        <w:rPr>
          <w:rFonts w:cs="Tahoma"/>
          <w:color w:val="000000"/>
          <w:szCs w:val="20"/>
          <w:lang w:val="pt-BR"/>
        </w:rPr>
        <w:t>Dynamics AX 2012 (Usuário e Dispositivo)</w:t>
      </w:r>
    </w:p>
    <w:p w:rsidR="00662A44" w:rsidRPr="008D38F6" w:rsidRDefault="00662A44" w:rsidP="00662A44">
      <w:pPr>
        <w:rPr>
          <w:lang w:val="pt-BR"/>
        </w:rPr>
      </w:pPr>
      <w:r w:rsidRPr="008D38F6">
        <w:rPr>
          <w:rFonts w:cs="Tahoma"/>
          <w:color w:val="000000"/>
          <w:szCs w:val="18"/>
          <w:lang w:val="pt-BR"/>
        </w:rPr>
        <w:t xml:space="preserve">CAL de Autoatendimento do Microsoft </w:t>
      </w:r>
      <w:r w:rsidRPr="008D38F6">
        <w:rPr>
          <w:rFonts w:cs="Tahoma"/>
          <w:color w:val="000000"/>
          <w:szCs w:val="20"/>
          <w:lang w:val="pt-BR"/>
        </w:rPr>
        <w:t>Dynamics AX 2012 (Usuário e Dispositivo)</w:t>
      </w:r>
    </w:p>
    <w:p w:rsidR="00662A44" w:rsidRPr="008D38F6" w:rsidRDefault="00662A44" w:rsidP="00662A44">
      <w:pPr>
        <w:rPr>
          <w:lang w:val="pt-BR"/>
        </w:rPr>
      </w:pPr>
      <w:r w:rsidRPr="008D38F6">
        <w:rPr>
          <w:rFonts w:cs="Tahoma"/>
          <w:color w:val="000000"/>
          <w:szCs w:val="18"/>
          <w:lang w:val="pt-BR"/>
        </w:rPr>
        <w:t xml:space="preserve">Microsoft </w:t>
      </w:r>
      <w:r w:rsidRPr="008D38F6">
        <w:rPr>
          <w:rFonts w:cs="Tahoma"/>
          <w:color w:val="000000"/>
          <w:szCs w:val="20"/>
          <w:lang w:val="pt-BR"/>
        </w:rPr>
        <w:t>Dynamics AX 2012 Server</w:t>
      </w:r>
    </w:p>
    <w:p w:rsidR="00662A44" w:rsidRPr="008D38F6" w:rsidRDefault="00662A44" w:rsidP="00662A44">
      <w:pPr>
        <w:rPr>
          <w:lang w:val="pt-BR"/>
        </w:rPr>
      </w:pPr>
      <w:r w:rsidRPr="008D38F6">
        <w:rPr>
          <w:rFonts w:cs="Tahoma"/>
          <w:color w:val="000000"/>
          <w:szCs w:val="18"/>
          <w:lang w:val="pt-BR"/>
        </w:rPr>
        <w:t xml:space="preserve">CAL Aditiva de Tarefa do Microsoft </w:t>
      </w:r>
      <w:r w:rsidRPr="008D38F6">
        <w:rPr>
          <w:rFonts w:cs="Tahoma"/>
          <w:color w:val="000000"/>
          <w:szCs w:val="20"/>
          <w:lang w:val="pt-BR"/>
        </w:rPr>
        <w:t>Dynamics AX 2012 (Usuário e Dispositivo)</w:t>
      </w:r>
    </w:p>
    <w:p w:rsidR="00662A44" w:rsidRPr="008D38F6" w:rsidRDefault="00662A44" w:rsidP="00662A44">
      <w:pPr>
        <w:rPr>
          <w:lang w:val="pt-BR"/>
        </w:rPr>
      </w:pPr>
      <w:r w:rsidRPr="008D38F6">
        <w:rPr>
          <w:rFonts w:cs="Tahoma"/>
          <w:color w:val="000000"/>
          <w:szCs w:val="18"/>
          <w:lang w:val="pt-BR"/>
        </w:rPr>
        <w:t xml:space="preserve">CAL de Tarefa do Microsoft </w:t>
      </w:r>
      <w:r w:rsidRPr="008D38F6">
        <w:rPr>
          <w:rFonts w:cs="Tahoma"/>
          <w:color w:val="000000"/>
          <w:szCs w:val="20"/>
          <w:lang w:val="pt-BR"/>
        </w:rPr>
        <w:t>Dynamics AX 2012 (Usuário e Dispositivo)</w:t>
      </w:r>
    </w:p>
    <w:p w:rsidR="00243B33" w:rsidRPr="008D38F6" w:rsidRDefault="00243B33" w:rsidP="00B50A5B">
      <w:pPr>
        <w:rPr>
          <w:lang w:val="pt-BR"/>
        </w:rPr>
      </w:pPr>
    </w:p>
    <w:p w:rsidR="001C1727" w:rsidRPr="008D38F6" w:rsidRDefault="001C1727" w:rsidP="00292088">
      <w:pPr>
        <w:rPr>
          <w:lang w:val="pt-BR"/>
        </w:rPr>
      </w:pPr>
    </w:p>
    <w:p w:rsidR="0064651F" w:rsidRPr="008D38F6" w:rsidRDefault="0064651F">
      <w:pPr>
        <w:rPr>
          <w:lang w:val="pt-BR"/>
        </w:rPr>
      </w:pPr>
      <w:r w:rsidRPr="008D38F6">
        <w:rPr>
          <w:rFonts w:cs="Tahoma"/>
          <w:color w:val="FF6600"/>
          <w:lang w:val="pt-BR"/>
        </w:rPr>
        <w:br w:type="page"/>
      </w:r>
    </w:p>
    <w:p w:rsidR="00E06050" w:rsidRPr="00416070" w:rsidRDefault="00E06050" w:rsidP="00E06050">
      <w:pPr>
        <w:pStyle w:val="Heading2"/>
        <w:ind w:left="0"/>
        <w:jc w:val="both"/>
      </w:pPr>
      <w:bookmarkStart w:id="624" w:name="_Toc352234242"/>
      <w:r w:rsidRPr="00416070">
        <w:rPr>
          <w:rFonts w:ascii="Tahoma" w:hAnsi="Tahoma" w:cs="Tahoma"/>
          <w:color w:val="FF6600"/>
        </w:rPr>
        <w:lastRenderedPageBreak/>
        <w:t>ALTERAÇÕES EM JANEIRO DE 2013</w:t>
      </w:r>
      <w:bookmarkEnd w:id="624"/>
    </w:p>
    <w:p w:rsidR="00E06050" w:rsidRPr="008D38F6" w:rsidRDefault="00E06050" w:rsidP="00E06050">
      <w:pPr>
        <w:rPr>
          <w:lang w:val="pt-BR"/>
        </w:rPr>
      </w:pPr>
    </w:p>
    <w:p w:rsidR="00E06050" w:rsidRPr="008D38F6" w:rsidRDefault="00E06050" w:rsidP="003E606C">
      <w:pPr>
        <w:spacing w:after="60"/>
        <w:rPr>
          <w:lang w:val="pt-BR"/>
        </w:rPr>
      </w:pPr>
      <w:r w:rsidRPr="008D38F6">
        <w:rPr>
          <w:b/>
          <w:lang w:val="pt-BR"/>
        </w:rPr>
        <w:t>Adições</w:t>
      </w:r>
    </w:p>
    <w:p w:rsidR="00CC66A0" w:rsidRPr="008D38F6" w:rsidRDefault="00CC66A0" w:rsidP="00737831">
      <w:pPr>
        <w:keepNext/>
        <w:tabs>
          <w:tab w:val="num" w:pos="720"/>
        </w:tabs>
        <w:outlineLvl w:val="3"/>
        <w:rPr>
          <w:lang w:val="pt-BR"/>
        </w:rPr>
      </w:pPr>
      <w:r w:rsidRPr="008D38F6">
        <w:rPr>
          <w:rFonts w:cs="Tahoma"/>
          <w:color w:val="000000"/>
          <w:szCs w:val="20"/>
          <w:lang w:val="pt-BR"/>
        </w:rPr>
        <w:t>Windows MultiPoint Server 2012 Premium com Windows MultiPoint Server 2012 (CAL) (5 Clientes)</w:t>
      </w:r>
    </w:p>
    <w:p w:rsidR="00CC66A0" w:rsidRPr="008D38F6" w:rsidRDefault="00CC66A0" w:rsidP="00737831">
      <w:pPr>
        <w:keepNext/>
        <w:tabs>
          <w:tab w:val="num" w:pos="720"/>
        </w:tabs>
        <w:outlineLvl w:val="3"/>
        <w:rPr>
          <w:lang w:val="pt-BR"/>
        </w:rPr>
      </w:pPr>
      <w:r w:rsidRPr="008D38F6">
        <w:rPr>
          <w:rFonts w:cs="Tahoma"/>
          <w:color w:val="000000"/>
          <w:szCs w:val="20"/>
          <w:lang w:val="pt-BR"/>
        </w:rPr>
        <w:t>Windows MultiPoint Server 2012 Premium com Windows MultiPoint Server 2012 (CAL) (5 Clientes) com Windows</w:t>
      </w:r>
    </w:p>
    <w:p w:rsidR="00140B67" w:rsidRPr="008D38F6" w:rsidRDefault="00140B67" w:rsidP="003E606C">
      <w:pPr>
        <w:spacing w:after="60"/>
        <w:rPr>
          <w:lang w:val="pt-BR"/>
        </w:rPr>
      </w:pPr>
    </w:p>
    <w:p w:rsidR="001D63C2" w:rsidRPr="008D38F6" w:rsidRDefault="001D63C2" w:rsidP="003E606C">
      <w:pPr>
        <w:spacing w:after="60"/>
        <w:rPr>
          <w:lang w:val="pt-BR"/>
        </w:rPr>
      </w:pPr>
      <w:r w:rsidRPr="008D38F6">
        <w:rPr>
          <w:b/>
          <w:lang w:val="pt-BR"/>
        </w:rPr>
        <w:t>Alterações</w:t>
      </w:r>
    </w:p>
    <w:p w:rsidR="001D63C2" w:rsidRPr="008D38F6" w:rsidRDefault="001D63C2" w:rsidP="00E06050">
      <w:pPr>
        <w:rPr>
          <w:lang w:val="pt-BR"/>
        </w:rPr>
      </w:pPr>
      <w:r w:rsidRPr="008D38F6">
        <w:rPr>
          <w:color w:val="000000"/>
          <w:lang w:val="pt-BR"/>
        </w:rPr>
        <w:t>Windows Small Business Server 2008 CAL Suite para Usuários ou Dispositivos Premium</w:t>
      </w:r>
    </w:p>
    <w:p w:rsidR="001D63C2" w:rsidRPr="008D38F6" w:rsidRDefault="001D63C2" w:rsidP="00E06050">
      <w:pPr>
        <w:rPr>
          <w:lang w:val="pt-BR"/>
        </w:rPr>
      </w:pPr>
      <w:r w:rsidRPr="008D38F6">
        <w:rPr>
          <w:color w:val="000000"/>
          <w:lang w:val="pt-BR"/>
        </w:rPr>
        <w:t>Windows Small Business Server 2008 CAL Suite para Usuários ou Dispositivos Premium (5 Clientes)</w:t>
      </w:r>
    </w:p>
    <w:p w:rsidR="001D63C2" w:rsidRPr="008D38F6" w:rsidRDefault="001D63C2" w:rsidP="00E06050">
      <w:pPr>
        <w:rPr>
          <w:lang w:val="pt-BR"/>
        </w:rPr>
      </w:pPr>
      <w:r w:rsidRPr="008D38F6">
        <w:rPr>
          <w:color w:val="000000"/>
          <w:lang w:val="pt-BR"/>
        </w:rPr>
        <w:t>Windows Small Business Server 2008 CAL Suite para Usuários ou Dispositivos Premium (20 Clientes)</w:t>
      </w:r>
    </w:p>
    <w:p w:rsidR="001D63C2" w:rsidRPr="00416070" w:rsidRDefault="001D63C2" w:rsidP="00E06050">
      <w:r w:rsidRPr="00416070">
        <w:rPr>
          <w:color w:val="000000"/>
        </w:rPr>
        <w:t>Windows Small Business Server 2011 CAL Suite (1 Cliente)</w:t>
      </w:r>
    </w:p>
    <w:p w:rsidR="001D63C2" w:rsidRPr="00416070" w:rsidRDefault="001D63C2" w:rsidP="001D63C2">
      <w:r w:rsidRPr="00416070">
        <w:rPr>
          <w:color w:val="000000"/>
        </w:rPr>
        <w:t>Windows Small Business Server 2011 CAL Suite (5 Clientes)</w:t>
      </w:r>
    </w:p>
    <w:p w:rsidR="001D63C2" w:rsidRPr="00416070" w:rsidRDefault="001D63C2" w:rsidP="00E06050">
      <w:r w:rsidRPr="00416070">
        <w:rPr>
          <w:color w:val="000000"/>
        </w:rPr>
        <w:t>Windows Small Business Server 2011 CAL Suite (20 Clientes)</w:t>
      </w:r>
    </w:p>
    <w:p w:rsidR="001D63C2" w:rsidRPr="00416070" w:rsidRDefault="001D63C2" w:rsidP="001D63C2">
      <w:r w:rsidRPr="00416070">
        <w:rPr>
          <w:color w:val="000000"/>
        </w:rPr>
        <w:t>Windows Small Business Server 2011 Standard (5 Clientes)</w:t>
      </w:r>
    </w:p>
    <w:p w:rsidR="001D63C2" w:rsidRPr="00416070" w:rsidRDefault="001D63C2" w:rsidP="00E06050">
      <w:r w:rsidRPr="00416070">
        <w:rPr>
          <w:color w:val="000000"/>
        </w:rPr>
        <w:t>Complemento do Windows Small Business Server 2011 Premium (5 Clientes)</w:t>
      </w:r>
    </w:p>
    <w:p w:rsidR="001D63C2" w:rsidRPr="00416070" w:rsidRDefault="001D63C2" w:rsidP="00E06050"/>
    <w:p w:rsidR="00E06050" w:rsidRPr="008D38F6" w:rsidRDefault="00E06050" w:rsidP="003E606C">
      <w:pPr>
        <w:spacing w:after="60"/>
        <w:rPr>
          <w:lang w:val="pt-BR"/>
        </w:rPr>
      </w:pPr>
      <w:r w:rsidRPr="008D38F6">
        <w:rPr>
          <w:b/>
          <w:lang w:val="pt-BR"/>
        </w:rPr>
        <w:t>Exclusões</w:t>
      </w:r>
    </w:p>
    <w:p w:rsidR="00E06050" w:rsidRPr="008D38F6" w:rsidRDefault="00E06050" w:rsidP="00E06050">
      <w:pPr>
        <w:rPr>
          <w:lang w:val="pt-BR"/>
        </w:rPr>
      </w:pPr>
      <w:r w:rsidRPr="008D38F6">
        <w:rPr>
          <w:color w:val="000000"/>
          <w:lang w:val="pt-BR"/>
        </w:rPr>
        <w:t>Licença de Gerenciamento de Cliente do Windows Embedded Device Manager 2011 por OSE</w:t>
      </w:r>
    </w:p>
    <w:p w:rsidR="00E06050" w:rsidRPr="008D38F6" w:rsidRDefault="00E06050" w:rsidP="00E06050">
      <w:pPr>
        <w:rPr>
          <w:lang w:val="pt-BR"/>
        </w:rPr>
      </w:pPr>
      <w:r w:rsidRPr="008D38F6">
        <w:rPr>
          <w:color w:val="000000"/>
          <w:lang w:val="pt-BR"/>
        </w:rPr>
        <w:t>Licença de Gerenciamento de Cliente do Windows Embedded Device Manager 2011 por Usuário</w:t>
      </w:r>
    </w:p>
    <w:p w:rsidR="00844BAF" w:rsidRPr="008D38F6" w:rsidRDefault="00844BAF" w:rsidP="00E06050">
      <w:pPr>
        <w:rPr>
          <w:lang w:val="pt-BR"/>
        </w:rPr>
      </w:pPr>
      <w:r w:rsidRPr="008D38F6">
        <w:rPr>
          <w:rFonts w:cs="Tahoma"/>
          <w:color w:val="000000"/>
          <w:szCs w:val="20"/>
          <w:lang w:val="pt-BR"/>
        </w:rPr>
        <w:t>CAL do Dispositivo do Windows Server 2008 para Windows Essential Server Solutions (5 Clientes)</w:t>
      </w:r>
    </w:p>
    <w:p w:rsidR="00844BAF" w:rsidRPr="008D38F6" w:rsidRDefault="00844BAF" w:rsidP="00E06050">
      <w:pPr>
        <w:rPr>
          <w:lang w:val="pt-BR"/>
        </w:rPr>
      </w:pPr>
      <w:r w:rsidRPr="008D38F6">
        <w:rPr>
          <w:rFonts w:cs="Tahoma"/>
          <w:color w:val="000000"/>
          <w:szCs w:val="20"/>
          <w:lang w:val="pt-BR"/>
        </w:rPr>
        <w:t>CAL do Usuário do Windows Server 2008 para Windows Essential Server Solutions (5 Clientes)</w:t>
      </w:r>
    </w:p>
    <w:p w:rsidR="00844BAF" w:rsidRPr="008D38F6" w:rsidRDefault="00844BAF" w:rsidP="00844BAF">
      <w:pPr>
        <w:keepNext/>
        <w:tabs>
          <w:tab w:val="num" w:pos="720"/>
        </w:tabs>
        <w:outlineLvl w:val="3"/>
        <w:rPr>
          <w:lang w:val="pt-BR"/>
        </w:rPr>
      </w:pPr>
      <w:r w:rsidRPr="008D38F6">
        <w:rPr>
          <w:rFonts w:cs="Tahoma"/>
          <w:color w:val="000000"/>
          <w:szCs w:val="20"/>
          <w:lang w:val="pt-BR"/>
        </w:rPr>
        <w:t>Windows MultiPoint Server 2011 Premium com Windows MultiPoint Server 2011 (CAL) (5 Clientes)</w:t>
      </w:r>
    </w:p>
    <w:p w:rsidR="00E06050" w:rsidRPr="008D38F6" w:rsidRDefault="00844BAF" w:rsidP="00E06050">
      <w:pPr>
        <w:rPr>
          <w:lang w:val="pt-BR"/>
        </w:rPr>
      </w:pPr>
      <w:r w:rsidRPr="008D38F6">
        <w:rPr>
          <w:rFonts w:cs="Tahoma"/>
          <w:color w:val="000000"/>
          <w:szCs w:val="20"/>
          <w:lang w:val="pt-BR"/>
        </w:rPr>
        <w:t>Windows MultiPoint Server 2011 Premium com Windows MultiPoint Server 2011 (CAL) (5 Clientes) com Windows</w:t>
      </w:r>
    </w:p>
    <w:p w:rsidR="00A12176" w:rsidRPr="00416070" w:rsidRDefault="00A12176" w:rsidP="00BA756F">
      <w:pPr>
        <w:pStyle w:val="Heading2"/>
        <w:ind w:left="0"/>
        <w:jc w:val="both"/>
        <w:rPr>
          <w:rFonts w:ascii="Tahoma" w:hAnsi="Tahoma" w:cs="Tahoma"/>
          <w:sz w:val="18"/>
          <w:szCs w:val="18"/>
        </w:rPr>
      </w:pPr>
    </w:p>
    <w:p w:rsidR="001C1727" w:rsidRPr="008D38F6" w:rsidRDefault="001C1727">
      <w:pPr>
        <w:rPr>
          <w:b/>
          <w:lang w:val="pt-BR"/>
        </w:rPr>
      </w:pPr>
    </w:p>
    <w:p w:rsidR="00173A20" w:rsidRPr="00416070" w:rsidRDefault="00173A20" w:rsidP="00BA756F">
      <w:pPr>
        <w:pStyle w:val="Heading2"/>
        <w:ind w:left="0"/>
        <w:jc w:val="both"/>
      </w:pPr>
      <w:bookmarkStart w:id="625" w:name="_Toc352234243"/>
      <w:r w:rsidRPr="00416070">
        <w:rPr>
          <w:rFonts w:ascii="Tahoma" w:hAnsi="Tahoma" w:cs="Tahoma"/>
          <w:color w:val="FF6600"/>
        </w:rPr>
        <w:t>ALTERAÇÕES EM DEZEMBRO DE 2012</w:t>
      </w:r>
      <w:bookmarkEnd w:id="620"/>
      <w:bookmarkEnd w:id="625"/>
    </w:p>
    <w:p w:rsidR="00173A20" w:rsidRPr="008D38F6" w:rsidRDefault="00173A20" w:rsidP="00173A20">
      <w:pPr>
        <w:jc w:val="both"/>
        <w:outlineLvl w:val="1"/>
        <w:rPr>
          <w:lang w:val="pt-BR"/>
        </w:rPr>
      </w:pPr>
    </w:p>
    <w:p w:rsidR="00173A20" w:rsidRPr="008D38F6" w:rsidRDefault="00173A20" w:rsidP="003E606C">
      <w:pPr>
        <w:spacing w:after="60"/>
        <w:rPr>
          <w:lang w:val="pt-BR"/>
        </w:rPr>
      </w:pPr>
      <w:r w:rsidRPr="008D38F6">
        <w:rPr>
          <w:b/>
          <w:lang w:val="pt-BR"/>
        </w:rPr>
        <w:t>Adições</w:t>
      </w:r>
    </w:p>
    <w:p w:rsidR="00173A20" w:rsidRPr="008D38F6" w:rsidRDefault="00BA756F" w:rsidP="00173A20">
      <w:pPr>
        <w:rPr>
          <w:lang w:val="pt-BR"/>
        </w:rPr>
      </w:pPr>
      <w:r w:rsidRPr="008D38F6">
        <w:rPr>
          <w:color w:val="000000"/>
          <w:lang w:val="pt-BR"/>
        </w:rPr>
        <w:t>Access 2013</w:t>
      </w:r>
    </w:p>
    <w:p w:rsidR="00BA756F" w:rsidRPr="008D38F6" w:rsidRDefault="00BA756F" w:rsidP="00173A20">
      <w:pPr>
        <w:rPr>
          <w:lang w:val="pt-BR"/>
        </w:rPr>
      </w:pPr>
      <w:r w:rsidRPr="008D38F6">
        <w:rPr>
          <w:color w:val="000000"/>
          <w:lang w:val="pt-BR"/>
        </w:rPr>
        <w:t>Excel 2013</w:t>
      </w:r>
    </w:p>
    <w:p w:rsidR="00BA756F" w:rsidRPr="008D38F6" w:rsidRDefault="00BA756F" w:rsidP="00173A20">
      <w:pPr>
        <w:rPr>
          <w:lang w:val="pt-BR"/>
        </w:rPr>
      </w:pPr>
      <w:r w:rsidRPr="008D38F6">
        <w:rPr>
          <w:color w:val="000000"/>
          <w:lang w:val="pt-BR"/>
        </w:rPr>
        <w:t>CAL Empresarial do Exchange com Serviços 2013</w:t>
      </w:r>
    </w:p>
    <w:p w:rsidR="00BA756F" w:rsidRPr="008D38F6" w:rsidRDefault="00BA756F" w:rsidP="00173A20">
      <w:pPr>
        <w:rPr>
          <w:lang w:val="pt-BR"/>
        </w:rPr>
      </w:pPr>
      <w:r w:rsidRPr="008D38F6">
        <w:rPr>
          <w:color w:val="000000"/>
          <w:lang w:val="pt-BR"/>
        </w:rPr>
        <w:t>CAL Empresarial do Exchange sem Serviços 2013</w:t>
      </w:r>
    </w:p>
    <w:p w:rsidR="00BA756F" w:rsidRPr="008D38F6" w:rsidRDefault="00BA756F" w:rsidP="00173A20">
      <w:pPr>
        <w:rPr>
          <w:lang w:val="pt-BR"/>
        </w:rPr>
      </w:pPr>
      <w:r w:rsidRPr="008D38F6">
        <w:rPr>
          <w:color w:val="000000"/>
          <w:lang w:val="pt-BR"/>
        </w:rPr>
        <w:t>Exchange Server Enterprise 2013</w:t>
      </w:r>
    </w:p>
    <w:p w:rsidR="00BA756F" w:rsidRPr="008D38F6" w:rsidRDefault="00BA756F" w:rsidP="00173A20">
      <w:pPr>
        <w:rPr>
          <w:lang w:val="pt-BR"/>
        </w:rPr>
      </w:pPr>
      <w:r w:rsidRPr="008D38F6">
        <w:rPr>
          <w:color w:val="000000"/>
          <w:lang w:val="pt-BR"/>
        </w:rPr>
        <w:t>Exchange Server Standard 2013</w:t>
      </w:r>
    </w:p>
    <w:p w:rsidR="00BA756F" w:rsidRPr="008D38F6" w:rsidRDefault="00BA756F" w:rsidP="00173A20">
      <w:pPr>
        <w:rPr>
          <w:lang w:val="pt-BR"/>
        </w:rPr>
      </w:pPr>
      <w:r w:rsidRPr="008D38F6">
        <w:rPr>
          <w:color w:val="000000"/>
          <w:lang w:val="pt-BR"/>
        </w:rPr>
        <w:t>CAL do Exchange Standard 2013</w:t>
      </w:r>
    </w:p>
    <w:p w:rsidR="00BA756F" w:rsidRPr="008D38F6" w:rsidRDefault="00BA756F" w:rsidP="00173A20">
      <w:pPr>
        <w:rPr>
          <w:lang w:val="pt-BR"/>
        </w:rPr>
      </w:pPr>
      <w:r w:rsidRPr="008D38F6">
        <w:rPr>
          <w:color w:val="000000"/>
          <w:lang w:val="pt-BR"/>
        </w:rPr>
        <w:t>InfoPath 2013</w:t>
      </w:r>
    </w:p>
    <w:p w:rsidR="00BA756F" w:rsidRPr="008D38F6" w:rsidRDefault="00BA756F" w:rsidP="00173A20">
      <w:pPr>
        <w:rPr>
          <w:lang w:val="pt-BR"/>
        </w:rPr>
      </w:pPr>
      <w:r w:rsidRPr="008D38F6">
        <w:rPr>
          <w:color w:val="000000"/>
          <w:lang w:val="pt-BR"/>
        </w:rPr>
        <w:t>Lync 2013</w:t>
      </w:r>
    </w:p>
    <w:p w:rsidR="00BA756F" w:rsidRPr="008D38F6" w:rsidRDefault="00BA756F" w:rsidP="00173A20">
      <w:pPr>
        <w:rPr>
          <w:lang w:val="pt-BR"/>
        </w:rPr>
      </w:pPr>
      <w:r w:rsidRPr="008D38F6">
        <w:rPr>
          <w:color w:val="000000"/>
          <w:lang w:val="pt-BR"/>
        </w:rPr>
        <w:t>Lync Server 2013</w:t>
      </w:r>
    </w:p>
    <w:p w:rsidR="00BA756F" w:rsidRPr="008D38F6" w:rsidRDefault="00BA756F" w:rsidP="00173A20">
      <w:pPr>
        <w:rPr>
          <w:lang w:val="pt-BR"/>
        </w:rPr>
      </w:pPr>
      <w:r w:rsidRPr="008D38F6">
        <w:rPr>
          <w:color w:val="000000"/>
          <w:lang w:val="pt-BR"/>
        </w:rPr>
        <w:t>CAL Empresarial do Lync Server 2013</w:t>
      </w:r>
    </w:p>
    <w:p w:rsidR="00BA756F" w:rsidRPr="008D38F6" w:rsidRDefault="00BA756F" w:rsidP="00173A20">
      <w:pPr>
        <w:rPr>
          <w:lang w:val="pt-BR"/>
        </w:rPr>
      </w:pPr>
      <w:r w:rsidRPr="008D38F6">
        <w:rPr>
          <w:color w:val="000000"/>
          <w:lang w:val="pt-BR"/>
        </w:rPr>
        <w:t>CAL do Lync Server Plus 2013</w:t>
      </w:r>
    </w:p>
    <w:p w:rsidR="00BA756F" w:rsidRPr="008D38F6" w:rsidRDefault="00BA756F" w:rsidP="00173A20">
      <w:pPr>
        <w:rPr>
          <w:lang w:val="pt-BR"/>
        </w:rPr>
      </w:pPr>
      <w:r w:rsidRPr="008D38F6">
        <w:rPr>
          <w:color w:val="000000"/>
          <w:lang w:val="pt-BR"/>
        </w:rPr>
        <w:t>CAL Padrão do Lync Server 2013</w:t>
      </w:r>
    </w:p>
    <w:p w:rsidR="00BA756F" w:rsidRPr="00416070" w:rsidRDefault="00BA756F" w:rsidP="00173A20">
      <w:r w:rsidRPr="00416070">
        <w:rPr>
          <w:color w:val="000000"/>
        </w:rPr>
        <w:t>Office Home and Student RT 2013</w:t>
      </w:r>
    </w:p>
    <w:p w:rsidR="00BA756F" w:rsidRPr="00416070" w:rsidRDefault="00BA756F" w:rsidP="00173A20">
      <w:r w:rsidRPr="00416070">
        <w:rPr>
          <w:color w:val="000000"/>
        </w:rPr>
        <w:t>Pacote Multilíngue do Office 2013</w:t>
      </w:r>
    </w:p>
    <w:p w:rsidR="00BA756F" w:rsidRPr="00416070" w:rsidRDefault="00BA756F" w:rsidP="00173A20">
      <w:r w:rsidRPr="00416070">
        <w:rPr>
          <w:color w:val="000000"/>
        </w:rPr>
        <w:t>Office Professional Plus 2013</w:t>
      </w:r>
    </w:p>
    <w:p w:rsidR="00BA756F" w:rsidRPr="00416070" w:rsidRDefault="00BA756F" w:rsidP="00173A20">
      <w:r w:rsidRPr="00416070">
        <w:rPr>
          <w:color w:val="000000"/>
        </w:rPr>
        <w:t>Office Standard 2013</w:t>
      </w:r>
    </w:p>
    <w:p w:rsidR="00BA756F" w:rsidRPr="00416070" w:rsidRDefault="00BA756F" w:rsidP="00173A20">
      <w:r w:rsidRPr="00416070">
        <w:rPr>
          <w:color w:val="000000"/>
        </w:rPr>
        <w:t>OneNote 2013</w:t>
      </w:r>
    </w:p>
    <w:p w:rsidR="00BA756F" w:rsidRPr="00416070" w:rsidRDefault="00BA756F" w:rsidP="00173A20">
      <w:r w:rsidRPr="00416070">
        <w:rPr>
          <w:color w:val="000000"/>
        </w:rPr>
        <w:t>Outlook 2013</w:t>
      </w:r>
    </w:p>
    <w:p w:rsidR="00BA756F" w:rsidRPr="00416070" w:rsidRDefault="00BA756F" w:rsidP="00173A20">
      <w:r w:rsidRPr="00416070">
        <w:rPr>
          <w:color w:val="000000"/>
        </w:rPr>
        <w:t>PowerPoint 2013</w:t>
      </w:r>
    </w:p>
    <w:p w:rsidR="00BA756F" w:rsidRPr="00416070" w:rsidRDefault="00BA756F" w:rsidP="00173A20">
      <w:r w:rsidRPr="00416070">
        <w:rPr>
          <w:color w:val="000000"/>
        </w:rPr>
        <w:t>Project Standard 2013</w:t>
      </w:r>
    </w:p>
    <w:p w:rsidR="00BA756F" w:rsidRPr="00416070" w:rsidRDefault="00BA756F" w:rsidP="00173A20">
      <w:r w:rsidRPr="00416070">
        <w:rPr>
          <w:color w:val="000000"/>
        </w:rPr>
        <w:t>Project Professional 2013</w:t>
      </w:r>
    </w:p>
    <w:p w:rsidR="00BA756F" w:rsidRPr="00416070" w:rsidRDefault="00BA756F" w:rsidP="00173A20">
      <w:r w:rsidRPr="00416070">
        <w:rPr>
          <w:color w:val="000000"/>
        </w:rPr>
        <w:t>Project Server 2013</w:t>
      </w:r>
    </w:p>
    <w:p w:rsidR="00BA756F" w:rsidRPr="00416070" w:rsidRDefault="00BA756F" w:rsidP="00173A20">
      <w:r w:rsidRPr="00416070">
        <w:rPr>
          <w:color w:val="000000"/>
        </w:rPr>
        <w:t>CAL do Project Server 2013</w:t>
      </w:r>
    </w:p>
    <w:p w:rsidR="00BA756F" w:rsidRPr="00416070" w:rsidRDefault="00FE3510" w:rsidP="00173A20">
      <w:r w:rsidRPr="00416070">
        <w:rPr>
          <w:color w:val="000000"/>
        </w:rPr>
        <w:t>Publisher 2013</w:t>
      </w:r>
    </w:p>
    <w:p w:rsidR="00FE3510" w:rsidRPr="00416070" w:rsidRDefault="00FE3510" w:rsidP="00173A20">
      <w:r w:rsidRPr="00416070">
        <w:rPr>
          <w:color w:val="000000"/>
        </w:rPr>
        <w:t>CAL Empresarial do SharePoint 2013</w:t>
      </w:r>
    </w:p>
    <w:p w:rsidR="00FE3510" w:rsidRPr="00416070" w:rsidRDefault="00FE3510" w:rsidP="00173A20">
      <w:r w:rsidRPr="00416070">
        <w:rPr>
          <w:color w:val="000000"/>
        </w:rPr>
        <w:t>SharePoint Server 2013</w:t>
      </w:r>
    </w:p>
    <w:p w:rsidR="00FE3510" w:rsidRPr="00416070" w:rsidRDefault="00FE3510" w:rsidP="00173A20">
      <w:r w:rsidRPr="00416070">
        <w:rPr>
          <w:color w:val="000000"/>
        </w:rPr>
        <w:t>CAL Padrão do SharePoint 2013</w:t>
      </w:r>
    </w:p>
    <w:p w:rsidR="00FE3510" w:rsidRPr="00416070" w:rsidRDefault="00FE3510" w:rsidP="00173A20">
      <w:r w:rsidRPr="00416070">
        <w:rPr>
          <w:color w:val="000000"/>
        </w:rPr>
        <w:t>Visio Professional 2013</w:t>
      </w:r>
    </w:p>
    <w:p w:rsidR="00FE3510" w:rsidRPr="00416070" w:rsidRDefault="00FE3510" w:rsidP="00173A20">
      <w:r w:rsidRPr="00416070">
        <w:rPr>
          <w:color w:val="000000"/>
        </w:rPr>
        <w:lastRenderedPageBreak/>
        <w:t>Visio Standard 2013</w:t>
      </w:r>
    </w:p>
    <w:p w:rsidR="00FE3510" w:rsidRPr="00416070" w:rsidRDefault="00FE3510" w:rsidP="00173A20">
      <w:r w:rsidRPr="00416070">
        <w:rPr>
          <w:color w:val="000000"/>
        </w:rPr>
        <w:t>Word 2013</w:t>
      </w:r>
    </w:p>
    <w:p w:rsidR="00FE3510" w:rsidRPr="00416070" w:rsidRDefault="00FE3510" w:rsidP="00173A20">
      <w:r w:rsidRPr="00416070">
        <w:rPr>
          <w:color w:val="000000"/>
        </w:rPr>
        <w:t>Windows MultiPoint Server Standard 2012</w:t>
      </w:r>
    </w:p>
    <w:p w:rsidR="00FE3510" w:rsidRPr="00416070" w:rsidRDefault="00FE3510" w:rsidP="00173A20">
      <w:r w:rsidRPr="00416070">
        <w:rPr>
          <w:color w:val="000000"/>
        </w:rPr>
        <w:t>Windows MultiPoint Server Premium 2012</w:t>
      </w:r>
    </w:p>
    <w:p w:rsidR="00FE3510" w:rsidRPr="00416070" w:rsidRDefault="00FE3510" w:rsidP="00173A20">
      <w:r w:rsidRPr="00416070">
        <w:rPr>
          <w:color w:val="000000"/>
        </w:rPr>
        <w:t>CAL do Windows MultiPoint Server 2012</w:t>
      </w:r>
    </w:p>
    <w:p w:rsidR="00FE3510" w:rsidRPr="00416070" w:rsidRDefault="00FE3510" w:rsidP="00173A20">
      <w:r w:rsidRPr="00416070">
        <w:rPr>
          <w:color w:val="000000"/>
        </w:rPr>
        <w:t>CAL do Windows MultiPoint Server com CAL do Windows Server 2012</w:t>
      </w:r>
    </w:p>
    <w:p w:rsidR="006F741C" w:rsidRPr="00416070" w:rsidRDefault="006F741C" w:rsidP="006F741C">
      <w:r w:rsidRPr="00416070">
        <w:rPr>
          <w:color w:val="000000"/>
        </w:rPr>
        <w:t>Windows Intune (Por Usuário)</w:t>
      </w:r>
    </w:p>
    <w:p w:rsidR="006F741C" w:rsidRPr="00416070" w:rsidRDefault="006F741C" w:rsidP="006F741C">
      <w:r w:rsidRPr="00416070">
        <w:rPr>
          <w:color w:val="000000"/>
        </w:rPr>
        <w:t>Complemento do Windows Intune para System Center Configuration Manager e</w:t>
      </w:r>
      <w:r w:rsidR="00D13AFD" w:rsidRPr="00416070">
        <w:rPr>
          <w:color w:val="000000"/>
        </w:rPr>
        <w:t> </w:t>
      </w:r>
      <w:r w:rsidRPr="00416070">
        <w:rPr>
          <w:color w:val="000000"/>
        </w:rPr>
        <w:t>System</w:t>
      </w:r>
      <w:r w:rsidR="00467B1E" w:rsidRPr="00416070">
        <w:rPr>
          <w:color w:val="000000"/>
        </w:rPr>
        <w:t> </w:t>
      </w:r>
      <w:r w:rsidRPr="00416070">
        <w:rPr>
          <w:color w:val="000000"/>
        </w:rPr>
        <w:t>Center</w:t>
      </w:r>
      <w:r w:rsidR="00467B1E" w:rsidRPr="00416070">
        <w:rPr>
          <w:color w:val="000000"/>
        </w:rPr>
        <w:t> </w:t>
      </w:r>
      <w:r w:rsidRPr="00416070">
        <w:rPr>
          <w:color w:val="000000"/>
        </w:rPr>
        <w:t>EndPoint</w:t>
      </w:r>
      <w:r w:rsidR="00467B1E" w:rsidRPr="00416070">
        <w:rPr>
          <w:color w:val="000000"/>
        </w:rPr>
        <w:t> </w:t>
      </w:r>
      <w:r w:rsidRPr="00416070">
        <w:rPr>
          <w:color w:val="000000"/>
        </w:rPr>
        <w:t>Protection</w:t>
      </w:r>
      <w:r w:rsidR="00467B1E" w:rsidRPr="00416070">
        <w:rPr>
          <w:color w:val="000000"/>
        </w:rPr>
        <w:t> </w:t>
      </w:r>
      <w:r w:rsidRPr="00416070">
        <w:rPr>
          <w:color w:val="000000"/>
        </w:rPr>
        <w:t>(por usuário)</w:t>
      </w:r>
    </w:p>
    <w:p w:rsidR="00FE3510" w:rsidRPr="008D38F6" w:rsidRDefault="00FE3510" w:rsidP="00173A20">
      <w:pPr>
        <w:rPr>
          <w:lang w:val="pt-BR"/>
        </w:rPr>
      </w:pPr>
      <w:r w:rsidRPr="008D38F6">
        <w:rPr>
          <w:color w:val="000000"/>
          <w:lang w:val="pt-BR"/>
        </w:rPr>
        <w:t>SL de Usuário do Windows Intune</w:t>
      </w:r>
    </w:p>
    <w:p w:rsidR="00FE3510" w:rsidRPr="008D38F6" w:rsidRDefault="00FE3510" w:rsidP="00173A20">
      <w:pPr>
        <w:rPr>
          <w:lang w:val="pt-BR"/>
        </w:rPr>
      </w:pPr>
      <w:r w:rsidRPr="008D38F6">
        <w:rPr>
          <w:color w:val="000000"/>
          <w:lang w:val="pt-BR"/>
        </w:rPr>
        <w:t>SL de Usuário do Complemento do Windows Intune</w:t>
      </w:r>
    </w:p>
    <w:p w:rsidR="00FE3510" w:rsidRPr="008D38F6" w:rsidRDefault="00FE3510" w:rsidP="00173A20">
      <w:pPr>
        <w:rPr>
          <w:lang w:val="pt-BR"/>
        </w:rPr>
      </w:pPr>
      <w:r w:rsidRPr="008D38F6">
        <w:rPr>
          <w:color w:val="000000"/>
          <w:lang w:val="pt-BR"/>
        </w:rPr>
        <w:t>Armazenamento Extra de 1 GB de SL Complementar do Usuário do Windows Intune</w:t>
      </w:r>
    </w:p>
    <w:p w:rsidR="00FE3510" w:rsidRPr="008D38F6" w:rsidRDefault="00FE3510" w:rsidP="00173A20">
      <w:pPr>
        <w:rPr>
          <w:lang w:val="pt-BR"/>
        </w:rPr>
      </w:pPr>
      <w:r w:rsidRPr="008D38F6">
        <w:rPr>
          <w:color w:val="000000"/>
          <w:lang w:val="pt-BR"/>
        </w:rPr>
        <w:t>Win Pro com MDOP 8</w:t>
      </w:r>
    </w:p>
    <w:p w:rsidR="00173A20" w:rsidRPr="008D38F6" w:rsidRDefault="00173A20" w:rsidP="00173A20">
      <w:pPr>
        <w:keepNext/>
        <w:tabs>
          <w:tab w:val="num" w:pos="720"/>
        </w:tabs>
        <w:spacing w:before="60"/>
        <w:outlineLvl w:val="3"/>
        <w:rPr>
          <w:lang w:val="pt-BR"/>
        </w:rPr>
      </w:pPr>
    </w:p>
    <w:p w:rsidR="00173A20" w:rsidRPr="008D38F6" w:rsidRDefault="00173A20" w:rsidP="003E606C">
      <w:pPr>
        <w:spacing w:after="60"/>
        <w:rPr>
          <w:lang w:val="pt-BR"/>
        </w:rPr>
      </w:pPr>
      <w:r w:rsidRPr="008D38F6">
        <w:rPr>
          <w:b/>
          <w:lang w:val="pt-BR"/>
        </w:rPr>
        <w:t xml:space="preserve">Promoções </w:t>
      </w:r>
    </w:p>
    <w:p w:rsidR="00173A20" w:rsidRPr="008D38F6" w:rsidRDefault="00FE3510" w:rsidP="00173A20">
      <w:pPr>
        <w:outlineLvl w:val="1"/>
        <w:rPr>
          <w:lang w:val="pt-BR"/>
        </w:rPr>
      </w:pPr>
      <w:r w:rsidRPr="008D38F6">
        <w:rPr>
          <w:rFonts w:cs="Tahoma"/>
          <w:color w:val="000000"/>
          <w:szCs w:val="18"/>
          <w:lang w:val="pt-BR"/>
        </w:rPr>
        <w:t>As seguintes promoções foram adicionadas:</w:t>
      </w:r>
    </w:p>
    <w:p w:rsidR="00FE3510" w:rsidRPr="008D38F6" w:rsidRDefault="00A4121E" w:rsidP="00173A20">
      <w:pPr>
        <w:outlineLvl w:val="1"/>
        <w:rPr>
          <w:lang w:val="pt-BR"/>
        </w:rPr>
      </w:pPr>
      <w:r w:rsidRPr="008D38F6">
        <w:rPr>
          <w:rFonts w:cs="Tahoma"/>
          <w:color w:val="000000"/>
          <w:szCs w:val="18"/>
          <w:lang w:val="pt-BR"/>
        </w:rPr>
        <w:t xml:space="preserve">Microsoft Dynamics AX 2012 R2 - Promoção </w:t>
      </w:r>
      <w:r w:rsidR="00910E93" w:rsidRPr="008D38F6">
        <w:rPr>
          <w:rFonts w:cs="Tahoma"/>
          <w:color w:val="000000"/>
          <w:szCs w:val="18"/>
          <w:lang w:val="pt-BR"/>
        </w:rPr>
        <w:t>“</w:t>
      </w:r>
      <w:r w:rsidRPr="008D38F6">
        <w:rPr>
          <w:rFonts w:cs="Tahoma"/>
          <w:color w:val="000000"/>
          <w:szCs w:val="18"/>
          <w:lang w:val="pt-BR"/>
        </w:rPr>
        <w:t>Compre Uma CAL Empresarial Ganhe outra CAL Funcional</w:t>
      </w:r>
      <w:r w:rsidR="00910E93" w:rsidRPr="008D38F6">
        <w:rPr>
          <w:rFonts w:cs="Tahoma"/>
          <w:color w:val="000000"/>
          <w:szCs w:val="18"/>
          <w:lang w:val="pt-BR"/>
        </w:rPr>
        <w:t>”</w:t>
      </w:r>
    </w:p>
    <w:p w:rsidR="00A4121E" w:rsidRPr="008D38F6" w:rsidRDefault="00A4121E" w:rsidP="00173A20">
      <w:pPr>
        <w:outlineLvl w:val="1"/>
        <w:rPr>
          <w:lang w:val="pt-BR"/>
        </w:rPr>
      </w:pPr>
      <w:r w:rsidRPr="008D38F6">
        <w:rPr>
          <w:rFonts w:cs="Tahoma"/>
          <w:color w:val="000000"/>
          <w:szCs w:val="18"/>
          <w:lang w:val="pt-BR"/>
        </w:rPr>
        <w:t>Microsoft Dynamics AX 2012 R2 – Promoção de Introdução ao EA</w:t>
      </w:r>
    </w:p>
    <w:p w:rsidR="00A4121E" w:rsidRPr="008D38F6" w:rsidRDefault="00A4121E" w:rsidP="00173A20">
      <w:pPr>
        <w:outlineLvl w:val="1"/>
        <w:rPr>
          <w:lang w:val="pt-BR"/>
        </w:rPr>
      </w:pPr>
      <w:r w:rsidRPr="008D38F6">
        <w:rPr>
          <w:rFonts w:cs="Tahoma"/>
          <w:color w:val="000000"/>
          <w:szCs w:val="18"/>
          <w:lang w:val="pt-BR"/>
        </w:rPr>
        <w:t>Promoção de 20% de Desconto para Novos Computadores com Windows Intune</w:t>
      </w:r>
    </w:p>
    <w:p w:rsidR="00FE3510" w:rsidRPr="008D38F6" w:rsidRDefault="00FE3510" w:rsidP="00173A20">
      <w:pPr>
        <w:outlineLvl w:val="1"/>
        <w:rPr>
          <w:lang w:val="pt-BR"/>
        </w:rPr>
      </w:pPr>
    </w:p>
    <w:p w:rsidR="00FE3510" w:rsidRPr="008D38F6" w:rsidRDefault="00FE3510" w:rsidP="00173A20">
      <w:pPr>
        <w:outlineLvl w:val="1"/>
        <w:rPr>
          <w:lang w:val="pt-BR"/>
        </w:rPr>
      </w:pPr>
      <w:r w:rsidRPr="008D38F6">
        <w:rPr>
          <w:rFonts w:cs="Tahoma"/>
          <w:color w:val="000000"/>
          <w:szCs w:val="18"/>
          <w:lang w:val="pt-BR"/>
        </w:rPr>
        <w:t>As seguintes promoções foram excluídas:</w:t>
      </w:r>
    </w:p>
    <w:p w:rsidR="00FE3510" w:rsidRPr="008D38F6" w:rsidRDefault="00FE3510" w:rsidP="00173A20">
      <w:pPr>
        <w:outlineLvl w:val="1"/>
        <w:rPr>
          <w:lang w:val="pt-BR"/>
        </w:rPr>
      </w:pPr>
      <w:r w:rsidRPr="008D38F6">
        <w:rPr>
          <w:lang w:val="pt-BR"/>
        </w:rPr>
        <w:t>Promoção de 20% de Desconto para Novos Computadores com Windows Intune</w:t>
      </w:r>
    </w:p>
    <w:p w:rsidR="00173A20" w:rsidRPr="008D38F6" w:rsidRDefault="00173A20" w:rsidP="00173A20">
      <w:pPr>
        <w:outlineLvl w:val="1"/>
        <w:rPr>
          <w:lang w:val="pt-BR"/>
        </w:rPr>
      </w:pPr>
    </w:p>
    <w:p w:rsidR="00CD7EA6" w:rsidRPr="008D38F6" w:rsidRDefault="00173A20" w:rsidP="003E606C">
      <w:pPr>
        <w:spacing w:after="60"/>
        <w:rPr>
          <w:lang w:val="pt-BR"/>
        </w:rPr>
      </w:pPr>
      <w:r w:rsidRPr="008D38F6">
        <w:rPr>
          <w:b/>
          <w:lang w:val="pt-BR"/>
        </w:rPr>
        <w:t>Exclusões</w:t>
      </w:r>
    </w:p>
    <w:p w:rsidR="00685009" w:rsidRPr="008D38F6" w:rsidRDefault="00685009" w:rsidP="00685009">
      <w:pPr>
        <w:rPr>
          <w:lang w:val="pt-BR"/>
        </w:rPr>
      </w:pPr>
      <w:r w:rsidRPr="008D38F6">
        <w:rPr>
          <w:color w:val="000000"/>
          <w:lang w:val="pt-BR"/>
        </w:rPr>
        <w:t>Access 2010</w:t>
      </w:r>
    </w:p>
    <w:p w:rsidR="00685009" w:rsidRPr="008D38F6" w:rsidRDefault="00685009" w:rsidP="00685009">
      <w:pPr>
        <w:rPr>
          <w:lang w:val="pt-BR"/>
        </w:rPr>
      </w:pPr>
      <w:r w:rsidRPr="008D38F6">
        <w:rPr>
          <w:color w:val="000000"/>
          <w:lang w:val="pt-BR"/>
        </w:rPr>
        <w:t>Duet Enterprise para Microsoft SharePoint e SAP 1.0</w:t>
      </w:r>
    </w:p>
    <w:p w:rsidR="00685009" w:rsidRPr="008D38F6" w:rsidRDefault="00685009" w:rsidP="00685009">
      <w:pPr>
        <w:rPr>
          <w:lang w:val="pt-BR"/>
        </w:rPr>
      </w:pPr>
      <w:r w:rsidRPr="008D38F6">
        <w:rPr>
          <w:color w:val="000000"/>
          <w:lang w:val="pt-BR"/>
        </w:rPr>
        <w:t>Dynamics CRM Onprem Mobile</w:t>
      </w:r>
    </w:p>
    <w:p w:rsidR="00685009" w:rsidRPr="00416070" w:rsidRDefault="00685009" w:rsidP="00685009">
      <w:r w:rsidRPr="00416070">
        <w:rPr>
          <w:color w:val="000000"/>
        </w:rPr>
        <w:t>Dynamics CRM Mobile</w:t>
      </w:r>
    </w:p>
    <w:p w:rsidR="00685009" w:rsidRPr="00416070" w:rsidRDefault="00685009" w:rsidP="00685009">
      <w:r w:rsidRPr="00416070">
        <w:rPr>
          <w:color w:val="000000"/>
        </w:rPr>
        <w:t>Excel 2010</w:t>
      </w:r>
    </w:p>
    <w:p w:rsidR="00685009" w:rsidRPr="00416070" w:rsidRDefault="00685009" w:rsidP="00685009">
      <w:r w:rsidRPr="00416070">
        <w:rPr>
          <w:color w:val="000000"/>
        </w:rPr>
        <w:t>External Connector do Exchange Server 2010</w:t>
      </w:r>
    </w:p>
    <w:p w:rsidR="00685009" w:rsidRPr="00416070" w:rsidRDefault="00685009" w:rsidP="00685009">
      <w:r w:rsidRPr="00416070">
        <w:rPr>
          <w:color w:val="000000"/>
        </w:rPr>
        <w:t>FAST SearchServer SharePoint</w:t>
      </w:r>
    </w:p>
    <w:p w:rsidR="00685009" w:rsidRPr="00416070" w:rsidRDefault="00685009" w:rsidP="00685009">
      <w:r w:rsidRPr="00416070">
        <w:rPr>
          <w:color w:val="000000"/>
        </w:rPr>
        <w:t>Forefront Protection Suite</w:t>
      </w:r>
    </w:p>
    <w:p w:rsidR="00685009" w:rsidRPr="00416070" w:rsidRDefault="00685009" w:rsidP="00685009">
      <w:r w:rsidRPr="00416070">
        <w:rPr>
          <w:color w:val="000000"/>
        </w:rPr>
        <w:t>Forefront Security para Exchange Server</w:t>
      </w:r>
    </w:p>
    <w:p w:rsidR="00685009" w:rsidRPr="00416070" w:rsidRDefault="00685009" w:rsidP="00685009">
      <w:r w:rsidRPr="00416070">
        <w:rPr>
          <w:color w:val="000000"/>
        </w:rPr>
        <w:t>Forefront Security Office Communication Server</w:t>
      </w:r>
    </w:p>
    <w:p w:rsidR="00685009" w:rsidRPr="00416070" w:rsidRDefault="00685009" w:rsidP="00685009">
      <w:r w:rsidRPr="00416070">
        <w:rPr>
          <w:color w:val="000000"/>
        </w:rPr>
        <w:t>Forefront Security SharePoint</w:t>
      </w:r>
    </w:p>
    <w:p w:rsidR="00685009" w:rsidRPr="008D38F6" w:rsidRDefault="00685009" w:rsidP="00685009">
      <w:pPr>
        <w:rPr>
          <w:lang w:val="pt-BR"/>
        </w:rPr>
      </w:pPr>
      <w:r w:rsidRPr="008D38F6">
        <w:rPr>
          <w:color w:val="000000"/>
          <w:lang w:val="pt-BR"/>
        </w:rPr>
        <w:t>Console de Gerenciamento do Forefront Security Server</w:t>
      </w:r>
    </w:p>
    <w:p w:rsidR="00685009" w:rsidRPr="00416070" w:rsidRDefault="00685009" w:rsidP="00685009">
      <w:r w:rsidRPr="00416070">
        <w:rPr>
          <w:color w:val="000000"/>
        </w:rPr>
        <w:t>Forefront Security Web</w:t>
      </w:r>
    </w:p>
    <w:p w:rsidR="00685009" w:rsidRPr="00416070" w:rsidRDefault="00685009" w:rsidP="00685009">
      <w:r w:rsidRPr="00416070">
        <w:rPr>
          <w:color w:val="000000"/>
        </w:rPr>
        <w:t>Forefront Threat Management Gateway Enterprise</w:t>
      </w:r>
    </w:p>
    <w:p w:rsidR="00685009" w:rsidRPr="00416070" w:rsidRDefault="00685009" w:rsidP="00685009">
      <w:r w:rsidRPr="00416070">
        <w:rPr>
          <w:color w:val="000000"/>
        </w:rPr>
        <w:t>Forefront Threat Management Gateway Medium Business</w:t>
      </w:r>
    </w:p>
    <w:p w:rsidR="00685009" w:rsidRPr="00416070" w:rsidRDefault="00685009" w:rsidP="00685009">
      <w:r w:rsidRPr="00416070">
        <w:rPr>
          <w:color w:val="000000"/>
        </w:rPr>
        <w:t>Forefront Threat Management Gateway Standard</w:t>
      </w:r>
    </w:p>
    <w:p w:rsidR="00685009" w:rsidRPr="00416070" w:rsidRDefault="00685009" w:rsidP="00685009">
      <w:r w:rsidRPr="00416070">
        <w:rPr>
          <w:color w:val="000000"/>
        </w:rPr>
        <w:t>Forefront Threat Management Gateway Web Protection Service</w:t>
      </w:r>
    </w:p>
    <w:p w:rsidR="00685009" w:rsidRPr="00416070" w:rsidRDefault="00685009" w:rsidP="00685009">
      <w:r w:rsidRPr="00416070">
        <w:rPr>
          <w:color w:val="000000"/>
        </w:rPr>
        <w:t>Forefront Protection 2010 for Exchange Server</w:t>
      </w:r>
    </w:p>
    <w:p w:rsidR="00685009" w:rsidRPr="00416070" w:rsidRDefault="00685009" w:rsidP="00685009">
      <w:r w:rsidRPr="00416070">
        <w:rPr>
          <w:color w:val="000000"/>
        </w:rPr>
        <w:t>External Connector do Forefront Protection 2010 para Exchange Server</w:t>
      </w:r>
    </w:p>
    <w:p w:rsidR="00685009" w:rsidRPr="00416070" w:rsidRDefault="00685009" w:rsidP="00685009">
      <w:r w:rsidRPr="00416070">
        <w:rPr>
          <w:color w:val="000000"/>
        </w:rPr>
        <w:t>Forefront Protection SharePoint</w:t>
      </w:r>
    </w:p>
    <w:p w:rsidR="00685009" w:rsidRPr="00416070" w:rsidRDefault="00685009" w:rsidP="00685009">
      <w:r w:rsidRPr="00416070">
        <w:rPr>
          <w:color w:val="000000"/>
        </w:rPr>
        <w:t>Groove Enterprise Services</w:t>
      </w:r>
    </w:p>
    <w:p w:rsidR="00685009" w:rsidRPr="00416070" w:rsidRDefault="00685009" w:rsidP="00685009">
      <w:r w:rsidRPr="00416070">
        <w:rPr>
          <w:color w:val="000000"/>
        </w:rPr>
        <w:t>Groove Server</w:t>
      </w:r>
    </w:p>
    <w:p w:rsidR="00685009" w:rsidRPr="00416070" w:rsidRDefault="00685009" w:rsidP="00685009">
      <w:r w:rsidRPr="00416070">
        <w:rPr>
          <w:color w:val="000000"/>
        </w:rPr>
        <w:t>InfoPath 2010</w:t>
      </w:r>
    </w:p>
    <w:p w:rsidR="00685009" w:rsidRPr="00416070" w:rsidRDefault="00685009" w:rsidP="00685009">
      <w:r w:rsidRPr="00416070">
        <w:rPr>
          <w:color w:val="000000"/>
        </w:rPr>
        <w:t>Lync 2010</w:t>
      </w:r>
    </w:p>
    <w:p w:rsidR="00685009" w:rsidRPr="00416070" w:rsidRDefault="00685009" w:rsidP="00685009">
      <w:r w:rsidRPr="00416070">
        <w:rPr>
          <w:color w:val="000000"/>
        </w:rPr>
        <w:t>Lync Server 2010 Enterprise Edition</w:t>
      </w:r>
    </w:p>
    <w:p w:rsidR="00685009" w:rsidRPr="00416070" w:rsidRDefault="00685009" w:rsidP="00685009">
      <w:r w:rsidRPr="00416070">
        <w:rPr>
          <w:color w:val="000000"/>
        </w:rPr>
        <w:t>External Connector do Lync Server 2010 Enterprise</w:t>
      </w:r>
    </w:p>
    <w:p w:rsidR="00685009" w:rsidRPr="00416070" w:rsidRDefault="00685009" w:rsidP="00685009">
      <w:r w:rsidRPr="00416070">
        <w:rPr>
          <w:color w:val="000000"/>
        </w:rPr>
        <w:t>External Connector do Lync Server 2010 Plus</w:t>
      </w:r>
    </w:p>
    <w:p w:rsidR="00685009" w:rsidRPr="00416070" w:rsidRDefault="00685009" w:rsidP="00685009">
      <w:r w:rsidRPr="00416070">
        <w:rPr>
          <w:color w:val="000000"/>
        </w:rPr>
        <w:t>External Connector do Lync Server 2010 Standard</w:t>
      </w:r>
    </w:p>
    <w:p w:rsidR="00685009" w:rsidRPr="00416070" w:rsidRDefault="00685009" w:rsidP="00685009">
      <w:r w:rsidRPr="00416070">
        <w:rPr>
          <w:color w:val="000000"/>
        </w:rPr>
        <w:t>Lync Server 2010 Standard Edition</w:t>
      </w:r>
    </w:p>
    <w:p w:rsidR="00685009" w:rsidRPr="00416070" w:rsidRDefault="00685009" w:rsidP="00685009">
      <w:r w:rsidRPr="00416070">
        <w:rPr>
          <w:color w:val="000000"/>
        </w:rPr>
        <w:t>Office Groove Enterprise Services</w:t>
      </w:r>
    </w:p>
    <w:p w:rsidR="00685009" w:rsidRPr="00416070" w:rsidRDefault="00685009" w:rsidP="00685009">
      <w:r w:rsidRPr="00416070">
        <w:rPr>
          <w:color w:val="000000"/>
        </w:rPr>
        <w:t>Office Multi-Language Pack 2010</w:t>
      </w:r>
    </w:p>
    <w:p w:rsidR="00685009" w:rsidRPr="00416070" w:rsidRDefault="00685009" w:rsidP="00685009">
      <w:r w:rsidRPr="00416070">
        <w:rPr>
          <w:color w:val="000000"/>
        </w:rPr>
        <w:t>Office Professional Plus 2010</w:t>
      </w:r>
    </w:p>
    <w:p w:rsidR="00685009" w:rsidRPr="00416070" w:rsidRDefault="00685009" w:rsidP="00685009">
      <w:r w:rsidRPr="00416070">
        <w:rPr>
          <w:color w:val="000000"/>
        </w:rPr>
        <w:t>Office Standard 2010</w:t>
      </w:r>
    </w:p>
    <w:p w:rsidR="00685009" w:rsidRPr="00416070" w:rsidRDefault="00685009" w:rsidP="00685009">
      <w:r w:rsidRPr="00416070">
        <w:rPr>
          <w:color w:val="000000"/>
        </w:rPr>
        <w:t>Office Small Business Get Genuine</w:t>
      </w:r>
    </w:p>
    <w:p w:rsidR="00685009" w:rsidRPr="00416070" w:rsidRDefault="00685009" w:rsidP="00685009">
      <w:r w:rsidRPr="00416070">
        <w:rPr>
          <w:color w:val="000000"/>
        </w:rPr>
        <w:lastRenderedPageBreak/>
        <w:t>OneNote 2010</w:t>
      </w:r>
    </w:p>
    <w:p w:rsidR="00685009" w:rsidRPr="00416070" w:rsidRDefault="00685009" w:rsidP="00685009">
      <w:r w:rsidRPr="00416070">
        <w:rPr>
          <w:color w:val="000000"/>
        </w:rPr>
        <w:t>Outlook 2010</w:t>
      </w:r>
    </w:p>
    <w:p w:rsidR="00685009" w:rsidRPr="00416070" w:rsidRDefault="00685009" w:rsidP="00685009">
      <w:r w:rsidRPr="00416070">
        <w:rPr>
          <w:color w:val="000000"/>
        </w:rPr>
        <w:t>Outlook com Business Contact Manager</w:t>
      </w:r>
    </w:p>
    <w:p w:rsidR="00685009" w:rsidRPr="00416070" w:rsidRDefault="00685009" w:rsidP="00685009">
      <w:r w:rsidRPr="00416070">
        <w:rPr>
          <w:color w:val="000000"/>
        </w:rPr>
        <w:t>PowerPoint 2010</w:t>
      </w:r>
    </w:p>
    <w:p w:rsidR="00685009" w:rsidRPr="00416070" w:rsidRDefault="00685009" w:rsidP="00685009">
      <w:r w:rsidRPr="00416070">
        <w:rPr>
          <w:color w:val="000000"/>
        </w:rPr>
        <w:t>Project 2010 Standard</w:t>
      </w:r>
    </w:p>
    <w:p w:rsidR="00685009" w:rsidRPr="00416070" w:rsidRDefault="00685009" w:rsidP="00685009">
      <w:r w:rsidRPr="00416070">
        <w:rPr>
          <w:color w:val="000000"/>
        </w:rPr>
        <w:t>Project 2010 Professional</w:t>
      </w:r>
    </w:p>
    <w:p w:rsidR="00685009" w:rsidRPr="00416070" w:rsidRDefault="00685009" w:rsidP="00685009">
      <w:r w:rsidRPr="00416070">
        <w:rPr>
          <w:color w:val="000000"/>
        </w:rPr>
        <w:t>Search Server 2010</w:t>
      </w:r>
    </w:p>
    <w:p w:rsidR="00685009" w:rsidRPr="008D38F6" w:rsidRDefault="00685009" w:rsidP="00685009">
      <w:pPr>
        <w:rPr>
          <w:lang w:val="fr-FR"/>
        </w:rPr>
      </w:pPr>
      <w:r w:rsidRPr="008D38F6">
        <w:rPr>
          <w:color w:val="000000"/>
          <w:lang w:val="fr-FR"/>
        </w:rPr>
        <w:t>SharePoint Server 2010 para Internet Sites Enterprise</w:t>
      </w:r>
    </w:p>
    <w:p w:rsidR="00685009" w:rsidRPr="00416070" w:rsidRDefault="00685009" w:rsidP="00685009">
      <w:r w:rsidRPr="00416070">
        <w:rPr>
          <w:color w:val="000000"/>
        </w:rPr>
        <w:t>SharePoint Server 2010 para Internet Sites Standard</w:t>
      </w:r>
    </w:p>
    <w:p w:rsidR="00685009" w:rsidRPr="00416070" w:rsidRDefault="00685009" w:rsidP="00685009">
      <w:r w:rsidRPr="00416070">
        <w:rPr>
          <w:color w:val="000000"/>
        </w:rPr>
        <w:t>SharePoint Workspace 2010</w:t>
      </w:r>
    </w:p>
    <w:p w:rsidR="00685009" w:rsidRPr="00416070" w:rsidRDefault="00685009" w:rsidP="00685009">
      <w:r w:rsidRPr="00416070">
        <w:rPr>
          <w:color w:val="000000"/>
        </w:rPr>
        <w:t>Visio 2010 Premium</w:t>
      </w:r>
    </w:p>
    <w:p w:rsidR="00685009" w:rsidRPr="00416070" w:rsidRDefault="00685009" w:rsidP="00685009">
      <w:r w:rsidRPr="00416070">
        <w:rPr>
          <w:color w:val="000000"/>
        </w:rPr>
        <w:t>Visio 2010 Standard</w:t>
      </w:r>
    </w:p>
    <w:p w:rsidR="00685009" w:rsidRPr="00416070" w:rsidRDefault="00685009" w:rsidP="00685009">
      <w:r w:rsidRPr="00416070">
        <w:rPr>
          <w:color w:val="000000"/>
        </w:rPr>
        <w:t>Windows Intune (Por Dispositivo)</w:t>
      </w:r>
    </w:p>
    <w:p w:rsidR="00685009" w:rsidRPr="00416070" w:rsidRDefault="00685009" w:rsidP="00685009">
      <w:r w:rsidRPr="00416070">
        <w:rPr>
          <w:color w:val="000000"/>
        </w:rPr>
        <w:t>Complemento do Windows Intune (Por Dispositivo)</w:t>
      </w:r>
    </w:p>
    <w:p w:rsidR="00685009" w:rsidRPr="00416070" w:rsidRDefault="00685009" w:rsidP="00685009">
      <w:r w:rsidRPr="00416070">
        <w:rPr>
          <w:color w:val="000000"/>
        </w:rPr>
        <w:t>Windows MultiPoint Server 2011 Standard</w:t>
      </w:r>
    </w:p>
    <w:p w:rsidR="00685009" w:rsidRPr="00416070" w:rsidRDefault="00685009" w:rsidP="00685009">
      <w:r w:rsidRPr="00416070">
        <w:rPr>
          <w:color w:val="000000"/>
        </w:rPr>
        <w:t>Windows MultiPoint Server 2011 Premium</w:t>
      </w:r>
    </w:p>
    <w:p w:rsidR="00685009" w:rsidRPr="00416070" w:rsidRDefault="00685009" w:rsidP="00685009">
      <w:r w:rsidRPr="00416070">
        <w:rPr>
          <w:color w:val="000000"/>
        </w:rPr>
        <w:t>CAL do Windows MultiPoint Server 2011</w:t>
      </w:r>
    </w:p>
    <w:p w:rsidR="00685009" w:rsidRPr="00416070" w:rsidRDefault="00685009" w:rsidP="00685009">
      <w:r w:rsidRPr="00416070">
        <w:rPr>
          <w:color w:val="000000"/>
        </w:rPr>
        <w:t>CAL do Windows MultiPoint Server 2011 com CAL do Windows Server 2008</w:t>
      </w:r>
    </w:p>
    <w:p w:rsidR="00685009" w:rsidRPr="00416070" w:rsidRDefault="00685009" w:rsidP="00685009">
      <w:r w:rsidRPr="00416070">
        <w:rPr>
          <w:color w:val="000000"/>
        </w:rPr>
        <w:t>Windows MultiPoint Server 2011 Premium com CAL do Windows MultiPoint Server 2011 (5 Clientes)</w:t>
      </w:r>
    </w:p>
    <w:p w:rsidR="00685009" w:rsidRPr="008D38F6" w:rsidRDefault="00685009" w:rsidP="00685009">
      <w:pPr>
        <w:rPr>
          <w:lang w:val="pt-BR"/>
        </w:rPr>
      </w:pPr>
      <w:r w:rsidRPr="008D38F6">
        <w:rPr>
          <w:color w:val="000000"/>
          <w:lang w:val="pt-BR"/>
        </w:rPr>
        <w:t>Windows MultiPoint Server 2011 Premium com CAL do Windows MultiPoint Server 2011 (5 Clientes) com</w:t>
      </w:r>
      <w:r w:rsidR="00D13AFD" w:rsidRPr="008D38F6">
        <w:rPr>
          <w:color w:val="000000"/>
          <w:lang w:val="pt-BR"/>
        </w:rPr>
        <w:t> </w:t>
      </w:r>
      <w:r w:rsidRPr="008D38F6">
        <w:rPr>
          <w:color w:val="000000"/>
          <w:lang w:val="pt-BR"/>
        </w:rPr>
        <w:t>CAL</w:t>
      </w:r>
      <w:r w:rsidR="00D13AFD" w:rsidRPr="008D38F6">
        <w:rPr>
          <w:color w:val="000000"/>
          <w:lang w:val="pt-BR"/>
        </w:rPr>
        <w:t> </w:t>
      </w:r>
      <w:r w:rsidRPr="008D38F6">
        <w:rPr>
          <w:color w:val="000000"/>
          <w:lang w:val="pt-BR"/>
        </w:rPr>
        <w:t>do</w:t>
      </w:r>
      <w:r w:rsidR="00D13AFD" w:rsidRPr="008D38F6">
        <w:rPr>
          <w:color w:val="000000"/>
          <w:lang w:val="pt-BR"/>
        </w:rPr>
        <w:t> </w:t>
      </w:r>
      <w:r w:rsidRPr="008D38F6">
        <w:rPr>
          <w:color w:val="000000"/>
          <w:lang w:val="pt-BR"/>
        </w:rPr>
        <w:t>Windows Server 2008 (5 Clientes)</w:t>
      </w:r>
    </w:p>
    <w:p w:rsidR="00685009" w:rsidRPr="008D38F6" w:rsidRDefault="00685009" w:rsidP="00685009">
      <w:pPr>
        <w:rPr>
          <w:lang w:val="pt-BR"/>
        </w:rPr>
      </w:pPr>
      <w:r w:rsidRPr="008D38F6">
        <w:rPr>
          <w:color w:val="000000"/>
          <w:lang w:val="pt-BR"/>
        </w:rPr>
        <w:t>Word 2010</w:t>
      </w:r>
    </w:p>
    <w:p w:rsidR="00173A20" w:rsidRPr="008D38F6" w:rsidRDefault="00173A20" w:rsidP="00173A20">
      <w:pPr>
        <w:rPr>
          <w:lang w:val="pt-BR"/>
        </w:rPr>
      </w:pPr>
    </w:p>
    <w:p w:rsidR="00A33CF7" w:rsidRPr="008D38F6" w:rsidRDefault="00A33CF7" w:rsidP="00173A20">
      <w:pPr>
        <w:rPr>
          <w:lang w:val="pt-BR"/>
        </w:rPr>
      </w:pPr>
    </w:p>
    <w:p w:rsidR="00E64830" w:rsidRPr="00416070" w:rsidRDefault="00E64830" w:rsidP="00E64830">
      <w:pPr>
        <w:pStyle w:val="Heading2"/>
        <w:ind w:left="0"/>
        <w:jc w:val="both"/>
      </w:pPr>
      <w:bookmarkStart w:id="626" w:name="_Toc352234244"/>
      <w:r w:rsidRPr="00416070">
        <w:rPr>
          <w:rFonts w:ascii="Tahoma" w:hAnsi="Tahoma" w:cs="Tahoma"/>
          <w:color w:val="FF6600"/>
        </w:rPr>
        <w:t>ALTERAÇÕES EM NOVEMBRO DE 2012</w:t>
      </w:r>
      <w:bookmarkEnd w:id="626"/>
    </w:p>
    <w:p w:rsidR="00E64830" w:rsidRPr="00416070" w:rsidRDefault="00E64830" w:rsidP="007B0DDA">
      <w:pPr>
        <w:pStyle w:val="Heading2"/>
        <w:ind w:left="0"/>
        <w:jc w:val="both"/>
        <w:rPr>
          <w:rFonts w:ascii="Tahoma" w:hAnsi="Tahoma" w:cs="Tahoma"/>
          <w:sz w:val="18"/>
          <w:szCs w:val="18"/>
        </w:rPr>
      </w:pPr>
    </w:p>
    <w:p w:rsidR="00E64830" w:rsidRPr="008D38F6" w:rsidRDefault="00E64830" w:rsidP="003E606C">
      <w:pPr>
        <w:spacing w:after="60"/>
        <w:rPr>
          <w:lang w:val="pt-BR"/>
        </w:rPr>
      </w:pPr>
      <w:r w:rsidRPr="008D38F6">
        <w:rPr>
          <w:b/>
          <w:lang w:val="pt-BR"/>
        </w:rPr>
        <w:t>Adições</w:t>
      </w:r>
    </w:p>
    <w:p w:rsidR="00E64830" w:rsidRPr="008D38F6" w:rsidRDefault="00E64830" w:rsidP="00C530A9">
      <w:pPr>
        <w:rPr>
          <w:lang w:val="pt-BR"/>
        </w:rPr>
      </w:pPr>
      <w:r w:rsidRPr="008D38F6">
        <w:rPr>
          <w:lang w:val="pt-BR"/>
        </w:rPr>
        <w:t>Microsoft Windows Server Essentials 2012</w:t>
      </w:r>
    </w:p>
    <w:p w:rsidR="00E64830" w:rsidRPr="008D38F6" w:rsidRDefault="00E64830" w:rsidP="00C530A9">
      <w:pPr>
        <w:rPr>
          <w:lang w:val="pt-BR"/>
        </w:rPr>
      </w:pPr>
      <w:r w:rsidRPr="008D38F6">
        <w:rPr>
          <w:lang w:val="pt-BR"/>
        </w:rPr>
        <w:t>Microsoft AutoRoute Euro 2013</w:t>
      </w:r>
    </w:p>
    <w:p w:rsidR="00E64830" w:rsidRPr="008D38F6" w:rsidRDefault="00E64830" w:rsidP="00C530A9">
      <w:pPr>
        <w:rPr>
          <w:lang w:val="pt-BR"/>
        </w:rPr>
      </w:pPr>
      <w:r w:rsidRPr="008D38F6">
        <w:rPr>
          <w:lang w:val="pt-BR"/>
        </w:rPr>
        <w:t>Microsoft Desktop Organization Pack 2012 para Software Assurance</w:t>
      </w:r>
    </w:p>
    <w:p w:rsidR="00E64830" w:rsidRPr="008D38F6" w:rsidRDefault="00E64830" w:rsidP="00C530A9">
      <w:pPr>
        <w:rPr>
          <w:lang w:val="pt-BR"/>
        </w:rPr>
      </w:pPr>
    </w:p>
    <w:p w:rsidR="00D24E3C" w:rsidRPr="008D38F6" w:rsidRDefault="00D24E3C" w:rsidP="003E606C">
      <w:pPr>
        <w:spacing w:after="60"/>
        <w:rPr>
          <w:lang w:val="pt-BR"/>
        </w:rPr>
      </w:pPr>
      <w:r w:rsidRPr="008D38F6">
        <w:rPr>
          <w:b/>
          <w:lang w:val="pt-BR"/>
        </w:rPr>
        <w:t>Promoções</w:t>
      </w:r>
    </w:p>
    <w:p w:rsidR="00D24E3C" w:rsidRPr="008D38F6" w:rsidRDefault="00D24E3C" w:rsidP="00E64830">
      <w:pPr>
        <w:rPr>
          <w:lang w:val="pt-BR"/>
        </w:rPr>
      </w:pPr>
      <w:r w:rsidRPr="008D38F6">
        <w:rPr>
          <w:color w:val="000000"/>
          <w:lang w:val="pt-BR"/>
        </w:rPr>
        <w:t>As seguintes promoções foram adicionadas:</w:t>
      </w:r>
    </w:p>
    <w:p w:rsidR="00D24E3C" w:rsidRPr="008D38F6" w:rsidRDefault="00D24E3C" w:rsidP="00E64830">
      <w:pPr>
        <w:rPr>
          <w:lang w:val="pt-BR"/>
        </w:rPr>
      </w:pPr>
      <w:r w:rsidRPr="008D38F6">
        <w:rPr>
          <w:color w:val="000000"/>
          <w:lang w:val="pt-BR"/>
        </w:rPr>
        <w:t>30% de Desconto na Atualização para o Visual Studio Premium com MSDN</w:t>
      </w:r>
    </w:p>
    <w:p w:rsidR="00D24E3C" w:rsidRPr="00416070" w:rsidRDefault="00D24E3C" w:rsidP="00ED2410">
      <w:r w:rsidRPr="00416070">
        <w:t>Step-up para Windows 8 com SA</w:t>
      </w:r>
    </w:p>
    <w:p w:rsidR="00D24E3C" w:rsidRPr="008D38F6" w:rsidRDefault="00D24E3C" w:rsidP="00ED2410">
      <w:pPr>
        <w:rPr>
          <w:lang w:val="pt-BR"/>
        </w:rPr>
      </w:pPr>
      <w:r w:rsidRPr="008D38F6">
        <w:rPr>
          <w:lang w:val="pt-BR"/>
        </w:rPr>
        <w:t>Promoção de 20% de Desconto para Novos Computadores com Windows Intune</w:t>
      </w:r>
    </w:p>
    <w:p w:rsidR="00D24E3C" w:rsidRPr="008D38F6" w:rsidRDefault="00D24E3C" w:rsidP="00E64830">
      <w:pPr>
        <w:rPr>
          <w:lang w:val="pt-BR"/>
        </w:rPr>
      </w:pPr>
    </w:p>
    <w:p w:rsidR="00E64830" w:rsidRPr="008D38F6" w:rsidRDefault="00E64830" w:rsidP="003E606C">
      <w:pPr>
        <w:spacing w:after="60"/>
        <w:rPr>
          <w:lang w:val="pt-BR"/>
        </w:rPr>
      </w:pPr>
      <w:r w:rsidRPr="008D38F6">
        <w:rPr>
          <w:b/>
          <w:lang w:val="pt-BR"/>
        </w:rPr>
        <w:t>Alterações</w:t>
      </w:r>
    </w:p>
    <w:p w:rsidR="00D24E3C" w:rsidRPr="008D38F6" w:rsidRDefault="00D8428A" w:rsidP="00E64830">
      <w:pPr>
        <w:rPr>
          <w:lang w:val="pt-BR"/>
        </w:rPr>
      </w:pPr>
      <w:r w:rsidRPr="008D38F6">
        <w:rPr>
          <w:color w:val="000000"/>
          <w:lang w:val="pt-BR"/>
        </w:rPr>
        <w:t>Foram feitas atualizações nos seguintes produtos:</w:t>
      </w:r>
    </w:p>
    <w:p w:rsidR="003A5ABA" w:rsidRPr="00416070" w:rsidRDefault="00D8428A" w:rsidP="00E64830">
      <w:r w:rsidRPr="00416070">
        <w:rPr>
          <w:color w:val="000000"/>
        </w:rPr>
        <w:t>Microsoft Desktop Optimization Pack</w:t>
      </w:r>
    </w:p>
    <w:p w:rsidR="000225E7" w:rsidRPr="00416070" w:rsidRDefault="000225E7" w:rsidP="00C530A9"/>
    <w:p w:rsidR="00E64830" w:rsidRPr="00416070" w:rsidRDefault="00E64830" w:rsidP="003E606C">
      <w:pPr>
        <w:spacing w:after="60"/>
      </w:pPr>
      <w:r w:rsidRPr="00416070">
        <w:rPr>
          <w:b/>
        </w:rPr>
        <w:t>Exclusões</w:t>
      </w:r>
    </w:p>
    <w:p w:rsidR="00E64830" w:rsidRPr="00416070" w:rsidRDefault="00E64830" w:rsidP="00C530A9">
      <w:r w:rsidRPr="00416070">
        <w:t>Windows Small Business Server Essentials 2011</w:t>
      </w:r>
    </w:p>
    <w:p w:rsidR="00E64830" w:rsidRPr="008D38F6" w:rsidRDefault="00E64830" w:rsidP="00C530A9">
      <w:pPr>
        <w:rPr>
          <w:lang w:val="pt-BR"/>
        </w:rPr>
      </w:pPr>
      <w:r w:rsidRPr="008D38F6">
        <w:rPr>
          <w:lang w:val="pt-BR"/>
        </w:rPr>
        <w:t>AutoRoute 2011</w:t>
      </w:r>
    </w:p>
    <w:p w:rsidR="00E64830" w:rsidRPr="008D38F6" w:rsidRDefault="00E64830" w:rsidP="00C530A9">
      <w:pPr>
        <w:rPr>
          <w:lang w:val="pt-BR"/>
        </w:rPr>
      </w:pPr>
      <w:r w:rsidRPr="008D38F6">
        <w:rPr>
          <w:lang w:val="pt-BR"/>
        </w:rPr>
        <w:t>Microsoft Desktop Optimization Pack 2011 R2 para Software Assurance</w:t>
      </w:r>
    </w:p>
    <w:p w:rsidR="008302F4" w:rsidRPr="008D38F6" w:rsidRDefault="008302F4" w:rsidP="008302F4">
      <w:pPr>
        <w:rPr>
          <w:lang w:val="pt-BR" w:eastAsia="x-none"/>
        </w:rPr>
      </w:pPr>
    </w:p>
    <w:p w:rsidR="008302F4" w:rsidRPr="008D38F6" w:rsidRDefault="008302F4" w:rsidP="008302F4">
      <w:pPr>
        <w:rPr>
          <w:lang w:val="pt-BR" w:eastAsia="x-none"/>
        </w:rPr>
      </w:pPr>
    </w:p>
    <w:p w:rsidR="007B0DDA" w:rsidRPr="00416070" w:rsidRDefault="007B0DDA" w:rsidP="007B0DDA">
      <w:pPr>
        <w:pStyle w:val="Heading2"/>
        <w:ind w:left="0"/>
        <w:jc w:val="both"/>
      </w:pPr>
      <w:bookmarkStart w:id="627" w:name="_Toc336338169"/>
      <w:bookmarkStart w:id="628" w:name="_Toc352234245"/>
      <w:r w:rsidRPr="00416070">
        <w:rPr>
          <w:rFonts w:ascii="Tahoma" w:hAnsi="Tahoma" w:cs="Tahoma"/>
          <w:color w:val="FF6600"/>
        </w:rPr>
        <w:t>ALTERAÇÕES EM OUTUBRO DE 2012</w:t>
      </w:r>
      <w:bookmarkEnd w:id="627"/>
      <w:bookmarkEnd w:id="628"/>
    </w:p>
    <w:p w:rsidR="007B0DDA" w:rsidRPr="008D38F6" w:rsidRDefault="007B0DDA" w:rsidP="007B0DDA">
      <w:pPr>
        <w:rPr>
          <w:b/>
          <w:lang w:val="pt-BR"/>
        </w:rPr>
      </w:pPr>
    </w:p>
    <w:p w:rsidR="007B0DDA" w:rsidRPr="008D38F6" w:rsidRDefault="007B0DDA" w:rsidP="003E606C">
      <w:pPr>
        <w:spacing w:after="60"/>
        <w:rPr>
          <w:lang w:val="pt-BR"/>
        </w:rPr>
      </w:pPr>
      <w:r w:rsidRPr="008D38F6">
        <w:rPr>
          <w:b/>
          <w:lang w:val="pt-BR"/>
        </w:rPr>
        <w:t>Adições</w:t>
      </w:r>
    </w:p>
    <w:p w:rsidR="007B0DDA" w:rsidRPr="008D38F6" w:rsidRDefault="00AD19DE" w:rsidP="007B0DDA">
      <w:pPr>
        <w:rPr>
          <w:lang w:val="pt-BR"/>
        </w:rPr>
      </w:pPr>
      <w:r w:rsidRPr="008D38F6">
        <w:rPr>
          <w:rFonts w:cs="Tahoma"/>
          <w:color w:val="000000"/>
          <w:szCs w:val="20"/>
          <w:lang w:val="pt-BR"/>
        </w:rPr>
        <w:t>Licença de Assinatura do Windows Companion</w:t>
      </w:r>
    </w:p>
    <w:p w:rsidR="007B0DDA" w:rsidRPr="008D38F6" w:rsidRDefault="007B0DDA" w:rsidP="007B0DDA">
      <w:pPr>
        <w:rPr>
          <w:lang w:val="pt-BR"/>
        </w:rPr>
      </w:pPr>
    </w:p>
    <w:p w:rsidR="007B0DDA" w:rsidRPr="008D38F6" w:rsidRDefault="007B0DDA" w:rsidP="003E606C">
      <w:pPr>
        <w:spacing w:after="60"/>
        <w:rPr>
          <w:lang w:val="pt-BR"/>
        </w:rPr>
      </w:pPr>
      <w:r w:rsidRPr="008D38F6">
        <w:rPr>
          <w:b/>
          <w:lang w:val="pt-BR"/>
        </w:rPr>
        <w:t>Alterações</w:t>
      </w:r>
    </w:p>
    <w:p w:rsidR="007B0DDA" w:rsidRPr="008D38F6" w:rsidRDefault="007B0DDA" w:rsidP="007B0DDA">
      <w:pPr>
        <w:rPr>
          <w:lang w:val="pt-BR"/>
        </w:rPr>
      </w:pPr>
      <w:r w:rsidRPr="008D38F6">
        <w:rPr>
          <w:rFonts w:cs="Tahoma"/>
          <w:color w:val="000000"/>
          <w:szCs w:val="20"/>
          <w:lang w:val="pt-BR"/>
        </w:rPr>
        <w:t>Os valores de ponto foram alterados para os seguintes produtos:</w:t>
      </w:r>
    </w:p>
    <w:p w:rsidR="007B0DDA" w:rsidRPr="008D38F6" w:rsidRDefault="007B0DDA" w:rsidP="007B0DDA">
      <w:pPr>
        <w:rPr>
          <w:lang w:val="fr-FR"/>
        </w:rPr>
      </w:pPr>
      <w:r w:rsidRPr="008D38F6">
        <w:rPr>
          <w:rFonts w:cs="Tahoma"/>
          <w:color w:val="000000"/>
          <w:szCs w:val="20"/>
          <w:lang w:val="fr-FR"/>
        </w:rPr>
        <w:t>Core Infrastructure Server Suite Datacenter</w:t>
      </w:r>
    </w:p>
    <w:p w:rsidR="007B0DDA" w:rsidRPr="008D38F6" w:rsidRDefault="007B0DDA" w:rsidP="007B0DDA">
      <w:pPr>
        <w:rPr>
          <w:lang w:val="fr-FR"/>
        </w:rPr>
      </w:pPr>
      <w:r w:rsidRPr="008D38F6">
        <w:rPr>
          <w:rFonts w:cs="Tahoma"/>
          <w:color w:val="000000"/>
          <w:szCs w:val="20"/>
          <w:lang w:val="fr-FR"/>
        </w:rPr>
        <w:t>Core Infrastructure Server Suite Standard</w:t>
      </w:r>
    </w:p>
    <w:p w:rsidR="007B0DDA" w:rsidRPr="008D38F6" w:rsidRDefault="007B0DDA" w:rsidP="007B0DDA">
      <w:pPr>
        <w:rPr>
          <w:lang w:val="pt-BR"/>
        </w:rPr>
      </w:pPr>
      <w:r w:rsidRPr="008D38F6">
        <w:rPr>
          <w:rFonts w:cs="Tahoma"/>
          <w:color w:val="000000"/>
          <w:szCs w:val="20"/>
          <w:lang w:val="pt-BR"/>
        </w:rPr>
        <w:t>Licença de Gerenciamento do System Center 2012 Standard Server (2 processadores)</w:t>
      </w:r>
    </w:p>
    <w:p w:rsidR="007B0DDA" w:rsidRPr="008D38F6" w:rsidRDefault="007B0DDA" w:rsidP="007B0DDA">
      <w:pPr>
        <w:rPr>
          <w:lang w:val="pt-BR"/>
        </w:rPr>
      </w:pPr>
      <w:r w:rsidRPr="008D38F6">
        <w:rPr>
          <w:rFonts w:cs="Tahoma"/>
          <w:color w:val="000000"/>
          <w:szCs w:val="20"/>
          <w:lang w:val="pt-BR"/>
        </w:rPr>
        <w:lastRenderedPageBreak/>
        <w:t>Licença de Gerenciamento do System Center 2012 Datacenter Server (2 processadores)</w:t>
      </w:r>
    </w:p>
    <w:p w:rsidR="007B0DDA" w:rsidRPr="008D38F6" w:rsidRDefault="007B0DDA" w:rsidP="007B0DDA">
      <w:pPr>
        <w:rPr>
          <w:lang w:val="pt-BR"/>
        </w:rPr>
      </w:pPr>
      <w:r w:rsidRPr="008D38F6">
        <w:rPr>
          <w:rFonts w:cs="Tahoma"/>
          <w:color w:val="000000"/>
          <w:szCs w:val="20"/>
          <w:lang w:val="pt-BR"/>
        </w:rPr>
        <w:t>System Center Configuration Manager 2007 R3</w:t>
      </w:r>
    </w:p>
    <w:p w:rsidR="007B0DDA" w:rsidRPr="008D38F6" w:rsidRDefault="007B0DDA" w:rsidP="007B0DDA">
      <w:pPr>
        <w:rPr>
          <w:lang w:val="pt-BR"/>
        </w:rPr>
      </w:pPr>
      <w:r w:rsidRPr="008D38F6">
        <w:rPr>
          <w:rFonts w:cs="Tahoma"/>
          <w:color w:val="000000"/>
          <w:szCs w:val="20"/>
          <w:lang w:val="pt-BR"/>
        </w:rPr>
        <w:t xml:space="preserve">Licença de Gerenciamento de Servidor do System Center Configuration Manager 2007 R3 Enterprise </w:t>
      </w:r>
    </w:p>
    <w:p w:rsidR="007B0DDA" w:rsidRPr="008D38F6" w:rsidRDefault="007B0DDA" w:rsidP="007B0DDA">
      <w:pPr>
        <w:rPr>
          <w:lang w:val="pt-BR"/>
        </w:rPr>
      </w:pPr>
      <w:r w:rsidRPr="008D38F6">
        <w:rPr>
          <w:rFonts w:cs="Tahoma"/>
          <w:color w:val="000000"/>
          <w:szCs w:val="20"/>
          <w:lang w:val="pt-BR"/>
        </w:rPr>
        <w:t>Licença de Gerenciamento de Servidor Standard (ML de Servidor Standard) do System</w:t>
      </w:r>
      <w:r w:rsidR="008302F4" w:rsidRPr="008D38F6">
        <w:rPr>
          <w:rFonts w:cs="Tahoma"/>
          <w:color w:val="000000"/>
          <w:szCs w:val="20"/>
          <w:lang w:val="pt-BR"/>
        </w:rPr>
        <w:t> </w:t>
      </w:r>
      <w:r w:rsidRPr="008D38F6">
        <w:rPr>
          <w:rFonts w:cs="Tahoma"/>
          <w:color w:val="000000"/>
          <w:szCs w:val="20"/>
          <w:lang w:val="pt-BR"/>
        </w:rPr>
        <w:t>Center</w:t>
      </w:r>
      <w:r w:rsidR="008302F4" w:rsidRPr="008D38F6">
        <w:rPr>
          <w:rFonts w:cs="Tahoma"/>
          <w:color w:val="000000"/>
          <w:szCs w:val="20"/>
          <w:lang w:val="pt-BR"/>
        </w:rPr>
        <w:t> </w:t>
      </w:r>
      <w:r w:rsidRPr="008D38F6">
        <w:rPr>
          <w:rFonts w:cs="Tahoma"/>
          <w:color w:val="000000"/>
          <w:szCs w:val="20"/>
          <w:lang w:val="pt-BR"/>
        </w:rPr>
        <w:t>Configuration</w:t>
      </w:r>
      <w:r w:rsidR="008302F4" w:rsidRPr="008D38F6">
        <w:rPr>
          <w:rFonts w:cs="Tahoma"/>
          <w:color w:val="000000"/>
          <w:szCs w:val="20"/>
          <w:lang w:val="pt-BR"/>
        </w:rPr>
        <w:t> </w:t>
      </w:r>
      <w:r w:rsidRPr="008D38F6">
        <w:rPr>
          <w:rFonts w:cs="Tahoma"/>
          <w:color w:val="000000"/>
          <w:szCs w:val="20"/>
          <w:lang w:val="pt-BR"/>
        </w:rPr>
        <w:t>Manager</w:t>
      </w:r>
      <w:r w:rsidR="008302F4" w:rsidRPr="008D38F6">
        <w:rPr>
          <w:rFonts w:cs="Tahoma"/>
          <w:color w:val="000000"/>
          <w:szCs w:val="20"/>
          <w:lang w:val="pt-BR"/>
        </w:rPr>
        <w:t> </w:t>
      </w:r>
      <w:r w:rsidRPr="008D38F6">
        <w:rPr>
          <w:rFonts w:cs="Tahoma"/>
          <w:color w:val="000000"/>
          <w:szCs w:val="20"/>
          <w:lang w:val="pt-BR"/>
        </w:rPr>
        <w:t>2007 R3)</w:t>
      </w:r>
    </w:p>
    <w:p w:rsidR="007B0DDA" w:rsidRPr="008D38F6" w:rsidRDefault="007B0DDA" w:rsidP="007B0DDA">
      <w:pPr>
        <w:rPr>
          <w:lang w:val="pt-BR"/>
        </w:rPr>
      </w:pPr>
      <w:r w:rsidRPr="008D38F6">
        <w:rPr>
          <w:rFonts w:cs="Tahoma"/>
          <w:color w:val="000000"/>
          <w:szCs w:val="20"/>
          <w:lang w:val="pt-BR"/>
        </w:rPr>
        <w:t>System Center Configuration Manager 2007 R3 com Tecnologia SQL Server 2008</w:t>
      </w:r>
    </w:p>
    <w:p w:rsidR="007B0DDA" w:rsidRPr="008D38F6" w:rsidRDefault="007B0DDA" w:rsidP="007B0DDA">
      <w:pPr>
        <w:rPr>
          <w:lang w:val="pt-BR"/>
        </w:rPr>
      </w:pPr>
      <w:r w:rsidRPr="008D38F6">
        <w:rPr>
          <w:rFonts w:cs="Tahoma"/>
          <w:color w:val="000000"/>
          <w:szCs w:val="20"/>
          <w:lang w:val="pt-BR"/>
        </w:rPr>
        <w:t>Licença de Gerenciamento de Cliente do System Center Data Protection Manager 2010 por Usuário</w:t>
      </w:r>
    </w:p>
    <w:p w:rsidR="007B0DDA" w:rsidRPr="008D38F6" w:rsidRDefault="007B0DDA" w:rsidP="007B0DDA">
      <w:pPr>
        <w:rPr>
          <w:lang w:val="pt-BR"/>
        </w:rPr>
      </w:pPr>
      <w:r w:rsidRPr="008D38F6">
        <w:rPr>
          <w:rFonts w:cs="Tahoma"/>
          <w:color w:val="000000"/>
          <w:szCs w:val="20"/>
          <w:lang w:val="pt-BR"/>
        </w:rPr>
        <w:t>Licença de Gerenciamento de Cliente do System Center Data Protection Manager 2010 por OSE</w:t>
      </w:r>
    </w:p>
    <w:p w:rsidR="007B0DDA" w:rsidRPr="008D38F6" w:rsidRDefault="007B0DDA" w:rsidP="007B0DDA">
      <w:pPr>
        <w:rPr>
          <w:lang w:val="pt-BR"/>
        </w:rPr>
      </w:pPr>
      <w:r w:rsidRPr="008D38F6">
        <w:rPr>
          <w:rFonts w:cs="Tahoma"/>
          <w:color w:val="000000"/>
          <w:szCs w:val="20"/>
          <w:lang w:val="pt-BR"/>
        </w:rPr>
        <w:t xml:space="preserve">Licença de Gerenciamento de Servidor Enterprise do System Center Data Protection Manager 2010 </w:t>
      </w:r>
    </w:p>
    <w:p w:rsidR="007B0DDA" w:rsidRPr="008D38F6" w:rsidRDefault="007B0DDA" w:rsidP="007B0DDA">
      <w:pPr>
        <w:rPr>
          <w:lang w:val="pt-BR"/>
        </w:rPr>
      </w:pPr>
      <w:r w:rsidRPr="008D38F6">
        <w:rPr>
          <w:rFonts w:cs="Tahoma"/>
          <w:color w:val="000000"/>
          <w:szCs w:val="20"/>
          <w:lang w:val="pt-BR"/>
        </w:rPr>
        <w:t xml:space="preserve">Licença de Gerenciamento de Servidor Standard do System Center Data Protection Manager 2010 </w:t>
      </w:r>
    </w:p>
    <w:p w:rsidR="007B0DDA" w:rsidRPr="008D38F6" w:rsidRDefault="007B0DDA" w:rsidP="007B0DDA">
      <w:pPr>
        <w:rPr>
          <w:lang w:val="pt-BR"/>
        </w:rPr>
      </w:pPr>
      <w:r w:rsidRPr="008D38F6">
        <w:rPr>
          <w:rFonts w:cs="Tahoma"/>
          <w:color w:val="000000"/>
          <w:szCs w:val="20"/>
          <w:lang w:val="pt-BR"/>
        </w:rPr>
        <w:t>System Center Operations Manager 2007 R2</w:t>
      </w:r>
    </w:p>
    <w:p w:rsidR="007B0DDA" w:rsidRPr="008D38F6" w:rsidRDefault="007B0DDA" w:rsidP="007B0DDA">
      <w:pPr>
        <w:rPr>
          <w:lang w:val="pt-BR"/>
        </w:rPr>
      </w:pPr>
      <w:r w:rsidRPr="008D38F6">
        <w:rPr>
          <w:rFonts w:cs="Tahoma"/>
          <w:color w:val="000000"/>
          <w:szCs w:val="20"/>
          <w:lang w:val="pt-BR"/>
        </w:rPr>
        <w:t>System Center Operations Manager 2007 R2 com Tecnologia SQL Server 2008</w:t>
      </w:r>
    </w:p>
    <w:p w:rsidR="007B0DDA" w:rsidRPr="008D38F6" w:rsidRDefault="007B0DDA" w:rsidP="007B0DDA">
      <w:pPr>
        <w:rPr>
          <w:lang w:val="pt-BR"/>
        </w:rPr>
      </w:pPr>
      <w:r w:rsidRPr="008D38F6">
        <w:rPr>
          <w:rFonts w:cs="Tahoma"/>
          <w:color w:val="000000"/>
          <w:szCs w:val="20"/>
          <w:lang w:val="pt-BR"/>
        </w:rPr>
        <w:t xml:space="preserve">Licença de Gerenciamento de Servidor Standard do System Center Operations Manager 2007 R2 </w:t>
      </w:r>
    </w:p>
    <w:p w:rsidR="007B0DDA" w:rsidRPr="008D38F6" w:rsidRDefault="007B0DDA" w:rsidP="007B0DDA">
      <w:pPr>
        <w:rPr>
          <w:lang w:val="pt-BR"/>
        </w:rPr>
      </w:pPr>
      <w:r w:rsidRPr="008D38F6">
        <w:rPr>
          <w:rFonts w:cs="Tahoma"/>
          <w:color w:val="000000"/>
          <w:szCs w:val="20"/>
          <w:lang w:val="pt-BR"/>
        </w:rPr>
        <w:t xml:space="preserve">Licença de Gerenciamento de Servidor Enterprise do System Center Operations Manager 2007 R2 </w:t>
      </w:r>
    </w:p>
    <w:p w:rsidR="007B0DDA" w:rsidRPr="008D38F6" w:rsidRDefault="007B0DDA" w:rsidP="007B0DDA">
      <w:pPr>
        <w:rPr>
          <w:lang w:val="pt-BR"/>
        </w:rPr>
      </w:pPr>
      <w:r w:rsidRPr="008D38F6">
        <w:rPr>
          <w:rFonts w:cs="Tahoma"/>
          <w:color w:val="000000"/>
          <w:szCs w:val="20"/>
          <w:lang w:val="pt-BR"/>
        </w:rPr>
        <w:t>Licença de Gerenciamento de Cliente do System Center Operations Manager 2007 R2 por OSE</w:t>
      </w:r>
    </w:p>
    <w:p w:rsidR="007B0DDA" w:rsidRPr="008D38F6" w:rsidRDefault="007B0DDA" w:rsidP="007B0DDA">
      <w:pPr>
        <w:rPr>
          <w:lang w:val="pt-BR"/>
        </w:rPr>
      </w:pPr>
      <w:r w:rsidRPr="008D38F6">
        <w:rPr>
          <w:rFonts w:cs="Tahoma"/>
          <w:color w:val="000000"/>
          <w:szCs w:val="20"/>
          <w:lang w:val="pt-BR"/>
        </w:rPr>
        <w:t>Licença de Gerenciamento de Cliente do System Center Operations Manager 2007 R2 por Usuário</w:t>
      </w:r>
    </w:p>
    <w:p w:rsidR="007B0DDA" w:rsidRPr="008D38F6" w:rsidRDefault="007B0DDA" w:rsidP="007B0DDA">
      <w:pPr>
        <w:rPr>
          <w:lang w:val="pt-BR"/>
        </w:rPr>
      </w:pPr>
      <w:r w:rsidRPr="008D38F6">
        <w:rPr>
          <w:rFonts w:cs="Tahoma"/>
          <w:color w:val="000000"/>
          <w:szCs w:val="20"/>
          <w:lang w:val="pt-BR"/>
        </w:rPr>
        <w:t xml:space="preserve">System Center Server Management Suite Enterprise </w:t>
      </w:r>
    </w:p>
    <w:p w:rsidR="007B0DDA" w:rsidRPr="008D38F6" w:rsidRDefault="007B0DDA" w:rsidP="007B0DDA">
      <w:pPr>
        <w:rPr>
          <w:lang w:val="pt-BR"/>
        </w:rPr>
      </w:pPr>
      <w:r w:rsidRPr="008D38F6">
        <w:rPr>
          <w:rFonts w:cs="Tahoma"/>
          <w:color w:val="000000"/>
          <w:szCs w:val="20"/>
          <w:lang w:val="pt-BR"/>
        </w:rPr>
        <w:t>System Center Server Management Suite Datacenter</w:t>
      </w:r>
    </w:p>
    <w:p w:rsidR="007B0DDA" w:rsidRPr="008D38F6" w:rsidRDefault="007B0DDA" w:rsidP="007B0DDA">
      <w:pPr>
        <w:rPr>
          <w:lang w:val="pt-BR"/>
        </w:rPr>
      </w:pPr>
      <w:r w:rsidRPr="008D38F6">
        <w:rPr>
          <w:rFonts w:cs="Tahoma"/>
          <w:color w:val="000000"/>
          <w:szCs w:val="20"/>
          <w:lang w:val="pt-BR"/>
        </w:rPr>
        <w:t>System Center Service Manager 2010</w:t>
      </w:r>
    </w:p>
    <w:p w:rsidR="007B0DDA" w:rsidRPr="008D38F6" w:rsidRDefault="007B0DDA" w:rsidP="007B0DDA">
      <w:pPr>
        <w:rPr>
          <w:lang w:val="pt-BR"/>
        </w:rPr>
      </w:pPr>
      <w:r w:rsidRPr="008D38F6">
        <w:rPr>
          <w:rFonts w:cs="Tahoma"/>
          <w:color w:val="000000"/>
          <w:szCs w:val="20"/>
          <w:lang w:val="pt-BR"/>
        </w:rPr>
        <w:t>System Center Service Manager 2010 com Tecnologia SQL Server 2008</w:t>
      </w:r>
    </w:p>
    <w:p w:rsidR="007B0DDA" w:rsidRPr="008D38F6" w:rsidRDefault="007B0DDA" w:rsidP="007B0DDA">
      <w:pPr>
        <w:rPr>
          <w:lang w:val="pt-BR"/>
        </w:rPr>
      </w:pPr>
      <w:r w:rsidRPr="008D38F6">
        <w:rPr>
          <w:rFonts w:cs="Tahoma"/>
          <w:color w:val="000000"/>
          <w:szCs w:val="20"/>
          <w:lang w:val="pt-BR"/>
        </w:rPr>
        <w:t>Licença de Gerenciamento de Cliente (ML de Cliente) do System Center Service Manager 2010 por OSE</w:t>
      </w:r>
    </w:p>
    <w:p w:rsidR="007B0DDA" w:rsidRPr="008D38F6" w:rsidRDefault="007B0DDA" w:rsidP="007B0DDA">
      <w:pPr>
        <w:rPr>
          <w:lang w:val="pt-BR"/>
        </w:rPr>
      </w:pPr>
      <w:r w:rsidRPr="008D38F6">
        <w:rPr>
          <w:rFonts w:cs="Tahoma"/>
          <w:color w:val="000000"/>
          <w:szCs w:val="20"/>
          <w:lang w:val="pt-BR"/>
        </w:rPr>
        <w:t>Licença de Gerenciamento de Cliente (ML de Cliente) do System Center Service Manager 2010 por Usuário</w:t>
      </w:r>
    </w:p>
    <w:p w:rsidR="007B0DDA" w:rsidRPr="008D38F6" w:rsidRDefault="007B0DDA" w:rsidP="007B0DDA">
      <w:pPr>
        <w:rPr>
          <w:lang w:val="pt-BR"/>
        </w:rPr>
      </w:pPr>
      <w:r w:rsidRPr="008D38F6">
        <w:rPr>
          <w:rFonts w:cs="Tahoma"/>
          <w:color w:val="000000"/>
          <w:szCs w:val="20"/>
          <w:lang w:val="pt-BR"/>
        </w:rPr>
        <w:t>Licença de Gerenciamento de Servidor (ML de Servidor) do System Center Service Manager 2010 por OSE</w:t>
      </w:r>
    </w:p>
    <w:p w:rsidR="007B0DDA" w:rsidRPr="008D38F6" w:rsidRDefault="007B0DDA" w:rsidP="007B0DDA">
      <w:pPr>
        <w:rPr>
          <w:lang w:val="pt-BR"/>
        </w:rPr>
      </w:pPr>
      <w:r w:rsidRPr="008D38F6">
        <w:rPr>
          <w:rFonts w:cs="Tahoma"/>
          <w:color w:val="000000"/>
          <w:szCs w:val="20"/>
          <w:lang w:val="pt-BR"/>
        </w:rPr>
        <w:t>Licença de Gerenciamento de Cliente do System Center Virtual Machine Manager 2008 R2 por OSE</w:t>
      </w:r>
    </w:p>
    <w:p w:rsidR="007B0DDA" w:rsidRPr="008D38F6" w:rsidRDefault="007B0DDA" w:rsidP="007B0DDA">
      <w:pPr>
        <w:rPr>
          <w:lang w:val="pt-BR"/>
        </w:rPr>
      </w:pPr>
      <w:r w:rsidRPr="008D38F6">
        <w:rPr>
          <w:rFonts w:cs="Tahoma"/>
          <w:color w:val="000000"/>
          <w:szCs w:val="20"/>
          <w:lang w:val="pt-BR"/>
        </w:rPr>
        <w:t>Licença de Gerenciamento de Cliente do System Center Virtual Machine Manager 2008 R2 por Usuário</w:t>
      </w:r>
    </w:p>
    <w:p w:rsidR="007B0DDA" w:rsidRPr="008D38F6" w:rsidRDefault="007B0DDA" w:rsidP="007B0DDA">
      <w:pPr>
        <w:rPr>
          <w:lang w:val="pt-BR"/>
        </w:rPr>
      </w:pPr>
      <w:r w:rsidRPr="008D38F6">
        <w:rPr>
          <w:rFonts w:cs="Tahoma"/>
          <w:color w:val="000000"/>
          <w:szCs w:val="20"/>
          <w:lang w:val="pt-BR"/>
        </w:rPr>
        <w:t>Licença de Gerenciamento de Servidor Enterprise do System Center Virtual Machine Manager 2008 R2</w:t>
      </w:r>
    </w:p>
    <w:p w:rsidR="007B0DDA" w:rsidRPr="008D38F6" w:rsidRDefault="007B0DDA" w:rsidP="007B0DDA">
      <w:pPr>
        <w:rPr>
          <w:lang w:val="pt-BR"/>
        </w:rPr>
      </w:pPr>
    </w:p>
    <w:p w:rsidR="007B0DDA" w:rsidRPr="008D38F6" w:rsidRDefault="007B0DDA" w:rsidP="003E606C">
      <w:pPr>
        <w:spacing w:after="60"/>
        <w:rPr>
          <w:lang w:val="fr-FR"/>
        </w:rPr>
      </w:pPr>
      <w:r w:rsidRPr="008D38F6">
        <w:rPr>
          <w:b/>
          <w:lang w:val="fr-FR"/>
        </w:rPr>
        <w:t>Exclusões</w:t>
      </w:r>
    </w:p>
    <w:p w:rsidR="007B0DDA" w:rsidRPr="008D38F6" w:rsidRDefault="007B0DDA" w:rsidP="007B0DDA">
      <w:pPr>
        <w:rPr>
          <w:lang w:val="fr-FR"/>
        </w:rPr>
      </w:pPr>
      <w:r w:rsidRPr="008D38F6">
        <w:rPr>
          <w:color w:val="000000"/>
          <w:lang w:val="fr-FR"/>
        </w:rPr>
        <w:t>System Center Mobile Device Manager 2008</w:t>
      </w:r>
    </w:p>
    <w:p w:rsidR="00B20EAC" w:rsidRPr="008D38F6" w:rsidRDefault="00B20EAC" w:rsidP="007B0DDA">
      <w:pPr>
        <w:rPr>
          <w:lang w:val="fr-FR"/>
        </w:rPr>
      </w:pPr>
      <w:r w:rsidRPr="008D38F6">
        <w:rPr>
          <w:color w:val="000000"/>
          <w:lang w:val="fr-FR"/>
        </w:rPr>
        <w:t>Database Consolidation Appliance 2012</w:t>
      </w:r>
    </w:p>
    <w:p w:rsidR="00593FBD" w:rsidRPr="008D38F6" w:rsidRDefault="00593FBD" w:rsidP="00593FBD">
      <w:pPr>
        <w:ind w:right="720"/>
        <w:rPr>
          <w:b/>
          <w:lang w:val="fr-FR"/>
        </w:rPr>
      </w:pPr>
    </w:p>
    <w:p w:rsidR="00A31A6D" w:rsidRPr="008D38F6" w:rsidRDefault="00A31A6D" w:rsidP="00593FBD">
      <w:pPr>
        <w:ind w:right="720"/>
        <w:rPr>
          <w:b/>
          <w:lang w:val="fr-FR"/>
        </w:rPr>
      </w:pPr>
    </w:p>
    <w:p w:rsidR="00593FBD" w:rsidRPr="00416070" w:rsidRDefault="003D1247" w:rsidP="00593FBD">
      <w:pPr>
        <w:pStyle w:val="Heading2"/>
        <w:ind w:left="0"/>
        <w:jc w:val="both"/>
      </w:pPr>
      <w:bookmarkStart w:id="629" w:name="_Toc336338170"/>
      <w:bookmarkStart w:id="630" w:name="_Toc352234246"/>
      <w:r w:rsidRPr="00416070">
        <w:rPr>
          <w:rFonts w:ascii="Tahoma" w:hAnsi="Tahoma" w:cs="Tahoma"/>
          <w:color w:val="FF6600"/>
        </w:rPr>
        <w:t>ALTERAÇÕES EM SETEMBRO DE 2012</w:t>
      </w:r>
      <w:bookmarkEnd w:id="629"/>
      <w:bookmarkEnd w:id="630"/>
    </w:p>
    <w:p w:rsidR="007B0DDA" w:rsidRPr="008D38F6" w:rsidRDefault="007B0DDA">
      <w:pPr>
        <w:ind w:right="720"/>
        <w:rPr>
          <w:b/>
          <w:lang w:val="pt-BR"/>
        </w:rPr>
      </w:pPr>
    </w:p>
    <w:p w:rsidR="00593FBD" w:rsidRPr="008D38F6" w:rsidRDefault="00593FBD" w:rsidP="003E606C">
      <w:pPr>
        <w:spacing w:after="60"/>
        <w:rPr>
          <w:lang w:val="pt-BR"/>
        </w:rPr>
      </w:pPr>
      <w:r w:rsidRPr="008D38F6">
        <w:rPr>
          <w:b/>
          <w:lang w:val="pt-BR"/>
        </w:rPr>
        <w:t>Adições</w:t>
      </w:r>
    </w:p>
    <w:p w:rsidR="00593FBD" w:rsidRPr="008D38F6" w:rsidRDefault="00593FBD"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Professional 2012</w:t>
      </w:r>
    </w:p>
    <w:p w:rsidR="00593FBD" w:rsidRPr="008D38F6" w:rsidRDefault="00593FBD"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Professional 2012 com MSDN</w:t>
      </w:r>
    </w:p>
    <w:p w:rsidR="00593FBD" w:rsidRPr="008D38F6" w:rsidRDefault="00CB0262"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Premium 2012 com MSDN</w:t>
      </w:r>
    </w:p>
    <w:p w:rsidR="00CB0262" w:rsidRPr="008D38F6" w:rsidRDefault="00CB0262"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Ultimate 2012 com MSDN</w:t>
      </w:r>
    </w:p>
    <w:p w:rsidR="00593FBD" w:rsidRPr="008D38F6" w:rsidRDefault="00CB0262"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Test Professional 2012 com MSDN</w:t>
      </w:r>
    </w:p>
    <w:p w:rsidR="00593FBD" w:rsidRPr="008D38F6" w:rsidRDefault="00CB0262"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Team Foundation Server 2012 com Tecnologia SQL Server 2012</w:t>
      </w:r>
    </w:p>
    <w:p w:rsidR="00CB0262" w:rsidRPr="008D38F6" w:rsidRDefault="00CB0262" w:rsidP="00EF4590">
      <w:pPr>
        <w:rPr>
          <w:lang w:val="pt-BR"/>
        </w:rPr>
      </w:pPr>
      <w:r w:rsidRPr="008D38F6">
        <w:rPr>
          <w:rFonts w:cs="Tahoma"/>
          <w:color w:val="000000"/>
          <w:szCs w:val="20"/>
          <w:lang w:val="pt-BR"/>
        </w:rPr>
        <w:t>CAL do Dispositivo do Visual Studio</w:t>
      </w:r>
      <w:r w:rsidR="00510A6E" w:rsidRPr="008D38F6">
        <w:rPr>
          <w:rFonts w:cs="Tahoma"/>
          <w:color w:val="000000"/>
          <w:szCs w:val="20"/>
          <w:vertAlign w:val="superscript"/>
          <w:lang w:val="pt-BR"/>
        </w:rPr>
        <w:t>®</w:t>
      </w:r>
      <w:r w:rsidRPr="008D38F6">
        <w:rPr>
          <w:rFonts w:cs="Tahoma"/>
          <w:color w:val="000000"/>
          <w:szCs w:val="20"/>
          <w:lang w:val="pt-BR"/>
        </w:rPr>
        <w:t xml:space="preserve"> Team Foundation Server 2012</w:t>
      </w:r>
    </w:p>
    <w:p w:rsidR="00CB0262" w:rsidRPr="008D38F6" w:rsidRDefault="00CB0262" w:rsidP="00EF4590">
      <w:pPr>
        <w:rPr>
          <w:lang w:val="pt-BR"/>
        </w:rPr>
      </w:pPr>
      <w:r w:rsidRPr="008D38F6">
        <w:rPr>
          <w:rFonts w:cs="Tahoma"/>
          <w:color w:val="000000"/>
          <w:szCs w:val="20"/>
          <w:lang w:val="pt-BR"/>
        </w:rPr>
        <w:t>CAL do Usuário do Visual Studio</w:t>
      </w:r>
      <w:r w:rsidR="00510A6E" w:rsidRPr="008D38F6">
        <w:rPr>
          <w:rFonts w:cs="Tahoma"/>
          <w:color w:val="000000"/>
          <w:szCs w:val="20"/>
          <w:vertAlign w:val="superscript"/>
          <w:lang w:val="pt-BR"/>
        </w:rPr>
        <w:t>®</w:t>
      </w:r>
      <w:r w:rsidRPr="008D38F6">
        <w:rPr>
          <w:rFonts w:cs="Tahoma"/>
          <w:color w:val="000000"/>
          <w:szCs w:val="20"/>
          <w:lang w:val="pt-BR"/>
        </w:rPr>
        <w:t xml:space="preserve"> Team Foundation Server 2012</w:t>
      </w:r>
    </w:p>
    <w:p w:rsidR="00CB0262" w:rsidRPr="008D38F6" w:rsidRDefault="00CB0262" w:rsidP="00EF4590">
      <w:pPr>
        <w:rPr>
          <w:lang w:val="pt-BR"/>
        </w:rPr>
      </w:pPr>
      <w:r w:rsidRPr="008D38F6">
        <w:rPr>
          <w:rFonts w:cs="Tahoma"/>
          <w:color w:val="000000"/>
          <w:szCs w:val="20"/>
          <w:lang w:val="pt-BR"/>
        </w:rPr>
        <w:t>External Connector do Visual Studio</w:t>
      </w:r>
      <w:r w:rsidR="00510A6E" w:rsidRPr="008D38F6">
        <w:rPr>
          <w:rFonts w:cs="Tahoma"/>
          <w:color w:val="000000"/>
          <w:szCs w:val="20"/>
          <w:vertAlign w:val="superscript"/>
          <w:lang w:val="pt-BR"/>
        </w:rPr>
        <w:t>®</w:t>
      </w:r>
      <w:r w:rsidRPr="008D38F6">
        <w:rPr>
          <w:rFonts w:cs="Tahoma"/>
          <w:color w:val="000000"/>
          <w:szCs w:val="20"/>
          <w:lang w:val="pt-BR"/>
        </w:rPr>
        <w:t xml:space="preserve"> Team Foundation Server 2012</w:t>
      </w:r>
    </w:p>
    <w:p w:rsidR="00CB0262" w:rsidRPr="008D38F6" w:rsidRDefault="00CB0262" w:rsidP="00EF4590">
      <w:pPr>
        <w:rPr>
          <w:lang w:val="pt-BR"/>
        </w:rPr>
      </w:pPr>
      <w:r w:rsidRPr="008D38F6">
        <w:rPr>
          <w:rFonts w:cs="Tahoma"/>
          <w:color w:val="000000"/>
          <w:szCs w:val="20"/>
          <w:lang w:val="pt-BR"/>
        </w:rPr>
        <w:t>CAL do Windows Server™ 2012 (Dispositivo e Usuário)</w:t>
      </w:r>
    </w:p>
    <w:p w:rsidR="00CB0262" w:rsidRPr="00416070" w:rsidRDefault="00CB0262" w:rsidP="00EF4590">
      <w:r w:rsidRPr="00416070">
        <w:rPr>
          <w:rFonts w:cs="Tahoma"/>
          <w:color w:val="000000"/>
          <w:szCs w:val="20"/>
        </w:rPr>
        <w:t>Windows Server™ 2012 Datacenter</w:t>
      </w:r>
    </w:p>
    <w:p w:rsidR="00CB0262" w:rsidRPr="00416070" w:rsidRDefault="00CB0262" w:rsidP="00EF4590">
      <w:r w:rsidRPr="00416070">
        <w:rPr>
          <w:rFonts w:cs="Tahoma"/>
          <w:color w:val="000000"/>
          <w:szCs w:val="20"/>
        </w:rPr>
        <w:t>Windows Server™ 2012 Standard</w:t>
      </w:r>
    </w:p>
    <w:p w:rsidR="00CB0262" w:rsidRPr="008D38F6" w:rsidRDefault="00CB0262" w:rsidP="00EF4590">
      <w:pPr>
        <w:rPr>
          <w:lang w:val="pt-BR"/>
        </w:rPr>
      </w:pPr>
      <w:r w:rsidRPr="008D38F6">
        <w:rPr>
          <w:rFonts w:cs="Tahoma"/>
          <w:color w:val="000000"/>
          <w:szCs w:val="20"/>
          <w:lang w:val="pt-BR"/>
        </w:rPr>
        <w:t>External Connector do Windows Server™ 2012</w:t>
      </w:r>
    </w:p>
    <w:p w:rsidR="00CB0262" w:rsidRPr="008D38F6" w:rsidRDefault="00CB0262" w:rsidP="00EF4590">
      <w:pPr>
        <w:rPr>
          <w:lang w:val="pt-BR"/>
        </w:rPr>
      </w:pPr>
      <w:r w:rsidRPr="008D38F6">
        <w:rPr>
          <w:rFonts w:cs="Tahoma"/>
          <w:color w:val="000000"/>
          <w:szCs w:val="20"/>
          <w:lang w:val="pt-BR"/>
        </w:rPr>
        <w:t>CAL de Serviços de Área de Trabalho Remota do Windows Server™ 2012</w:t>
      </w:r>
    </w:p>
    <w:p w:rsidR="00CB0262" w:rsidRPr="008D38F6" w:rsidRDefault="00CB0262" w:rsidP="00EF4590">
      <w:pPr>
        <w:rPr>
          <w:lang w:val="pt-BR"/>
        </w:rPr>
      </w:pPr>
      <w:r w:rsidRPr="008D38F6">
        <w:rPr>
          <w:rFonts w:cs="Tahoma"/>
          <w:color w:val="000000"/>
          <w:szCs w:val="20"/>
          <w:lang w:val="pt-BR"/>
        </w:rPr>
        <w:t>External Connector dos Serviços de Área de Trabalho Remota do Windows Server™ 2012</w:t>
      </w:r>
    </w:p>
    <w:p w:rsidR="00CB0262" w:rsidRPr="008D38F6" w:rsidRDefault="00CB0262" w:rsidP="00EF4590">
      <w:pPr>
        <w:rPr>
          <w:lang w:val="pt-BR"/>
        </w:rPr>
      </w:pPr>
      <w:r w:rsidRPr="008D38F6">
        <w:rPr>
          <w:rFonts w:cs="Tahoma"/>
          <w:color w:val="000000"/>
          <w:szCs w:val="20"/>
          <w:lang w:val="pt-BR"/>
        </w:rPr>
        <w:t>CAL dos Serviços de Gerenciamento de Direitos do Windows Server™ 2012</w:t>
      </w:r>
    </w:p>
    <w:p w:rsidR="00CB0262" w:rsidRPr="008D38F6" w:rsidRDefault="00CB0262" w:rsidP="00EF4590">
      <w:pPr>
        <w:rPr>
          <w:lang w:val="pt-BR"/>
        </w:rPr>
      </w:pPr>
      <w:r w:rsidRPr="008D38F6">
        <w:rPr>
          <w:rFonts w:cs="Tahoma"/>
          <w:color w:val="000000"/>
          <w:szCs w:val="20"/>
          <w:lang w:val="pt-BR"/>
        </w:rPr>
        <w:t>External Connector dos Serviços de Gerenciamento de Direitos do Windows Server™ 2012</w:t>
      </w:r>
    </w:p>
    <w:p w:rsidR="00CB0262" w:rsidRPr="008D38F6" w:rsidRDefault="0095607F" w:rsidP="00EF4590">
      <w:pPr>
        <w:rPr>
          <w:lang w:val="pt-BR"/>
        </w:rPr>
      </w:pPr>
      <w:r w:rsidRPr="008D38F6">
        <w:rPr>
          <w:rFonts w:cs="Tahoma"/>
          <w:color w:val="000000"/>
          <w:szCs w:val="18"/>
          <w:lang w:val="pt-BR"/>
        </w:rPr>
        <w:t xml:space="preserve">CAL Aditiva Empresarial do Microsoft </w:t>
      </w:r>
      <w:r w:rsidRPr="008D38F6">
        <w:rPr>
          <w:rFonts w:cs="Tahoma"/>
          <w:color w:val="000000"/>
          <w:szCs w:val="20"/>
          <w:lang w:val="pt-BR"/>
        </w:rPr>
        <w:t>Dynamics AX 2012 (Usuário e Dispositivo)</w:t>
      </w:r>
    </w:p>
    <w:p w:rsidR="00CB0262" w:rsidRPr="008D38F6" w:rsidRDefault="0095607F" w:rsidP="00EF4590">
      <w:pPr>
        <w:rPr>
          <w:lang w:val="pt-BR"/>
        </w:rPr>
      </w:pPr>
      <w:r w:rsidRPr="008D38F6">
        <w:rPr>
          <w:rFonts w:cs="Tahoma"/>
          <w:color w:val="000000"/>
          <w:szCs w:val="18"/>
          <w:lang w:val="pt-BR"/>
        </w:rPr>
        <w:t xml:space="preserve">CAL Empresarial do Microsoft </w:t>
      </w:r>
      <w:r w:rsidRPr="008D38F6">
        <w:rPr>
          <w:rFonts w:cs="Tahoma"/>
          <w:color w:val="000000"/>
          <w:szCs w:val="20"/>
          <w:lang w:val="pt-BR"/>
        </w:rPr>
        <w:t>Dynamics AX 2012 (Usuário e Dispositivo)</w:t>
      </w:r>
    </w:p>
    <w:p w:rsidR="00CB0262" w:rsidRPr="008D38F6" w:rsidRDefault="0095607F" w:rsidP="00EF4590">
      <w:pPr>
        <w:rPr>
          <w:lang w:val="pt-BR"/>
        </w:rPr>
      </w:pPr>
      <w:r w:rsidRPr="008D38F6">
        <w:rPr>
          <w:rFonts w:cs="Tahoma"/>
          <w:color w:val="000000"/>
          <w:szCs w:val="18"/>
          <w:lang w:val="pt-BR"/>
        </w:rPr>
        <w:t xml:space="preserve">CAL Aditiva Funcional do Microsoft </w:t>
      </w:r>
      <w:r w:rsidRPr="008D38F6">
        <w:rPr>
          <w:rFonts w:cs="Tahoma"/>
          <w:color w:val="000000"/>
          <w:szCs w:val="20"/>
          <w:lang w:val="pt-BR"/>
        </w:rPr>
        <w:t>Dynamics AX 2012 (Usuário e Dispositivo)</w:t>
      </w:r>
    </w:p>
    <w:p w:rsidR="00CB0262" w:rsidRPr="008D38F6" w:rsidRDefault="0095607F" w:rsidP="00EF4590">
      <w:pPr>
        <w:rPr>
          <w:lang w:val="pt-BR"/>
        </w:rPr>
      </w:pPr>
      <w:r w:rsidRPr="008D38F6">
        <w:rPr>
          <w:rFonts w:cs="Tahoma"/>
          <w:color w:val="000000"/>
          <w:szCs w:val="18"/>
          <w:lang w:val="pt-BR"/>
        </w:rPr>
        <w:t xml:space="preserve">CAL Funcional do Microsoft </w:t>
      </w:r>
      <w:r w:rsidRPr="008D38F6">
        <w:rPr>
          <w:rFonts w:cs="Tahoma"/>
          <w:color w:val="000000"/>
          <w:szCs w:val="20"/>
          <w:lang w:val="pt-BR"/>
        </w:rPr>
        <w:t>Dynamics AX 2012 (Usuário e Dispositivo)</w:t>
      </w:r>
    </w:p>
    <w:p w:rsidR="00CB0262" w:rsidRPr="008D38F6" w:rsidRDefault="0095607F" w:rsidP="00EF4590">
      <w:pPr>
        <w:rPr>
          <w:lang w:val="pt-BR"/>
        </w:rPr>
      </w:pPr>
      <w:r w:rsidRPr="008D38F6">
        <w:rPr>
          <w:rFonts w:cs="Tahoma"/>
          <w:color w:val="000000"/>
          <w:szCs w:val="18"/>
          <w:lang w:val="pt-BR"/>
        </w:rPr>
        <w:t xml:space="preserve">CAL de Autoatendimento do Microsoft </w:t>
      </w:r>
      <w:r w:rsidRPr="008D38F6">
        <w:rPr>
          <w:rFonts w:cs="Tahoma"/>
          <w:color w:val="000000"/>
          <w:szCs w:val="20"/>
          <w:lang w:val="pt-BR"/>
        </w:rPr>
        <w:t>Dynamics AX 2012 (Usuário e Dispositivo)</w:t>
      </w:r>
    </w:p>
    <w:p w:rsidR="00CB0262" w:rsidRPr="008D38F6" w:rsidRDefault="0095607F" w:rsidP="00EF4590">
      <w:pPr>
        <w:rPr>
          <w:lang w:val="pt-BR"/>
        </w:rPr>
      </w:pPr>
      <w:r w:rsidRPr="008D38F6">
        <w:rPr>
          <w:rFonts w:cs="Tahoma"/>
          <w:color w:val="000000"/>
          <w:szCs w:val="18"/>
          <w:lang w:val="pt-BR"/>
        </w:rPr>
        <w:t xml:space="preserve">Microsoft </w:t>
      </w:r>
      <w:r w:rsidRPr="008D38F6">
        <w:rPr>
          <w:rFonts w:cs="Tahoma"/>
          <w:color w:val="000000"/>
          <w:szCs w:val="20"/>
          <w:lang w:val="pt-BR"/>
        </w:rPr>
        <w:t>Dynamics AX 2012 Server</w:t>
      </w:r>
    </w:p>
    <w:p w:rsidR="00CB0262" w:rsidRPr="008D38F6" w:rsidRDefault="0095607F" w:rsidP="00EF4590">
      <w:pPr>
        <w:rPr>
          <w:lang w:val="pt-BR"/>
        </w:rPr>
      </w:pPr>
      <w:r w:rsidRPr="008D38F6">
        <w:rPr>
          <w:rFonts w:cs="Tahoma"/>
          <w:color w:val="000000"/>
          <w:szCs w:val="18"/>
          <w:lang w:val="pt-BR"/>
        </w:rPr>
        <w:lastRenderedPageBreak/>
        <w:t xml:space="preserve">CAL Aditiva de Tarefa do Microsoft </w:t>
      </w:r>
      <w:r w:rsidRPr="008D38F6">
        <w:rPr>
          <w:rFonts w:cs="Tahoma"/>
          <w:color w:val="000000"/>
          <w:szCs w:val="20"/>
          <w:lang w:val="pt-BR"/>
        </w:rPr>
        <w:t>Dynamics AX 2012 (Usuário e Dispositivo)</w:t>
      </w:r>
    </w:p>
    <w:p w:rsidR="00CB0262" w:rsidRPr="008D38F6" w:rsidRDefault="0095607F" w:rsidP="00EF4590">
      <w:pPr>
        <w:rPr>
          <w:lang w:val="pt-BR"/>
        </w:rPr>
      </w:pPr>
      <w:r w:rsidRPr="008D38F6">
        <w:rPr>
          <w:rFonts w:cs="Tahoma"/>
          <w:color w:val="000000"/>
          <w:szCs w:val="18"/>
          <w:lang w:val="pt-BR"/>
        </w:rPr>
        <w:t xml:space="preserve">CAL de Tarefa do Microsoft </w:t>
      </w:r>
      <w:r w:rsidRPr="008D38F6">
        <w:rPr>
          <w:rFonts w:cs="Tahoma"/>
          <w:color w:val="000000"/>
          <w:szCs w:val="20"/>
          <w:lang w:val="pt-BR"/>
        </w:rPr>
        <w:t>Dynamics AX 2012 (Usuário e Dispositivo)</w:t>
      </w:r>
    </w:p>
    <w:p w:rsidR="00CB0262" w:rsidRPr="00416070" w:rsidRDefault="00CB0262" w:rsidP="00EF4590">
      <w:r w:rsidRPr="00416070">
        <w:rPr>
          <w:rFonts w:cs="Tahoma"/>
          <w:color w:val="000000"/>
          <w:szCs w:val="20"/>
        </w:rPr>
        <w:t>Windows 8 Enterprise Sideloading</w:t>
      </w:r>
    </w:p>
    <w:p w:rsidR="00CB0262" w:rsidRPr="00416070" w:rsidRDefault="00CB0262" w:rsidP="00EF4590">
      <w:r w:rsidRPr="00416070">
        <w:rPr>
          <w:rFonts w:cs="Tahoma"/>
          <w:color w:val="000000"/>
          <w:szCs w:val="20"/>
        </w:rPr>
        <w:t>Atualização do Windows 8 Pro</w:t>
      </w:r>
    </w:p>
    <w:p w:rsidR="00394D71" w:rsidRPr="008D38F6" w:rsidRDefault="00394D71" w:rsidP="00EF4590">
      <w:pPr>
        <w:rPr>
          <w:lang w:val="pt-BR"/>
        </w:rPr>
      </w:pPr>
      <w:r w:rsidRPr="008D38F6">
        <w:rPr>
          <w:rFonts w:cs="Tahoma"/>
          <w:color w:val="000000"/>
          <w:szCs w:val="18"/>
          <w:lang w:val="pt-BR"/>
        </w:rPr>
        <w:t>Windows 8 Pro com MDOP</w:t>
      </w:r>
    </w:p>
    <w:p w:rsidR="00CB0262" w:rsidRPr="008D38F6" w:rsidRDefault="00CB0262" w:rsidP="00EF4590">
      <w:pPr>
        <w:rPr>
          <w:lang w:val="pt-BR"/>
        </w:rPr>
      </w:pPr>
      <w:r w:rsidRPr="008D38F6">
        <w:rPr>
          <w:rFonts w:cs="Tahoma"/>
          <w:color w:val="000000"/>
          <w:szCs w:val="20"/>
          <w:lang w:val="pt-BR"/>
        </w:rPr>
        <w:t>Direitos de Locação para Windows</w:t>
      </w:r>
    </w:p>
    <w:p w:rsidR="00593FBD" w:rsidRPr="008D38F6" w:rsidRDefault="00593FBD" w:rsidP="00EF4590">
      <w:pPr>
        <w:rPr>
          <w:lang w:val="pt-BR"/>
        </w:rPr>
      </w:pPr>
    </w:p>
    <w:p w:rsidR="00593FBD" w:rsidRPr="008D38F6" w:rsidRDefault="00593FBD" w:rsidP="003E606C">
      <w:pPr>
        <w:spacing w:after="60"/>
        <w:rPr>
          <w:lang w:val="pt-BR"/>
        </w:rPr>
      </w:pPr>
      <w:r w:rsidRPr="008D38F6">
        <w:rPr>
          <w:b/>
          <w:lang w:val="pt-BR"/>
        </w:rPr>
        <w:t>Promoções</w:t>
      </w:r>
    </w:p>
    <w:p w:rsidR="00F84628" w:rsidRPr="008D38F6" w:rsidRDefault="00F84628" w:rsidP="00F84628">
      <w:pPr>
        <w:rPr>
          <w:lang w:val="pt-BR"/>
        </w:rPr>
      </w:pPr>
      <w:r w:rsidRPr="008D38F6">
        <w:rPr>
          <w:color w:val="000000"/>
          <w:lang w:val="pt-BR"/>
        </w:rPr>
        <w:t>As seguintes promoções foram adicionadas:</w:t>
      </w:r>
    </w:p>
    <w:p w:rsidR="00F84628" w:rsidRPr="008D38F6" w:rsidRDefault="00F84628" w:rsidP="00F84628">
      <w:pPr>
        <w:rPr>
          <w:lang w:val="pt-BR"/>
        </w:rPr>
      </w:pPr>
      <w:r w:rsidRPr="008D38F6">
        <w:rPr>
          <w:rFonts w:eastAsia="Times New Roman" w:cs="Tahoma"/>
          <w:color w:val="000000"/>
          <w:szCs w:val="18"/>
          <w:lang w:val="pt-BR"/>
        </w:rPr>
        <w:t>Promoção de Step-up do Windows Server Datacenter</w:t>
      </w:r>
    </w:p>
    <w:p w:rsidR="00F84628" w:rsidRPr="008D38F6" w:rsidRDefault="00F84628" w:rsidP="00F84628">
      <w:pPr>
        <w:rPr>
          <w:lang w:val="pt-BR"/>
        </w:rPr>
      </w:pPr>
      <w:r w:rsidRPr="008D38F6">
        <w:rPr>
          <w:rFonts w:eastAsia="Times New Roman" w:cs="Tahoma"/>
          <w:color w:val="000000"/>
          <w:szCs w:val="18"/>
          <w:lang w:val="pt-BR"/>
        </w:rPr>
        <w:t xml:space="preserve">Forefront Online Protection para Exchange </w:t>
      </w:r>
    </w:p>
    <w:p w:rsidR="00F84628" w:rsidRPr="008D38F6" w:rsidRDefault="00F84628" w:rsidP="00F84628">
      <w:pPr>
        <w:rPr>
          <w:lang w:val="pt-BR"/>
        </w:rPr>
      </w:pPr>
    </w:p>
    <w:p w:rsidR="00F84628" w:rsidRPr="008D38F6" w:rsidRDefault="00F84628" w:rsidP="00F84628">
      <w:pPr>
        <w:outlineLvl w:val="1"/>
        <w:rPr>
          <w:lang w:val="pt-BR"/>
        </w:rPr>
      </w:pPr>
      <w:r w:rsidRPr="008D38F6">
        <w:rPr>
          <w:rFonts w:cs="Tahoma"/>
          <w:color w:val="000000"/>
          <w:szCs w:val="18"/>
          <w:lang w:val="pt-BR"/>
        </w:rPr>
        <w:t>As seguintes promoções foram excluídas</w:t>
      </w:r>
    </w:p>
    <w:p w:rsidR="00F84628" w:rsidRPr="008D38F6" w:rsidRDefault="00F84628" w:rsidP="00F84628">
      <w:pPr>
        <w:rPr>
          <w:lang w:val="pt-BR"/>
        </w:rPr>
      </w:pPr>
      <w:r w:rsidRPr="008D38F6">
        <w:rPr>
          <w:color w:val="000000"/>
          <w:lang w:val="pt-BR"/>
        </w:rPr>
        <w:t>Promoção Enrollment for Core Infrastructure Standard Suite</w:t>
      </w:r>
    </w:p>
    <w:p w:rsidR="00F84628" w:rsidRPr="008D38F6" w:rsidRDefault="00F84628" w:rsidP="00F84628">
      <w:pPr>
        <w:outlineLvl w:val="1"/>
        <w:rPr>
          <w:lang w:val="pt-BR"/>
        </w:rPr>
      </w:pPr>
    </w:p>
    <w:p w:rsidR="00593FBD" w:rsidRPr="008D38F6" w:rsidRDefault="00593FBD" w:rsidP="003E606C">
      <w:pPr>
        <w:spacing w:after="60"/>
        <w:rPr>
          <w:lang w:val="pt-BR"/>
        </w:rPr>
      </w:pPr>
      <w:r w:rsidRPr="008D38F6">
        <w:rPr>
          <w:b/>
          <w:lang w:val="pt-BR"/>
        </w:rPr>
        <w:t>Exclusões</w:t>
      </w:r>
    </w:p>
    <w:p w:rsidR="00B07E07" w:rsidRPr="008D38F6" w:rsidRDefault="00B07E07" w:rsidP="00EF4590">
      <w:pPr>
        <w:rPr>
          <w:lang w:val="pt-BR"/>
        </w:rPr>
      </w:pPr>
      <w:r w:rsidRPr="008D38F6">
        <w:rPr>
          <w:rFonts w:cs="Tahoma"/>
          <w:color w:val="000000"/>
          <w:szCs w:val="20"/>
          <w:lang w:val="pt-BR"/>
        </w:rPr>
        <w:t>Tellme Basic (Taxa)</w:t>
      </w:r>
    </w:p>
    <w:p w:rsidR="00B07E07" w:rsidRPr="008D38F6" w:rsidRDefault="00B07E07" w:rsidP="00EF4590">
      <w:pPr>
        <w:rPr>
          <w:lang w:val="pt-BR"/>
        </w:rPr>
      </w:pPr>
      <w:r w:rsidRPr="008D38F6">
        <w:rPr>
          <w:rFonts w:cs="Tahoma"/>
          <w:color w:val="000000"/>
          <w:szCs w:val="20"/>
          <w:lang w:val="pt-BR"/>
        </w:rPr>
        <w:t>Tellme Standard (Taxa)</w:t>
      </w:r>
    </w:p>
    <w:p w:rsidR="00B07E07" w:rsidRPr="008D38F6" w:rsidRDefault="00B07E07" w:rsidP="00EF4590">
      <w:pPr>
        <w:rPr>
          <w:lang w:val="pt-BR"/>
        </w:rPr>
      </w:pPr>
      <w:r w:rsidRPr="008D38F6">
        <w:rPr>
          <w:rFonts w:cs="Tahoma"/>
          <w:color w:val="000000"/>
          <w:szCs w:val="20"/>
          <w:lang w:val="pt-BR"/>
        </w:rPr>
        <w:t>Tellme Premium (Taxa)</w:t>
      </w:r>
    </w:p>
    <w:p w:rsidR="00B07E07" w:rsidRPr="008D38F6" w:rsidRDefault="00B07E07" w:rsidP="00EF4590">
      <w:pPr>
        <w:rPr>
          <w:lang w:val="pt-BR"/>
        </w:rPr>
      </w:pPr>
      <w:r w:rsidRPr="008D38F6">
        <w:rPr>
          <w:rFonts w:cs="Tahoma"/>
          <w:color w:val="000000"/>
          <w:szCs w:val="20"/>
          <w:lang w:val="pt-BR"/>
        </w:rPr>
        <w:t>Tellme Basic (SL de Serviços)</w:t>
      </w:r>
    </w:p>
    <w:p w:rsidR="00B07E07" w:rsidRPr="008D38F6" w:rsidRDefault="00B07E07" w:rsidP="00EF4590">
      <w:pPr>
        <w:rPr>
          <w:lang w:val="pt-BR"/>
        </w:rPr>
      </w:pPr>
      <w:r w:rsidRPr="008D38F6">
        <w:rPr>
          <w:rFonts w:cs="Tahoma"/>
          <w:color w:val="000000"/>
          <w:szCs w:val="20"/>
          <w:lang w:val="pt-BR"/>
        </w:rPr>
        <w:t>Tellme Standard (SL de Serviços)</w:t>
      </w:r>
    </w:p>
    <w:p w:rsidR="00B07E07" w:rsidRPr="008D38F6" w:rsidRDefault="00B07E07" w:rsidP="00EF4590">
      <w:pPr>
        <w:rPr>
          <w:lang w:val="pt-BR"/>
        </w:rPr>
      </w:pPr>
      <w:r w:rsidRPr="008D38F6">
        <w:rPr>
          <w:rFonts w:cs="Tahoma"/>
          <w:color w:val="000000"/>
          <w:szCs w:val="20"/>
          <w:lang w:val="pt-BR"/>
        </w:rPr>
        <w:t>Tellme Premium (SL de Serviços)</w:t>
      </w:r>
    </w:p>
    <w:p w:rsidR="003F704E" w:rsidRPr="008D38F6" w:rsidRDefault="003F704E" w:rsidP="00EF4590">
      <w:pPr>
        <w:rPr>
          <w:lang w:val="pt-BR"/>
        </w:rPr>
      </w:pPr>
      <w:r w:rsidRPr="008D38F6">
        <w:rPr>
          <w:rFonts w:cs="Tahoma"/>
          <w:color w:val="000000"/>
          <w:szCs w:val="20"/>
          <w:lang w:val="pt-BR"/>
        </w:rPr>
        <w:t>Minutos excedentes do Tellme (Taxa)</w:t>
      </w:r>
    </w:p>
    <w:p w:rsidR="00593FBD" w:rsidRPr="00416070" w:rsidRDefault="00CB0262" w:rsidP="00EF4590">
      <w:r w:rsidRPr="00416070">
        <w:rPr>
          <w:rFonts w:cs="Tahoma"/>
          <w:color w:val="000000"/>
          <w:szCs w:val="20"/>
        </w:rPr>
        <w:t>Visual Studio</w:t>
      </w:r>
      <w:r w:rsidR="00510A6E" w:rsidRPr="00416070">
        <w:rPr>
          <w:rFonts w:cs="Tahoma"/>
          <w:color w:val="000000"/>
          <w:szCs w:val="20"/>
          <w:vertAlign w:val="superscript"/>
        </w:rPr>
        <w:t>®</w:t>
      </w:r>
      <w:r w:rsidRPr="00416070">
        <w:rPr>
          <w:rFonts w:cs="Tahoma"/>
          <w:color w:val="000000"/>
          <w:szCs w:val="20"/>
        </w:rPr>
        <w:t xml:space="preserve"> 2010 Professional</w:t>
      </w:r>
    </w:p>
    <w:p w:rsidR="00593FBD" w:rsidRPr="00416070" w:rsidRDefault="00CB0262" w:rsidP="00EF4590">
      <w:r w:rsidRPr="00416070">
        <w:rPr>
          <w:rFonts w:cs="Tahoma"/>
          <w:color w:val="000000"/>
          <w:szCs w:val="20"/>
        </w:rPr>
        <w:t>Visual Studio</w:t>
      </w:r>
      <w:r w:rsidR="00510A6E" w:rsidRPr="00416070">
        <w:rPr>
          <w:rFonts w:cs="Tahoma"/>
          <w:color w:val="000000"/>
          <w:szCs w:val="20"/>
          <w:vertAlign w:val="superscript"/>
        </w:rPr>
        <w:t>®</w:t>
      </w:r>
      <w:r w:rsidRPr="00416070">
        <w:rPr>
          <w:rFonts w:cs="Tahoma"/>
          <w:color w:val="000000"/>
          <w:szCs w:val="20"/>
        </w:rPr>
        <w:t xml:space="preserve"> 2010 Professional with MSDN</w:t>
      </w:r>
    </w:p>
    <w:p w:rsidR="00CB0262" w:rsidRPr="00416070" w:rsidRDefault="00CB0262" w:rsidP="00EF4590">
      <w:r w:rsidRPr="00416070">
        <w:rPr>
          <w:rFonts w:cs="Tahoma"/>
          <w:color w:val="000000"/>
          <w:szCs w:val="20"/>
        </w:rPr>
        <w:t>Visual Studio</w:t>
      </w:r>
      <w:r w:rsidR="00510A6E" w:rsidRPr="00416070">
        <w:rPr>
          <w:rFonts w:cs="Tahoma"/>
          <w:color w:val="000000"/>
          <w:szCs w:val="20"/>
          <w:vertAlign w:val="superscript"/>
        </w:rPr>
        <w:t>®</w:t>
      </w:r>
      <w:r w:rsidRPr="00416070">
        <w:rPr>
          <w:rFonts w:cs="Tahoma"/>
          <w:color w:val="000000"/>
          <w:szCs w:val="20"/>
        </w:rPr>
        <w:t xml:space="preserve"> 2010 Professional with MSDN Embedded</w:t>
      </w:r>
    </w:p>
    <w:p w:rsidR="00CB0262" w:rsidRPr="008D38F6" w:rsidRDefault="00CB0262"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2010 Premium</w:t>
      </w:r>
    </w:p>
    <w:p w:rsidR="00CB0262" w:rsidRPr="008D38F6" w:rsidRDefault="00CB0262"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2010 Premium com MSDN</w:t>
      </w:r>
    </w:p>
    <w:p w:rsidR="00CB0262" w:rsidRPr="008D38F6" w:rsidRDefault="00CB0262"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2010 Ultimate</w:t>
      </w:r>
    </w:p>
    <w:p w:rsidR="00CB0262" w:rsidRPr="008D38F6" w:rsidRDefault="00CB0262"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2010 Ultimate com MSDN</w:t>
      </w:r>
    </w:p>
    <w:p w:rsidR="00CB0262" w:rsidRPr="008D38F6" w:rsidRDefault="00CB0262"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Test Professional 2010</w:t>
      </w:r>
    </w:p>
    <w:p w:rsidR="00CB0262" w:rsidRPr="008D38F6" w:rsidRDefault="00101CDD"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Test Professional 2010 com MSDN</w:t>
      </w:r>
    </w:p>
    <w:p w:rsidR="00CB0262" w:rsidRPr="008D38F6" w:rsidRDefault="00101CDD"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LightSwitch 2011</w:t>
      </w:r>
    </w:p>
    <w:p w:rsidR="00CB0262" w:rsidRPr="00416070" w:rsidRDefault="00101CDD" w:rsidP="00EF4590">
      <w:r w:rsidRPr="00416070">
        <w:rPr>
          <w:rFonts w:cs="Tahoma"/>
          <w:color w:val="000000"/>
          <w:szCs w:val="20"/>
        </w:rPr>
        <w:t>Visual Studio</w:t>
      </w:r>
      <w:r w:rsidR="00510A6E" w:rsidRPr="00416070">
        <w:rPr>
          <w:rFonts w:cs="Tahoma"/>
          <w:color w:val="000000"/>
          <w:szCs w:val="20"/>
          <w:vertAlign w:val="superscript"/>
        </w:rPr>
        <w:t>®</w:t>
      </w:r>
      <w:r w:rsidRPr="00416070">
        <w:rPr>
          <w:rFonts w:cs="Tahoma"/>
          <w:color w:val="000000"/>
          <w:szCs w:val="20"/>
        </w:rPr>
        <w:t xml:space="preserve"> Load Test Virtual User Pack 2010</w:t>
      </w:r>
    </w:p>
    <w:p w:rsidR="00CB0262" w:rsidRPr="008D38F6" w:rsidRDefault="00101CDD" w:rsidP="00EF4590">
      <w:pPr>
        <w:rPr>
          <w:lang w:val="pt-BR"/>
        </w:rPr>
      </w:pPr>
      <w:r w:rsidRPr="008D38F6">
        <w:rPr>
          <w:rFonts w:cs="Tahoma"/>
          <w:color w:val="000000"/>
          <w:szCs w:val="20"/>
          <w:lang w:val="pt-BR"/>
        </w:rPr>
        <w:t>Visual Studio</w:t>
      </w:r>
      <w:r w:rsidR="00510A6E" w:rsidRPr="008D38F6">
        <w:rPr>
          <w:rFonts w:cs="Tahoma"/>
          <w:color w:val="000000"/>
          <w:szCs w:val="20"/>
          <w:vertAlign w:val="superscript"/>
          <w:lang w:val="pt-BR"/>
        </w:rPr>
        <w:t>®</w:t>
      </w:r>
      <w:r w:rsidRPr="008D38F6">
        <w:rPr>
          <w:rFonts w:cs="Tahoma"/>
          <w:color w:val="000000"/>
          <w:szCs w:val="20"/>
          <w:lang w:val="pt-BR"/>
        </w:rPr>
        <w:t xml:space="preserve"> Team Foundation Server 2010 com Tecnologia SQL Server 2008</w:t>
      </w:r>
    </w:p>
    <w:p w:rsidR="00CB0262" w:rsidRPr="008D38F6" w:rsidRDefault="00101CDD" w:rsidP="00EF4590">
      <w:pPr>
        <w:rPr>
          <w:lang w:val="pt-BR"/>
        </w:rPr>
      </w:pPr>
      <w:r w:rsidRPr="008D38F6">
        <w:rPr>
          <w:rFonts w:cs="Tahoma"/>
          <w:color w:val="000000"/>
          <w:szCs w:val="20"/>
          <w:lang w:val="pt-BR"/>
        </w:rPr>
        <w:t>CAL do Dispositivo do Visual Studio</w:t>
      </w:r>
      <w:r w:rsidR="00510A6E" w:rsidRPr="008D38F6">
        <w:rPr>
          <w:rFonts w:cs="Tahoma"/>
          <w:color w:val="000000"/>
          <w:szCs w:val="20"/>
          <w:vertAlign w:val="superscript"/>
          <w:lang w:val="pt-BR"/>
        </w:rPr>
        <w:t>®</w:t>
      </w:r>
      <w:r w:rsidRPr="008D38F6">
        <w:rPr>
          <w:rFonts w:cs="Tahoma"/>
          <w:color w:val="000000"/>
          <w:szCs w:val="20"/>
          <w:lang w:val="pt-BR"/>
        </w:rPr>
        <w:t xml:space="preserve"> Team Foundation Server 2010</w:t>
      </w:r>
    </w:p>
    <w:p w:rsidR="00CB0262" w:rsidRPr="008D38F6" w:rsidRDefault="00101CDD" w:rsidP="00EF4590">
      <w:pPr>
        <w:rPr>
          <w:lang w:val="pt-BR"/>
        </w:rPr>
      </w:pPr>
      <w:r w:rsidRPr="008D38F6">
        <w:rPr>
          <w:rFonts w:cs="Tahoma"/>
          <w:color w:val="000000"/>
          <w:szCs w:val="20"/>
          <w:lang w:val="pt-BR"/>
        </w:rPr>
        <w:t>CAL do Usuário do Visual Studio</w:t>
      </w:r>
      <w:r w:rsidR="00510A6E" w:rsidRPr="008D38F6">
        <w:rPr>
          <w:rFonts w:cs="Tahoma"/>
          <w:color w:val="000000"/>
          <w:szCs w:val="20"/>
          <w:vertAlign w:val="superscript"/>
          <w:lang w:val="pt-BR"/>
        </w:rPr>
        <w:t>®</w:t>
      </w:r>
      <w:r w:rsidRPr="008D38F6">
        <w:rPr>
          <w:rFonts w:cs="Tahoma"/>
          <w:color w:val="000000"/>
          <w:szCs w:val="20"/>
          <w:lang w:val="pt-BR"/>
        </w:rPr>
        <w:t xml:space="preserve"> Team Foundation Server 2010</w:t>
      </w:r>
    </w:p>
    <w:p w:rsidR="00CB0262" w:rsidRPr="008D38F6" w:rsidRDefault="00101CDD" w:rsidP="00EF4590">
      <w:pPr>
        <w:rPr>
          <w:lang w:val="pt-BR"/>
        </w:rPr>
      </w:pPr>
      <w:r w:rsidRPr="008D38F6">
        <w:rPr>
          <w:rFonts w:cs="Tahoma"/>
          <w:color w:val="000000"/>
          <w:szCs w:val="20"/>
          <w:lang w:val="pt-BR"/>
        </w:rPr>
        <w:t>External Connector do Visual Studio</w:t>
      </w:r>
      <w:r w:rsidR="00510A6E" w:rsidRPr="008D38F6">
        <w:rPr>
          <w:rFonts w:cs="Tahoma"/>
          <w:color w:val="000000"/>
          <w:szCs w:val="20"/>
          <w:vertAlign w:val="superscript"/>
          <w:lang w:val="pt-BR"/>
        </w:rPr>
        <w:t>®</w:t>
      </w:r>
      <w:r w:rsidRPr="008D38F6">
        <w:rPr>
          <w:rFonts w:cs="Tahoma"/>
          <w:color w:val="000000"/>
          <w:szCs w:val="20"/>
          <w:lang w:val="pt-BR"/>
        </w:rPr>
        <w:t xml:space="preserve"> Team Foundation Server 2010</w:t>
      </w:r>
    </w:p>
    <w:p w:rsidR="00101CDD" w:rsidRPr="008D38F6" w:rsidRDefault="00101CDD" w:rsidP="00EF4590">
      <w:pPr>
        <w:rPr>
          <w:lang w:val="pt-BR"/>
        </w:rPr>
      </w:pPr>
      <w:r w:rsidRPr="008D38F6">
        <w:rPr>
          <w:rFonts w:cs="Tahoma"/>
          <w:color w:val="000000"/>
          <w:szCs w:val="20"/>
          <w:lang w:val="pt-BR"/>
        </w:rPr>
        <w:t>CAL do Windows Server™ 2008 (Dispositivo e Usuário)</w:t>
      </w:r>
    </w:p>
    <w:p w:rsidR="00CB0262" w:rsidRPr="008D38F6" w:rsidRDefault="00101CDD" w:rsidP="00EF4590">
      <w:pPr>
        <w:rPr>
          <w:lang w:val="pt-BR"/>
        </w:rPr>
      </w:pPr>
      <w:r w:rsidRPr="008D38F6">
        <w:rPr>
          <w:rFonts w:cs="Tahoma"/>
          <w:color w:val="000000"/>
          <w:szCs w:val="20"/>
          <w:lang w:val="pt-BR"/>
        </w:rPr>
        <w:t>Windows Server™ 2008 R2 HPC Edition</w:t>
      </w:r>
    </w:p>
    <w:p w:rsidR="00101CDD" w:rsidRPr="008D38F6" w:rsidRDefault="00101CDD" w:rsidP="00EF4590">
      <w:pPr>
        <w:rPr>
          <w:lang w:val="pt-BR"/>
        </w:rPr>
      </w:pPr>
      <w:r w:rsidRPr="008D38F6">
        <w:rPr>
          <w:rFonts w:cs="Tahoma"/>
          <w:color w:val="000000"/>
          <w:szCs w:val="20"/>
          <w:lang w:val="pt-BR"/>
        </w:rPr>
        <w:t>Windows Server™ 2008 R2 Datacenter</w:t>
      </w:r>
    </w:p>
    <w:p w:rsidR="00CB0262" w:rsidRPr="008D38F6" w:rsidRDefault="00101CDD" w:rsidP="00EF4590">
      <w:pPr>
        <w:rPr>
          <w:lang w:val="pt-BR"/>
        </w:rPr>
      </w:pPr>
      <w:r w:rsidRPr="008D38F6">
        <w:rPr>
          <w:rFonts w:cs="Tahoma"/>
          <w:color w:val="000000"/>
          <w:szCs w:val="20"/>
          <w:lang w:val="pt-BR"/>
        </w:rPr>
        <w:t>Windows Server™ 2008 R2 Enterprise</w:t>
      </w:r>
    </w:p>
    <w:p w:rsidR="00101CDD" w:rsidRPr="008D38F6" w:rsidRDefault="00101CDD" w:rsidP="00EF4590">
      <w:pPr>
        <w:rPr>
          <w:lang w:val="pt-BR"/>
        </w:rPr>
      </w:pPr>
      <w:r w:rsidRPr="008D38F6">
        <w:rPr>
          <w:rFonts w:cs="Tahoma"/>
          <w:color w:val="000000"/>
          <w:szCs w:val="20"/>
          <w:lang w:val="pt-BR"/>
        </w:rPr>
        <w:t>Windows Server™ 2008 R2 Itanium Based Systems</w:t>
      </w:r>
    </w:p>
    <w:p w:rsidR="00101CDD" w:rsidRPr="008D38F6" w:rsidRDefault="00101CDD" w:rsidP="00EF4590">
      <w:pPr>
        <w:rPr>
          <w:lang w:val="pt-BR"/>
        </w:rPr>
      </w:pPr>
      <w:r w:rsidRPr="008D38F6">
        <w:rPr>
          <w:rFonts w:cs="Tahoma"/>
          <w:color w:val="000000"/>
          <w:szCs w:val="20"/>
          <w:lang w:val="pt-BR"/>
        </w:rPr>
        <w:t>Windows Server™ 2008 R2 Standard</w:t>
      </w:r>
    </w:p>
    <w:p w:rsidR="00CB0262" w:rsidRPr="008D38F6" w:rsidRDefault="00101CDD" w:rsidP="00EF4590">
      <w:pPr>
        <w:rPr>
          <w:lang w:val="pt-BR"/>
        </w:rPr>
      </w:pPr>
      <w:r w:rsidRPr="008D38F6">
        <w:rPr>
          <w:rFonts w:cs="Tahoma"/>
          <w:color w:val="000000"/>
          <w:szCs w:val="20"/>
          <w:lang w:val="pt-BR"/>
        </w:rPr>
        <w:t>External Connector do Windows Server™ 2008</w:t>
      </w:r>
    </w:p>
    <w:p w:rsidR="00CB0262" w:rsidRPr="008D38F6" w:rsidRDefault="00101CDD" w:rsidP="00EF4590">
      <w:pPr>
        <w:rPr>
          <w:lang w:val="pt-BR"/>
        </w:rPr>
      </w:pPr>
      <w:r w:rsidRPr="008D38F6">
        <w:rPr>
          <w:rFonts w:cs="Tahoma"/>
          <w:color w:val="000000"/>
          <w:szCs w:val="20"/>
          <w:lang w:val="pt-BR"/>
        </w:rPr>
        <w:t>CAL de Serviços de Área de Trabalho Remota do Windows Server™ 2008</w:t>
      </w:r>
    </w:p>
    <w:p w:rsidR="00101CDD" w:rsidRPr="008D38F6" w:rsidRDefault="00101CDD" w:rsidP="00EF4590">
      <w:pPr>
        <w:rPr>
          <w:lang w:val="pt-BR"/>
        </w:rPr>
      </w:pPr>
      <w:r w:rsidRPr="008D38F6">
        <w:rPr>
          <w:rFonts w:cs="Tahoma"/>
          <w:color w:val="000000"/>
          <w:szCs w:val="20"/>
          <w:lang w:val="pt-BR"/>
        </w:rPr>
        <w:t>External Connector dos Serviços de Área de Trabalho Remota do Windows Server™ 2008</w:t>
      </w:r>
    </w:p>
    <w:p w:rsidR="00101CDD" w:rsidRPr="008D38F6" w:rsidRDefault="00101CDD" w:rsidP="00EF4590">
      <w:pPr>
        <w:rPr>
          <w:lang w:val="pt-BR"/>
        </w:rPr>
      </w:pPr>
      <w:r w:rsidRPr="008D38F6">
        <w:rPr>
          <w:rFonts w:cs="Tahoma"/>
          <w:color w:val="000000"/>
          <w:szCs w:val="20"/>
          <w:lang w:val="pt-BR"/>
        </w:rPr>
        <w:t>CAL dos Serviços de Gerenciamento de Direitos do Windows Server™ 2008</w:t>
      </w:r>
    </w:p>
    <w:p w:rsidR="00101CDD" w:rsidRPr="008D38F6" w:rsidRDefault="00101CDD" w:rsidP="00EF4590">
      <w:pPr>
        <w:rPr>
          <w:lang w:val="pt-BR"/>
        </w:rPr>
      </w:pPr>
      <w:r w:rsidRPr="008D38F6">
        <w:rPr>
          <w:rFonts w:cs="Tahoma"/>
          <w:color w:val="000000"/>
          <w:szCs w:val="20"/>
          <w:lang w:val="pt-BR"/>
        </w:rPr>
        <w:t>External Connector dos Serviços de Gerenciamento de Direitos do Windows Server™ 2008</w:t>
      </w:r>
    </w:p>
    <w:p w:rsidR="00101CDD" w:rsidRPr="00416070" w:rsidRDefault="00101CDD" w:rsidP="00EF4590">
      <w:r w:rsidRPr="00416070">
        <w:rPr>
          <w:rFonts w:cs="Tahoma"/>
          <w:color w:val="000000"/>
          <w:szCs w:val="20"/>
        </w:rPr>
        <w:t>Windows Web Server 2008 R2</w:t>
      </w:r>
    </w:p>
    <w:p w:rsidR="00101CDD" w:rsidRPr="00416070" w:rsidRDefault="00101CDD" w:rsidP="00EF4590">
      <w:r w:rsidRPr="00416070">
        <w:rPr>
          <w:rFonts w:cs="Tahoma"/>
          <w:color w:val="000000"/>
          <w:szCs w:val="20"/>
        </w:rPr>
        <w:t>HPC Pack 2008 R2 Enterprise</w:t>
      </w:r>
    </w:p>
    <w:p w:rsidR="00101CDD" w:rsidRPr="00416070" w:rsidRDefault="00101CDD" w:rsidP="00EF4590">
      <w:r w:rsidRPr="00416070">
        <w:rPr>
          <w:rFonts w:cs="Tahoma"/>
          <w:color w:val="000000"/>
          <w:szCs w:val="20"/>
        </w:rPr>
        <w:t>HPC Pack 2008 R2 para Workstation</w:t>
      </w:r>
    </w:p>
    <w:p w:rsidR="00101CDD" w:rsidRPr="00416070" w:rsidRDefault="00101CDD" w:rsidP="00EF4590">
      <w:r w:rsidRPr="00416070">
        <w:rPr>
          <w:rFonts w:cs="Tahoma"/>
          <w:color w:val="000000"/>
          <w:szCs w:val="20"/>
        </w:rPr>
        <w:t>Windows HPC Server 2008 R2 Suite</w:t>
      </w:r>
    </w:p>
    <w:p w:rsidR="00101CDD" w:rsidRPr="00416070" w:rsidRDefault="00101CDD" w:rsidP="00EF4590">
      <w:r w:rsidRPr="00416070">
        <w:rPr>
          <w:rFonts w:cs="Tahoma"/>
          <w:color w:val="000000"/>
          <w:szCs w:val="20"/>
        </w:rPr>
        <w:t>Win Starter 7</w:t>
      </w:r>
    </w:p>
    <w:p w:rsidR="00101CDD" w:rsidRPr="008D38F6" w:rsidRDefault="00101CDD" w:rsidP="00EF4590">
      <w:pPr>
        <w:rPr>
          <w:lang w:val="pt-BR"/>
        </w:rPr>
      </w:pPr>
      <w:r w:rsidRPr="008D38F6">
        <w:rPr>
          <w:rFonts w:cs="Tahoma"/>
          <w:color w:val="000000"/>
          <w:szCs w:val="20"/>
          <w:lang w:val="pt-BR"/>
        </w:rPr>
        <w:t>Atualização para Win 7 Professional</w:t>
      </w:r>
    </w:p>
    <w:p w:rsidR="001253FF" w:rsidRPr="008D38F6" w:rsidRDefault="001253FF" w:rsidP="00EF4590">
      <w:pPr>
        <w:rPr>
          <w:lang w:val="pt-BR"/>
        </w:rPr>
      </w:pPr>
      <w:r w:rsidRPr="008D38F6">
        <w:rPr>
          <w:rFonts w:cs="Tahoma"/>
          <w:color w:val="000000"/>
          <w:szCs w:val="18"/>
          <w:lang w:val="pt-BR"/>
        </w:rPr>
        <w:t>Windows 7 Professional com MDOP</w:t>
      </w:r>
    </w:p>
    <w:p w:rsidR="00CB0262" w:rsidRPr="008D38F6" w:rsidRDefault="00CB0262" w:rsidP="00EF4590">
      <w:pPr>
        <w:rPr>
          <w:lang w:val="pt-BR"/>
        </w:rPr>
      </w:pPr>
    </w:p>
    <w:p w:rsidR="00CA15C4" w:rsidRPr="008D38F6" w:rsidRDefault="00CA15C4" w:rsidP="00EF4590">
      <w:pPr>
        <w:rPr>
          <w:lang w:val="pt-BR"/>
        </w:rPr>
      </w:pPr>
    </w:p>
    <w:p w:rsidR="00EB4DA8" w:rsidRPr="00416070" w:rsidRDefault="00EB4DA8" w:rsidP="00EB4DA8">
      <w:pPr>
        <w:pStyle w:val="Heading2"/>
        <w:ind w:left="0"/>
        <w:jc w:val="both"/>
      </w:pPr>
      <w:bookmarkStart w:id="631" w:name="_Toc336338171"/>
      <w:bookmarkStart w:id="632" w:name="_Toc352234247"/>
      <w:r w:rsidRPr="00416070">
        <w:rPr>
          <w:rFonts w:ascii="Tahoma" w:hAnsi="Tahoma" w:cs="Tahoma"/>
          <w:color w:val="FF6600"/>
        </w:rPr>
        <w:lastRenderedPageBreak/>
        <w:t>ALTERAÇÕES EM AGOSTO DE 2012</w:t>
      </w:r>
      <w:bookmarkEnd w:id="631"/>
      <w:bookmarkEnd w:id="632"/>
    </w:p>
    <w:p w:rsidR="00EB4DA8" w:rsidRPr="008D38F6" w:rsidRDefault="00EB4DA8" w:rsidP="00EB4DA8">
      <w:pPr>
        <w:rPr>
          <w:lang w:val="pt-BR"/>
        </w:rPr>
      </w:pPr>
    </w:p>
    <w:p w:rsidR="00EB4DA8" w:rsidRPr="008D38F6" w:rsidRDefault="00EB4DA8" w:rsidP="003E606C">
      <w:pPr>
        <w:spacing w:after="60"/>
        <w:rPr>
          <w:lang w:val="pt-BR"/>
        </w:rPr>
      </w:pPr>
      <w:r w:rsidRPr="008D38F6">
        <w:rPr>
          <w:b/>
          <w:lang w:val="pt-BR"/>
        </w:rPr>
        <w:t>Adições</w:t>
      </w:r>
    </w:p>
    <w:p w:rsidR="00EB4DA8" w:rsidRPr="008D38F6" w:rsidRDefault="00EB4DA8" w:rsidP="00EB4DA8">
      <w:pPr>
        <w:rPr>
          <w:lang w:val="pt-BR"/>
        </w:rPr>
      </w:pPr>
      <w:r w:rsidRPr="008D38F6">
        <w:rPr>
          <w:rFonts w:cs="Tahoma"/>
          <w:szCs w:val="18"/>
          <w:lang w:val="pt-BR"/>
        </w:rPr>
        <w:t>MapPoint</w:t>
      </w:r>
      <w:r w:rsidR="00510A6E" w:rsidRPr="008D38F6">
        <w:rPr>
          <w:rFonts w:cs="Tahoma"/>
          <w:szCs w:val="18"/>
          <w:vertAlign w:val="superscript"/>
          <w:lang w:val="pt-BR"/>
        </w:rPr>
        <w:t>®</w:t>
      </w:r>
      <w:r w:rsidRPr="008D38F6">
        <w:rPr>
          <w:rFonts w:cs="Tahoma"/>
          <w:szCs w:val="18"/>
          <w:lang w:val="pt-BR"/>
        </w:rPr>
        <w:t xml:space="preserve"> Fleet Edition 2013</w:t>
      </w:r>
    </w:p>
    <w:p w:rsidR="00EB4DA8" w:rsidRPr="008D38F6" w:rsidRDefault="00EB4DA8" w:rsidP="00EB4DA8">
      <w:pPr>
        <w:rPr>
          <w:lang w:val="pt-BR"/>
        </w:rPr>
      </w:pPr>
      <w:r w:rsidRPr="008D38F6">
        <w:rPr>
          <w:rFonts w:cs="Tahoma"/>
          <w:szCs w:val="18"/>
          <w:lang w:val="pt-BR"/>
        </w:rPr>
        <w:t>MapPoint</w:t>
      </w:r>
      <w:r w:rsidR="00510A6E" w:rsidRPr="008D38F6">
        <w:rPr>
          <w:rFonts w:cs="Tahoma"/>
          <w:szCs w:val="18"/>
          <w:vertAlign w:val="superscript"/>
          <w:lang w:val="pt-BR"/>
        </w:rPr>
        <w:t>®</w:t>
      </w:r>
      <w:r w:rsidRPr="008D38F6">
        <w:rPr>
          <w:rFonts w:cs="Tahoma"/>
          <w:szCs w:val="18"/>
          <w:lang w:val="pt-BR"/>
        </w:rPr>
        <w:t xml:space="preserve"> 2013 para Windows </w:t>
      </w:r>
    </w:p>
    <w:p w:rsidR="00DA364B" w:rsidRPr="008D38F6" w:rsidRDefault="00DA364B" w:rsidP="00EB4DA8">
      <w:pPr>
        <w:rPr>
          <w:lang w:val="pt-BR"/>
        </w:rPr>
      </w:pPr>
      <w:r w:rsidRPr="008D38F6">
        <w:rPr>
          <w:rFonts w:cs="Tahoma"/>
          <w:szCs w:val="18"/>
          <w:lang w:val="pt-BR"/>
        </w:rPr>
        <w:t>API do Tradutor da Microsoft</w:t>
      </w:r>
    </w:p>
    <w:p w:rsidR="009E224B" w:rsidRPr="00416070" w:rsidRDefault="009E224B" w:rsidP="00EB4DA8">
      <w:r w:rsidRPr="00416070">
        <w:rPr>
          <w:rFonts w:cs="Tahoma"/>
          <w:szCs w:val="18"/>
        </w:rPr>
        <w:t>Office 365 Planos G1-G4</w:t>
      </w:r>
    </w:p>
    <w:p w:rsidR="00EB4DA8" w:rsidRPr="00416070" w:rsidRDefault="00AA0B4F" w:rsidP="00EB4DA8">
      <w:r>
        <w:rPr>
          <w:rFonts w:cs="Tahoma"/>
          <w:szCs w:val="18"/>
        </w:rPr>
        <w:t>Streets and Trips 2013</w:t>
      </w:r>
    </w:p>
    <w:p w:rsidR="00EB4DA8" w:rsidRPr="00416070" w:rsidRDefault="00EB4DA8" w:rsidP="00EB4DA8"/>
    <w:p w:rsidR="00EB4DA8" w:rsidRPr="008D38F6" w:rsidRDefault="00EB4DA8" w:rsidP="003E606C">
      <w:pPr>
        <w:spacing w:after="60"/>
        <w:rPr>
          <w:lang w:val="pt-BR"/>
        </w:rPr>
      </w:pPr>
      <w:r w:rsidRPr="008D38F6">
        <w:rPr>
          <w:b/>
          <w:lang w:val="pt-BR"/>
        </w:rPr>
        <w:t>Promoções</w:t>
      </w:r>
    </w:p>
    <w:p w:rsidR="00EB4DA8" w:rsidRPr="008D38F6" w:rsidRDefault="00EB4DA8" w:rsidP="00EB4DA8">
      <w:pPr>
        <w:rPr>
          <w:lang w:val="pt-BR"/>
        </w:rPr>
      </w:pPr>
      <w:r w:rsidRPr="008D38F6">
        <w:rPr>
          <w:rFonts w:cs="Tahoma"/>
          <w:color w:val="000000"/>
          <w:szCs w:val="18"/>
          <w:lang w:val="pt-BR"/>
        </w:rPr>
        <w:t>Não há adições, exclusões nem términos de promoções.</w:t>
      </w:r>
    </w:p>
    <w:p w:rsidR="00EB4DA8" w:rsidRPr="00416070" w:rsidRDefault="00EB4DA8" w:rsidP="003E606C">
      <w:pPr>
        <w:spacing w:after="60"/>
      </w:pPr>
      <w:r w:rsidRPr="00B06414">
        <w:rPr>
          <w:rFonts w:cs="Tahoma"/>
          <w:szCs w:val="18"/>
        </w:rPr>
        <w:br/>
      </w:r>
      <w:r w:rsidRPr="00416070">
        <w:rPr>
          <w:b/>
        </w:rPr>
        <w:t>Exclusões</w:t>
      </w:r>
    </w:p>
    <w:p w:rsidR="00EB4DA8" w:rsidRPr="00416070" w:rsidRDefault="00EB4DA8" w:rsidP="00EB4DA8">
      <w:r w:rsidRPr="00416070">
        <w:rPr>
          <w:rFonts w:cs="Tahoma"/>
          <w:szCs w:val="18"/>
        </w:rPr>
        <w:t>MapPoint</w:t>
      </w:r>
      <w:r w:rsidR="00510A6E" w:rsidRPr="00416070">
        <w:rPr>
          <w:rFonts w:cs="Tahoma"/>
          <w:szCs w:val="18"/>
          <w:vertAlign w:val="superscript"/>
        </w:rPr>
        <w:t>®</w:t>
      </w:r>
      <w:r w:rsidRPr="00416070">
        <w:rPr>
          <w:rFonts w:cs="Tahoma"/>
          <w:szCs w:val="18"/>
        </w:rPr>
        <w:t xml:space="preserve"> Fleet Edition 2011</w:t>
      </w:r>
    </w:p>
    <w:p w:rsidR="00EB4DA8" w:rsidRPr="00416070" w:rsidRDefault="00EB4DA8" w:rsidP="00EB4DA8">
      <w:r w:rsidRPr="00416070">
        <w:rPr>
          <w:rFonts w:cs="Tahoma"/>
          <w:szCs w:val="18"/>
        </w:rPr>
        <w:t>MapPoint</w:t>
      </w:r>
      <w:r w:rsidR="00510A6E" w:rsidRPr="00416070">
        <w:rPr>
          <w:rFonts w:cs="Tahoma"/>
          <w:szCs w:val="18"/>
          <w:vertAlign w:val="superscript"/>
        </w:rPr>
        <w:t>®</w:t>
      </w:r>
      <w:r w:rsidRPr="00416070">
        <w:rPr>
          <w:rFonts w:cs="Tahoma"/>
          <w:szCs w:val="18"/>
        </w:rPr>
        <w:t xml:space="preserve"> 2011 para Windows </w:t>
      </w:r>
    </w:p>
    <w:p w:rsidR="00EB4DA8" w:rsidRPr="008D38F6" w:rsidRDefault="00AA0B4F" w:rsidP="00EB4DA8">
      <w:pPr>
        <w:rPr>
          <w:lang w:val="pt-BR"/>
        </w:rPr>
      </w:pPr>
      <w:r w:rsidRPr="008D38F6">
        <w:rPr>
          <w:rFonts w:cs="Tahoma"/>
          <w:szCs w:val="18"/>
          <w:lang w:val="pt-BR"/>
        </w:rPr>
        <w:t>Streets and Trips 2011</w:t>
      </w:r>
    </w:p>
    <w:p w:rsidR="00EB4DA8" w:rsidRPr="008D38F6" w:rsidRDefault="00EB4DA8" w:rsidP="00EB4DA8">
      <w:pPr>
        <w:rPr>
          <w:b/>
          <w:szCs w:val="18"/>
          <w:lang w:val="pt-BR"/>
        </w:rPr>
      </w:pPr>
    </w:p>
    <w:p w:rsidR="00EB4DA8" w:rsidRPr="00416070" w:rsidRDefault="00EB4DA8" w:rsidP="005A23F4">
      <w:pPr>
        <w:pStyle w:val="Heading2"/>
        <w:ind w:left="0"/>
        <w:jc w:val="both"/>
        <w:rPr>
          <w:rFonts w:ascii="Tahoma" w:hAnsi="Tahoma" w:cs="Tahoma"/>
          <w:sz w:val="18"/>
          <w:szCs w:val="18"/>
        </w:rPr>
      </w:pPr>
    </w:p>
    <w:p w:rsidR="005A23F4" w:rsidRPr="00416070" w:rsidRDefault="005A23F4" w:rsidP="005A23F4">
      <w:pPr>
        <w:pStyle w:val="Heading2"/>
        <w:ind w:left="0"/>
        <w:jc w:val="both"/>
      </w:pPr>
      <w:bookmarkStart w:id="633" w:name="_Toc336338172"/>
      <w:bookmarkStart w:id="634" w:name="_Toc352234248"/>
      <w:r w:rsidRPr="00416070">
        <w:rPr>
          <w:rFonts w:ascii="Tahoma" w:hAnsi="Tahoma" w:cs="Tahoma"/>
          <w:color w:val="FF6600"/>
        </w:rPr>
        <w:t>ALTERAÇÕES EM JULHO DE 2012 CHANGES</w:t>
      </w:r>
      <w:bookmarkEnd w:id="633"/>
      <w:bookmarkEnd w:id="634"/>
    </w:p>
    <w:p w:rsidR="005A23F4" w:rsidRPr="008D38F6" w:rsidRDefault="005A23F4" w:rsidP="005A23F4">
      <w:pPr>
        <w:rPr>
          <w:lang w:val="pt-BR"/>
        </w:rPr>
      </w:pPr>
    </w:p>
    <w:p w:rsidR="00172CBA" w:rsidRPr="008D38F6" w:rsidRDefault="00172CBA" w:rsidP="003E606C">
      <w:pPr>
        <w:spacing w:after="60"/>
        <w:rPr>
          <w:lang w:val="pt-BR"/>
        </w:rPr>
      </w:pPr>
      <w:r w:rsidRPr="008D38F6">
        <w:rPr>
          <w:b/>
          <w:lang w:val="pt-BR"/>
        </w:rPr>
        <w:t>Adições</w:t>
      </w:r>
    </w:p>
    <w:p w:rsidR="00856858" w:rsidRPr="008D38F6" w:rsidRDefault="00856858" w:rsidP="00FF73C5">
      <w:pPr>
        <w:rPr>
          <w:lang w:val="pt-BR"/>
        </w:rPr>
      </w:pPr>
      <w:r w:rsidRPr="008D38F6">
        <w:rPr>
          <w:rFonts w:cs="Tahoma"/>
          <w:szCs w:val="18"/>
          <w:lang w:val="pt-BR"/>
        </w:rPr>
        <w:t>Lync Online Plano 3</w:t>
      </w:r>
    </w:p>
    <w:p w:rsidR="00B1779F" w:rsidRPr="008D38F6" w:rsidRDefault="00B1779F" w:rsidP="00492E6C">
      <w:pPr>
        <w:rPr>
          <w:lang w:val="pt-BR"/>
        </w:rPr>
      </w:pPr>
      <w:r w:rsidRPr="008D38F6">
        <w:rPr>
          <w:rFonts w:cs="Tahoma"/>
          <w:szCs w:val="18"/>
          <w:lang w:val="pt-BR"/>
        </w:rPr>
        <w:t>Lync Online Plano 3A</w:t>
      </w:r>
    </w:p>
    <w:p w:rsidR="00856858" w:rsidRPr="008D38F6" w:rsidRDefault="00856858" w:rsidP="00DA364B">
      <w:pPr>
        <w:rPr>
          <w:lang w:val="pt-BR"/>
        </w:rPr>
      </w:pPr>
      <w:r w:rsidRPr="008D38F6">
        <w:rPr>
          <w:rFonts w:cs="Tahoma"/>
          <w:szCs w:val="18"/>
          <w:lang w:val="pt-BR"/>
        </w:rPr>
        <w:t>Aplicativos da Web do Office com SharePoint Plano 2A</w:t>
      </w:r>
    </w:p>
    <w:p w:rsidR="00172CBA" w:rsidRPr="00416070" w:rsidRDefault="00856858" w:rsidP="00543693">
      <w:r w:rsidRPr="00416070">
        <w:rPr>
          <w:rFonts w:cs="Tahoma"/>
          <w:szCs w:val="18"/>
        </w:rPr>
        <w:t xml:space="preserve">Learning Solutions IT Academy (SL de Usuário) </w:t>
      </w:r>
    </w:p>
    <w:p w:rsidR="00172CBA" w:rsidRPr="00416070" w:rsidRDefault="00172CBA" w:rsidP="00546475"/>
    <w:p w:rsidR="00172CBA" w:rsidRPr="008D38F6" w:rsidRDefault="00172CBA" w:rsidP="003E606C">
      <w:pPr>
        <w:spacing w:after="60"/>
        <w:rPr>
          <w:lang w:val="pt-BR"/>
        </w:rPr>
      </w:pPr>
      <w:r w:rsidRPr="008D38F6">
        <w:rPr>
          <w:b/>
          <w:lang w:val="pt-BR"/>
        </w:rPr>
        <w:t>Promoções</w:t>
      </w:r>
    </w:p>
    <w:p w:rsidR="00172CBA" w:rsidRPr="008D38F6" w:rsidRDefault="00172CBA" w:rsidP="002765CF">
      <w:pPr>
        <w:rPr>
          <w:lang w:val="pt-BR"/>
        </w:rPr>
      </w:pPr>
      <w:bookmarkStart w:id="635" w:name="_Toc325609137"/>
      <w:r w:rsidRPr="008D38F6">
        <w:rPr>
          <w:rFonts w:cs="Tahoma"/>
          <w:color w:val="000000"/>
          <w:szCs w:val="18"/>
          <w:lang w:val="pt-BR"/>
        </w:rPr>
        <w:t>Não há adições, exclusões nem términos de promoções.</w:t>
      </w:r>
      <w:bookmarkEnd w:id="635"/>
    </w:p>
    <w:p w:rsidR="00172CBA" w:rsidRPr="008D38F6" w:rsidRDefault="00172CBA" w:rsidP="003E606C">
      <w:pPr>
        <w:spacing w:after="60"/>
        <w:rPr>
          <w:lang w:val="pt-BR"/>
        </w:rPr>
      </w:pPr>
      <w:r w:rsidRPr="008D38F6">
        <w:rPr>
          <w:rFonts w:cs="Tahoma"/>
          <w:szCs w:val="18"/>
          <w:lang w:val="pt-BR"/>
        </w:rPr>
        <w:br/>
      </w:r>
      <w:r w:rsidRPr="008D38F6">
        <w:rPr>
          <w:b/>
          <w:lang w:val="pt-BR"/>
        </w:rPr>
        <w:t>Exclusões</w:t>
      </w:r>
    </w:p>
    <w:p w:rsidR="00172CBA" w:rsidRPr="008D38F6" w:rsidRDefault="00172CBA" w:rsidP="00EB4DA8">
      <w:pPr>
        <w:rPr>
          <w:lang w:val="pt-BR"/>
        </w:rPr>
      </w:pPr>
      <w:r w:rsidRPr="008D38F6">
        <w:rPr>
          <w:rFonts w:cs="Tahoma"/>
          <w:color w:val="000000"/>
          <w:szCs w:val="20"/>
          <w:lang w:val="pt-BR"/>
        </w:rPr>
        <w:t>Não houve exclusões de produtos.</w:t>
      </w:r>
    </w:p>
    <w:p w:rsidR="00B1779F" w:rsidRPr="008D38F6" w:rsidRDefault="00B1779F" w:rsidP="00EB4DA8">
      <w:pPr>
        <w:rPr>
          <w:lang w:val="pt-BR"/>
        </w:rPr>
      </w:pPr>
    </w:p>
    <w:p w:rsidR="00B1779F" w:rsidRPr="008D38F6" w:rsidRDefault="00B1779F" w:rsidP="003E606C">
      <w:pPr>
        <w:spacing w:after="60"/>
        <w:rPr>
          <w:lang w:val="pt-BR"/>
        </w:rPr>
      </w:pPr>
      <w:r w:rsidRPr="008D38F6">
        <w:rPr>
          <w:b/>
          <w:lang w:val="pt-BR"/>
        </w:rPr>
        <w:t>Outras Alterações</w:t>
      </w:r>
    </w:p>
    <w:p w:rsidR="00B1779F" w:rsidRPr="008D38F6" w:rsidRDefault="00B1779F" w:rsidP="00EB4DA8">
      <w:pPr>
        <w:rPr>
          <w:lang w:val="pt-BR"/>
        </w:rPr>
      </w:pPr>
      <w:r w:rsidRPr="008D38F6">
        <w:rPr>
          <w:rFonts w:cs="Tahoma"/>
          <w:color w:val="000000"/>
          <w:szCs w:val="20"/>
          <w:lang w:val="pt-BR"/>
        </w:rPr>
        <w:t xml:space="preserve">As Seções 3 a 5 foram reorganizadas nas Seções 3 a 9 para melhorias de uso. </w:t>
      </w:r>
    </w:p>
    <w:p w:rsidR="008302F4" w:rsidRPr="008D38F6" w:rsidRDefault="008302F4" w:rsidP="008302F4">
      <w:pPr>
        <w:rPr>
          <w:b/>
          <w:lang w:val="pt-BR" w:eastAsia="x-none"/>
        </w:rPr>
      </w:pPr>
    </w:p>
    <w:p w:rsidR="008302F4" w:rsidRPr="008D38F6" w:rsidRDefault="008302F4" w:rsidP="008302F4">
      <w:pPr>
        <w:rPr>
          <w:b/>
          <w:lang w:val="pt-BR" w:eastAsia="x-none"/>
        </w:rPr>
      </w:pPr>
    </w:p>
    <w:p w:rsidR="00BB6A1F" w:rsidRPr="00416070" w:rsidRDefault="00E702AC" w:rsidP="00BB6A1F">
      <w:pPr>
        <w:pStyle w:val="Heading2"/>
        <w:ind w:left="0"/>
        <w:jc w:val="both"/>
      </w:pPr>
      <w:bookmarkStart w:id="636" w:name="_Toc336338173"/>
      <w:bookmarkStart w:id="637" w:name="_Toc352234249"/>
      <w:r w:rsidRPr="00416070">
        <w:rPr>
          <w:rFonts w:ascii="Tahoma" w:hAnsi="Tahoma" w:cs="Tahoma"/>
          <w:color w:val="FF6600"/>
        </w:rPr>
        <w:t>ALTERAÇÕES EM JUNHO DE 2012</w:t>
      </w:r>
      <w:bookmarkEnd w:id="636"/>
      <w:bookmarkEnd w:id="637"/>
    </w:p>
    <w:p w:rsidR="00BB6A1F" w:rsidRPr="008D38F6" w:rsidRDefault="00BB6A1F" w:rsidP="00BB6A1F">
      <w:pPr>
        <w:rPr>
          <w:b/>
          <w:lang w:val="pt-BR"/>
        </w:rPr>
      </w:pPr>
    </w:p>
    <w:p w:rsidR="00BB6A1F" w:rsidRPr="008D38F6" w:rsidRDefault="00BB6A1F" w:rsidP="003E606C">
      <w:pPr>
        <w:spacing w:after="60"/>
        <w:rPr>
          <w:lang w:val="pt-BR"/>
        </w:rPr>
      </w:pPr>
      <w:r w:rsidRPr="008D38F6">
        <w:rPr>
          <w:b/>
          <w:lang w:val="pt-BR"/>
        </w:rPr>
        <w:t>Adições</w:t>
      </w:r>
    </w:p>
    <w:p w:rsidR="00B435C3" w:rsidRPr="008D38F6" w:rsidRDefault="00B435C3" w:rsidP="00BA3004">
      <w:pPr>
        <w:rPr>
          <w:lang w:val="pt-BR"/>
        </w:rPr>
      </w:pPr>
      <w:r w:rsidRPr="008D38F6">
        <w:rPr>
          <w:rFonts w:cs="Tahoma"/>
          <w:szCs w:val="18"/>
          <w:lang w:val="pt-BR"/>
        </w:rPr>
        <w:t>Dynamics CRM Mobile (Online; Por Usuário)</w:t>
      </w:r>
    </w:p>
    <w:p w:rsidR="00B435C3" w:rsidRPr="008D38F6" w:rsidRDefault="00B435C3" w:rsidP="00BA3004">
      <w:pPr>
        <w:rPr>
          <w:lang w:val="pt-BR"/>
        </w:rPr>
      </w:pPr>
      <w:r w:rsidRPr="008D38F6">
        <w:rPr>
          <w:rFonts w:cs="Tahoma"/>
          <w:szCs w:val="18"/>
          <w:lang w:val="pt-BR"/>
        </w:rPr>
        <w:t>Dynamics CRM Onprem Mobile</w:t>
      </w:r>
    </w:p>
    <w:p w:rsidR="004945FA" w:rsidRPr="008D38F6" w:rsidRDefault="004945FA" w:rsidP="00BA3004">
      <w:pPr>
        <w:rPr>
          <w:lang w:val="pt-BR"/>
        </w:rPr>
      </w:pPr>
      <w:r w:rsidRPr="008D38F6">
        <w:rPr>
          <w:rFonts w:eastAsia="Calibri" w:cs="Tahoma"/>
          <w:color w:val="000000"/>
          <w:szCs w:val="18"/>
          <w:lang w:val="pt-BR"/>
        </w:rPr>
        <w:t>Servidor A (SL de Usuário)</w:t>
      </w:r>
    </w:p>
    <w:p w:rsidR="00AD5DCD" w:rsidRPr="008D38F6" w:rsidRDefault="00AD5DCD" w:rsidP="00BA3004">
      <w:pPr>
        <w:rPr>
          <w:lang w:val="pt-BR"/>
        </w:rPr>
      </w:pPr>
      <w:r w:rsidRPr="008D38F6">
        <w:rPr>
          <w:rFonts w:cs="Tahoma"/>
          <w:color w:val="000000"/>
          <w:szCs w:val="18"/>
          <w:lang w:val="pt-BR"/>
        </w:rPr>
        <w:t>Exchange Online Plan 1A para Alunos</w:t>
      </w:r>
    </w:p>
    <w:p w:rsidR="00AD5DCD" w:rsidRPr="008D38F6" w:rsidRDefault="00AD5DCD" w:rsidP="00BA3004">
      <w:pPr>
        <w:rPr>
          <w:lang w:val="pt-BR"/>
        </w:rPr>
      </w:pPr>
      <w:r w:rsidRPr="008D38F6">
        <w:rPr>
          <w:rFonts w:cs="Tahoma"/>
          <w:color w:val="000000"/>
          <w:szCs w:val="18"/>
          <w:lang w:val="pt-BR"/>
        </w:rPr>
        <w:t>Exchange Online Plano 2A</w:t>
      </w:r>
    </w:p>
    <w:p w:rsidR="007B4641" w:rsidRPr="008D38F6" w:rsidRDefault="007B4641" w:rsidP="00BA3004">
      <w:pPr>
        <w:rPr>
          <w:lang w:val="pt-BR"/>
        </w:rPr>
      </w:pPr>
      <w:r w:rsidRPr="008D38F6">
        <w:rPr>
          <w:rFonts w:cs="Tahoma"/>
          <w:color w:val="000000"/>
          <w:szCs w:val="20"/>
          <w:lang w:val="pt-BR"/>
        </w:rPr>
        <w:t>CAL do Forefront Identity Manager 2010 R2 (Somente usuário)</w:t>
      </w:r>
    </w:p>
    <w:p w:rsidR="004945FA" w:rsidRPr="00416070" w:rsidRDefault="004945FA" w:rsidP="00BA3004">
      <w:r w:rsidRPr="00416070">
        <w:rPr>
          <w:rFonts w:cs="Tahoma"/>
          <w:color w:val="000000"/>
          <w:szCs w:val="20"/>
        </w:rPr>
        <w:t>Forefront Identity Manager 2010 R2 External Connector</w:t>
      </w:r>
    </w:p>
    <w:p w:rsidR="004945FA" w:rsidRPr="00416070" w:rsidRDefault="004945FA" w:rsidP="00BA3004">
      <w:r w:rsidRPr="00416070">
        <w:rPr>
          <w:rFonts w:cs="Tahoma"/>
          <w:color w:val="000000"/>
          <w:szCs w:val="20"/>
        </w:rPr>
        <w:t>Forefront Identity Manager 2010 R2 Server</w:t>
      </w:r>
    </w:p>
    <w:p w:rsidR="004945FA" w:rsidRPr="00416070" w:rsidRDefault="004945FA" w:rsidP="00BA3004">
      <w:r w:rsidRPr="00416070">
        <w:rPr>
          <w:rFonts w:cs="Tahoma"/>
          <w:color w:val="000000"/>
          <w:szCs w:val="20"/>
        </w:rPr>
        <w:t>Forefront Identity Manager 2010 R2 – Windows Live Edition</w:t>
      </w:r>
    </w:p>
    <w:p w:rsidR="00834000" w:rsidRPr="008D38F6" w:rsidRDefault="00834000" w:rsidP="00BA3004">
      <w:pPr>
        <w:rPr>
          <w:lang w:val="pt-BR"/>
        </w:rPr>
      </w:pPr>
      <w:r w:rsidRPr="008D38F6">
        <w:rPr>
          <w:rFonts w:cs="Tahoma"/>
          <w:color w:val="000000"/>
          <w:szCs w:val="20"/>
          <w:lang w:val="pt-BR"/>
        </w:rPr>
        <w:t>Office 365 A2-A4 (SL de Usuário)</w:t>
      </w:r>
    </w:p>
    <w:p w:rsidR="00834000" w:rsidRPr="008D38F6" w:rsidRDefault="00834000" w:rsidP="00BA3004">
      <w:pPr>
        <w:rPr>
          <w:lang w:val="pt-BR"/>
        </w:rPr>
      </w:pPr>
      <w:r w:rsidRPr="008D38F6">
        <w:rPr>
          <w:rFonts w:cs="Tahoma"/>
          <w:color w:val="000000"/>
          <w:szCs w:val="20"/>
          <w:lang w:val="pt-BR"/>
        </w:rPr>
        <w:t xml:space="preserve">Assinatura A do Office Professional Plus </w:t>
      </w:r>
      <w:r w:rsidRPr="008D38F6">
        <w:rPr>
          <w:rFonts w:cs="Tahoma"/>
          <w:color w:val="000000"/>
          <w:szCs w:val="18"/>
          <w:lang w:val="pt-BR"/>
        </w:rPr>
        <w:t>(SL de Usuário)</w:t>
      </w:r>
    </w:p>
    <w:p w:rsidR="00834000" w:rsidRPr="008D38F6" w:rsidRDefault="00834000" w:rsidP="00BA3004">
      <w:pPr>
        <w:rPr>
          <w:lang w:val="pt-BR"/>
        </w:rPr>
      </w:pPr>
      <w:r w:rsidRPr="008D38F6">
        <w:rPr>
          <w:rFonts w:cs="Tahoma"/>
          <w:color w:val="000000"/>
          <w:szCs w:val="18"/>
          <w:lang w:val="pt-BR"/>
        </w:rPr>
        <w:t>Aplicativos da Web do Office A (SL do Usuário)</w:t>
      </w:r>
    </w:p>
    <w:p w:rsidR="00D82FA6" w:rsidRPr="008D38F6" w:rsidRDefault="00A862BA" w:rsidP="00BA3004">
      <w:pPr>
        <w:rPr>
          <w:lang w:val="pt-BR"/>
        </w:rPr>
      </w:pPr>
      <w:r w:rsidRPr="008D38F6">
        <w:rPr>
          <w:rFonts w:cs="Tahoma"/>
          <w:color w:val="000000"/>
          <w:szCs w:val="18"/>
          <w:lang w:val="pt-BR"/>
        </w:rPr>
        <w:t>Armazenamento Extra do SharePoint™ Online de A 1 GB (SL Complementar)</w:t>
      </w:r>
    </w:p>
    <w:p w:rsidR="00A862BA" w:rsidRPr="008D38F6" w:rsidRDefault="00A862BA" w:rsidP="00BA3004">
      <w:pPr>
        <w:rPr>
          <w:lang w:val="pt-BR"/>
        </w:rPr>
      </w:pPr>
    </w:p>
    <w:p w:rsidR="00BB6A1F" w:rsidRPr="008D38F6" w:rsidRDefault="00BB6A1F" w:rsidP="003E606C">
      <w:pPr>
        <w:spacing w:after="60"/>
        <w:rPr>
          <w:lang w:val="pt-BR"/>
        </w:rPr>
      </w:pPr>
      <w:r w:rsidRPr="008D38F6">
        <w:rPr>
          <w:b/>
          <w:lang w:val="pt-BR"/>
        </w:rPr>
        <w:t>Promoções</w:t>
      </w:r>
    </w:p>
    <w:p w:rsidR="00BB6A1F" w:rsidRPr="008D38F6" w:rsidRDefault="00751573" w:rsidP="00BA3004">
      <w:pPr>
        <w:rPr>
          <w:rFonts w:cs="Tahoma"/>
          <w:color w:val="000000"/>
          <w:szCs w:val="18"/>
          <w:lang w:val="pt-BR"/>
        </w:rPr>
      </w:pPr>
      <w:bookmarkStart w:id="638" w:name="_Toc323034103"/>
      <w:bookmarkStart w:id="639" w:name="_Toc325609139"/>
      <w:bookmarkStart w:id="640" w:name="_Toc328145933"/>
      <w:r w:rsidRPr="008D38F6">
        <w:rPr>
          <w:rFonts w:cs="Tahoma"/>
          <w:color w:val="000000"/>
          <w:szCs w:val="18"/>
          <w:lang w:val="pt-BR"/>
        </w:rPr>
        <w:t>Não há adições, exclusões nem términos de promoções.</w:t>
      </w:r>
      <w:bookmarkEnd w:id="638"/>
      <w:bookmarkEnd w:id="639"/>
      <w:bookmarkEnd w:id="640"/>
    </w:p>
    <w:p w:rsidR="006C074A" w:rsidRPr="008D38F6" w:rsidRDefault="006C074A" w:rsidP="00BA3004">
      <w:pPr>
        <w:rPr>
          <w:lang w:val="pt-BR"/>
        </w:rPr>
      </w:pPr>
    </w:p>
    <w:p w:rsidR="00BB6A1F" w:rsidRPr="008D38F6" w:rsidRDefault="00BB6A1F" w:rsidP="003E606C">
      <w:pPr>
        <w:spacing w:after="60"/>
        <w:rPr>
          <w:lang w:val="pt-BR"/>
        </w:rPr>
      </w:pPr>
      <w:r w:rsidRPr="008D38F6">
        <w:rPr>
          <w:b/>
          <w:lang w:val="pt-BR"/>
        </w:rPr>
        <w:lastRenderedPageBreak/>
        <w:t>Exclusões</w:t>
      </w:r>
    </w:p>
    <w:p w:rsidR="00BB6A1F" w:rsidRPr="008D38F6" w:rsidRDefault="007B4641" w:rsidP="00BA3004">
      <w:pPr>
        <w:rPr>
          <w:lang w:val="pt-BR"/>
        </w:rPr>
      </w:pPr>
      <w:r w:rsidRPr="008D38F6">
        <w:rPr>
          <w:rFonts w:cs="Tahoma"/>
          <w:color w:val="000000"/>
          <w:szCs w:val="20"/>
          <w:lang w:val="pt-BR"/>
        </w:rPr>
        <w:t>CAL do Forefront Identity Manager 2010 (Somente Usuário)</w:t>
      </w:r>
    </w:p>
    <w:p w:rsidR="004945FA" w:rsidRPr="00416070" w:rsidRDefault="004945FA" w:rsidP="00BA3004">
      <w:r w:rsidRPr="00416070">
        <w:rPr>
          <w:rFonts w:cs="Tahoma"/>
          <w:color w:val="000000"/>
          <w:szCs w:val="20"/>
        </w:rPr>
        <w:t>External Connector do Forefront Identity Manager 2010</w:t>
      </w:r>
    </w:p>
    <w:p w:rsidR="004945FA" w:rsidRPr="00416070" w:rsidRDefault="004945FA" w:rsidP="00BA3004">
      <w:r w:rsidRPr="00416070">
        <w:rPr>
          <w:rFonts w:cs="Tahoma"/>
          <w:color w:val="000000"/>
          <w:szCs w:val="20"/>
        </w:rPr>
        <w:t>Forefront Identity Manager 2010 Server</w:t>
      </w:r>
    </w:p>
    <w:p w:rsidR="004945FA" w:rsidRPr="00416070" w:rsidRDefault="004945FA" w:rsidP="00BA3004">
      <w:r w:rsidRPr="00416070">
        <w:rPr>
          <w:rFonts w:cs="Tahoma"/>
          <w:color w:val="000000"/>
          <w:szCs w:val="20"/>
        </w:rPr>
        <w:t>Forefront Identity Manager 2010 – Windows Live Edition</w:t>
      </w:r>
    </w:p>
    <w:p w:rsidR="00BB6A1F" w:rsidRPr="00416070" w:rsidRDefault="00BB6A1F" w:rsidP="00DD39C7">
      <w:pPr>
        <w:pStyle w:val="Heading2"/>
        <w:ind w:left="0"/>
        <w:jc w:val="both"/>
        <w:rPr>
          <w:rFonts w:ascii="Tahoma" w:hAnsi="Tahoma" w:cs="Tahoma"/>
          <w:sz w:val="18"/>
          <w:szCs w:val="18"/>
        </w:rPr>
      </w:pPr>
    </w:p>
    <w:p w:rsidR="00A31A6D" w:rsidRPr="00416070" w:rsidRDefault="00A31A6D" w:rsidP="00A31A6D">
      <w:pPr>
        <w:rPr>
          <w:b/>
        </w:rPr>
      </w:pPr>
    </w:p>
    <w:p w:rsidR="00DD39C7" w:rsidRPr="00416070" w:rsidRDefault="00DD39C7" w:rsidP="00A31A6D">
      <w:pPr>
        <w:pStyle w:val="Heading2"/>
        <w:ind w:left="0"/>
        <w:jc w:val="both"/>
      </w:pPr>
      <w:bookmarkStart w:id="641" w:name="_Toc336338174"/>
      <w:bookmarkStart w:id="642" w:name="_Toc352234250"/>
      <w:r w:rsidRPr="00416070">
        <w:rPr>
          <w:rFonts w:ascii="Tahoma" w:hAnsi="Tahoma" w:cs="Tahoma"/>
          <w:color w:val="FF6600"/>
        </w:rPr>
        <w:t>ALTERAÇÕES EM MAIO DE 2012</w:t>
      </w:r>
      <w:bookmarkEnd w:id="641"/>
      <w:bookmarkEnd w:id="642"/>
    </w:p>
    <w:p w:rsidR="00DD39C7" w:rsidRPr="008D38F6" w:rsidRDefault="00DD39C7" w:rsidP="00DD39C7">
      <w:pPr>
        <w:rPr>
          <w:b/>
          <w:lang w:val="pt-BR"/>
        </w:rPr>
      </w:pPr>
    </w:p>
    <w:p w:rsidR="00DD39C7" w:rsidRPr="008D38F6" w:rsidRDefault="00DD39C7" w:rsidP="003E606C">
      <w:pPr>
        <w:spacing w:after="60"/>
        <w:rPr>
          <w:lang w:val="pt-BR"/>
        </w:rPr>
      </w:pPr>
      <w:r w:rsidRPr="008D38F6">
        <w:rPr>
          <w:b/>
          <w:lang w:val="pt-BR"/>
        </w:rPr>
        <w:t>Adições</w:t>
      </w:r>
    </w:p>
    <w:p w:rsidR="00DD39C7" w:rsidRPr="008D38F6" w:rsidRDefault="00E702AC" w:rsidP="00BA3004">
      <w:pPr>
        <w:rPr>
          <w:lang w:val="pt-BR"/>
        </w:rPr>
      </w:pPr>
      <w:r w:rsidRPr="008D38F6">
        <w:rPr>
          <w:rFonts w:cs="Tahoma"/>
          <w:szCs w:val="18"/>
          <w:lang w:val="pt-BR"/>
        </w:rPr>
        <w:t xml:space="preserve">Não houve adições de produtos. </w:t>
      </w:r>
    </w:p>
    <w:p w:rsidR="00E702AC" w:rsidRPr="008D38F6" w:rsidRDefault="00E702AC" w:rsidP="00BA3004">
      <w:pPr>
        <w:rPr>
          <w:lang w:val="pt-BR"/>
        </w:rPr>
      </w:pPr>
    </w:p>
    <w:p w:rsidR="00DD39C7" w:rsidRPr="008D38F6" w:rsidRDefault="00DD39C7" w:rsidP="003E606C">
      <w:pPr>
        <w:spacing w:after="60"/>
        <w:rPr>
          <w:lang w:val="pt-BR"/>
        </w:rPr>
      </w:pPr>
      <w:r w:rsidRPr="008D38F6">
        <w:rPr>
          <w:b/>
          <w:lang w:val="pt-BR"/>
        </w:rPr>
        <w:t>Promoções</w:t>
      </w:r>
    </w:p>
    <w:p w:rsidR="00DD39C7" w:rsidRPr="008D38F6" w:rsidRDefault="00DD39C7" w:rsidP="00BA3004">
      <w:pPr>
        <w:rPr>
          <w:lang w:val="pt-BR"/>
        </w:rPr>
      </w:pPr>
      <w:r w:rsidRPr="008D38F6">
        <w:rPr>
          <w:rFonts w:cs="Tahoma"/>
          <w:color w:val="000000"/>
          <w:szCs w:val="18"/>
          <w:lang w:val="pt-BR"/>
        </w:rPr>
        <w:t>Exchange Server Standared Promotion</w:t>
      </w:r>
    </w:p>
    <w:p w:rsidR="00DD39C7" w:rsidRPr="008D38F6" w:rsidRDefault="00DD39C7" w:rsidP="00BA3004">
      <w:pPr>
        <w:rPr>
          <w:lang w:val="pt-BR"/>
        </w:rPr>
      </w:pPr>
      <w:bookmarkStart w:id="643" w:name="_Toc323034105"/>
      <w:bookmarkStart w:id="644" w:name="_Toc325609141"/>
      <w:bookmarkStart w:id="645" w:name="_Toc328145935"/>
      <w:r w:rsidRPr="008D38F6">
        <w:rPr>
          <w:rFonts w:cs="Tahoma"/>
          <w:color w:val="000000"/>
          <w:szCs w:val="18"/>
          <w:lang w:val="pt-BR"/>
        </w:rPr>
        <w:t>Promoção de Atualização do Open Value Subscription Education Solution N-2</w:t>
      </w:r>
      <w:bookmarkEnd w:id="643"/>
      <w:bookmarkEnd w:id="644"/>
      <w:bookmarkEnd w:id="645"/>
      <w:r w:rsidRPr="008D38F6">
        <w:rPr>
          <w:rFonts w:cs="Tahoma"/>
          <w:color w:val="000000"/>
          <w:szCs w:val="18"/>
          <w:lang w:val="pt-BR"/>
        </w:rPr>
        <w:t xml:space="preserve"> </w:t>
      </w:r>
    </w:p>
    <w:p w:rsidR="00DD39C7" w:rsidRPr="008D38F6" w:rsidRDefault="00DD39C7" w:rsidP="003E606C">
      <w:pPr>
        <w:spacing w:after="60"/>
        <w:rPr>
          <w:lang w:val="pt-BR"/>
        </w:rPr>
      </w:pPr>
      <w:r w:rsidRPr="008D38F6">
        <w:rPr>
          <w:rFonts w:cs="Tahoma"/>
          <w:szCs w:val="18"/>
          <w:lang w:val="pt-BR"/>
        </w:rPr>
        <w:br/>
      </w:r>
      <w:r w:rsidRPr="008D38F6">
        <w:rPr>
          <w:b/>
          <w:lang w:val="pt-BR"/>
        </w:rPr>
        <w:t>Exclusões</w:t>
      </w:r>
    </w:p>
    <w:p w:rsidR="00C10AE3" w:rsidRPr="008D38F6" w:rsidRDefault="00E702AC" w:rsidP="00541898">
      <w:pPr>
        <w:rPr>
          <w:lang w:val="pt-BR"/>
        </w:rPr>
      </w:pPr>
      <w:r w:rsidRPr="008D38F6">
        <w:rPr>
          <w:rFonts w:cs="Tahoma"/>
          <w:color w:val="000000"/>
          <w:szCs w:val="20"/>
          <w:lang w:val="pt-BR"/>
        </w:rPr>
        <w:t>Não houve exclusões de produtos.</w:t>
      </w:r>
    </w:p>
    <w:p w:rsidR="00541898" w:rsidRPr="008D38F6" w:rsidRDefault="00541898" w:rsidP="00541898">
      <w:pPr>
        <w:rPr>
          <w:lang w:val="pt-BR"/>
        </w:rPr>
      </w:pPr>
    </w:p>
    <w:p w:rsidR="00541898" w:rsidRPr="008D38F6" w:rsidRDefault="00541898" w:rsidP="00541898">
      <w:pPr>
        <w:rPr>
          <w:lang w:val="pt-BR"/>
        </w:rPr>
      </w:pPr>
    </w:p>
    <w:p w:rsidR="00E9432A" w:rsidRPr="00416070" w:rsidRDefault="00E9432A" w:rsidP="00842F32">
      <w:pPr>
        <w:pStyle w:val="Heading2"/>
        <w:ind w:left="0"/>
        <w:jc w:val="both"/>
      </w:pPr>
    </w:p>
    <w:p w:rsidR="00023FE7" w:rsidRPr="008D38F6" w:rsidRDefault="00EF4590" w:rsidP="003179E3">
      <w:pPr>
        <w:spacing w:after="120"/>
        <w:rPr>
          <w:lang w:val="pt-BR"/>
        </w:rPr>
      </w:pPr>
      <w:r w:rsidRPr="008D38F6">
        <w:rPr>
          <w:lang w:val="pt-BR"/>
        </w:rPr>
        <w:br w:type="page"/>
      </w:r>
      <w:bookmarkStart w:id="646" w:name="_Toc336338180"/>
      <w:bookmarkStart w:id="647" w:name="_Toc352234251"/>
      <w:r w:rsidRPr="00416070">
        <w:rPr>
          <w:rStyle w:val="Heading1Char"/>
        </w:rPr>
        <w:lastRenderedPageBreak/>
        <w:t>Seção 2 – promoções de ProdutoS</w:t>
      </w:r>
      <w:bookmarkEnd w:id="646"/>
      <w:bookmarkEnd w:id="647"/>
    </w:p>
    <w:p w:rsidR="00023FE7" w:rsidRPr="008D38F6" w:rsidRDefault="00023FE7" w:rsidP="00510F6B">
      <w:pPr>
        <w:ind w:right="720"/>
        <w:rPr>
          <w:szCs w:val="18"/>
          <w:lang w:val="pt-BR"/>
        </w:rPr>
      </w:pPr>
    </w:p>
    <w:p w:rsidR="00187499" w:rsidRPr="008D38F6" w:rsidRDefault="00187499" w:rsidP="00187499">
      <w:pPr>
        <w:pStyle w:val="Heading2"/>
        <w:ind w:left="0"/>
        <w:rPr>
          <w:lang w:val="pt-BR"/>
        </w:rPr>
      </w:pPr>
      <w:bookmarkStart w:id="648" w:name="_Toc352234252"/>
      <w:bookmarkStart w:id="649" w:name="_Toc336338181"/>
      <w:r w:rsidRPr="00416070">
        <w:rPr>
          <w:rFonts w:ascii="Tahoma" w:hAnsi="Tahoma" w:cs="Tahoma"/>
          <w:color w:val="FF9429"/>
        </w:rPr>
        <w:t xml:space="preserve">Microsoft Dynamics AX 2012 R2 - Promoção </w:t>
      </w:r>
      <w:r w:rsidR="00910E93" w:rsidRPr="008D38F6">
        <w:rPr>
          <w:rFonts w:ascii="Tahoma" w:hAnsi="Tahoma" w:cs="Tahoma"/>
          <w:color w:val="FF9429"/>
          <w:lang w:val="pt-BR"/>
        </w:rPr>
        <w:t>“</w:t>
      </w:r>
      <w:r w:rsidRPr="00416070">
        <w:rPr>
          <w:rFonts w:ascii="Tahoma" w:hAnsi="Tahoma" w:cs="Tahoma"/>
          <w:color w:val="FF9429"/>
        </w:rPr>
        <w:t>Compre Uma CAL Empresarial Ganhe outra CAL Funcional</w:t>
      </w:r>
      <w:r w:rsidR="00910E93" w:rsidRPr="008D38F6">
        <w:rPr>
          <w:rFonts w:ascii="Tahoma" w:hAnsi="Tahoma" w:cs="Tahoma"/>
          <w:color w:val="FF9429"/>
          <w:lang w:val="pt-BR"/>
        </w:rPr>
        <w:t>”</w:t>
      </w:r>
      <w:bookmarkEnd w:id="648"/>
    </w:p>
    <w:p w:rsidR="00B33F0B" w:rsidRPr="008D38F6" w:rsidRDefault="00B33F0B" w:rsidP="00B33F0B">
      <w:pPr>
        <w:rPr>
          <w:lang w:val="pt-BR"/>
        </w:rPr>
      </w:pPr>
    </w:p>
    <w:bookmarkEnd w:id="649"/>
    <w:p w:rsidR="00187499" w:rsidRPr="008D38F6" w:rsidRDefault="007177A5" w:rsidP="0064651F">
      <w:pPr>
        <w:spacing w:after="200" w:line="276" w:lineRule="auto"/>
        <w:rPr>
          <w:lang w:val="pt-BR"/>
        </w:rPr>
      </w:pPr>
      <w:r w:rsidRPr="008D38F6">
        <w:rPr>
          <w:lang w:val="pt-BR"/>
        </w:rPr>
        <w:t>Como oferta por tempo limitado de 1</w:t>
      </w:r>
      <w:r w:rsidRPr="008D38F6">
        <w:rPr>
          <w:vertAlign w:val="superscript"/>
          <w:lang w:val="pt-BR"/>
        </w:rPr>
        <w:t>º</w:t>
      </w:r>
      <w:r w:rsidRPr="008D38F6">
        <w:rPr>
          <w:lang w:val="pt-BR"/>
        </w:rPr>
        <w:t xml:space="preserve"> de março de 2013 a 28 de junho de 2013, a Microsoft oferece 1 (uma) CAL Funcional para cada CAL Empresarial adquirida durante o período promocional. Essa promoção está disponível de acordo com os seguintes programas de licenciamento na lista de preços: Contrato Enterprise, Assinatura do Contrato Enterprise da Microsoft, Contrato do Governo Americano e Campus e Contrato School para Enterprise Education Solutions. No mínimo 30 CALs Empresariais são necessários e devem ser adquiridas da SKU promocional publicada. Todas as licenças concedidas sob esta oferta incluirão a cobertura do Software Assurance ou a cobertura de Assinatura. Essa cobertura se encerrará no término da cobertura nas licenças qualificadas. Ao término dessa cobertura, os clientes poderão renovar o Soft</w:t>
      </w:r>
      <w:bookmarkStart w:id="650" w:name="_Toc336338182"/>
      <w:r w:rsidR="00AA0B4F" w:rsidRPr="008D38F6">
        <w:rPr>
          <w:lang w:val="pt-BR"/>
        </w:rPr>
        <w:t>ware Assurance ou a Assinatura.</w:t>
      </w:r>
    </w:p>
    <w:p w:rsidR="00187499" w:rsidRPr="00416070" w:rsidRDefault="00187499" w:rsidP="00187499">
      <w:pPr>
        <w:pStyle w:val="Heading2"/>
        <w:ind w:left="0"/>
      </w:pPr>
      <w:bookmarkStart w:id="651" w:name="_Toc352234253"/>
      <w:r w:rsidRPr="00416070">
        <w:rPr>
          <w:rFonts w:ascii="Tahoma" w:hAnsi="Tahoma" w:cs="Tahoma"/>
          <w:color w:val="FF9429"/>
        </w:rPr>
        <w:t>Microsoft Dynamics AX 2012 R2 - Promoção de Introdução ao EA</w:t>
      </w:r>
      <w:bookmarkEnd w:id="651"/>
    </w:p>
    <w:p w:rsidR="00B33F0B" w:rsidRPr="008D38F6" w:rsidRDefault="00B33F0B" w:rsidP="00B33F0B">
      <w:pPr>
        <w:rPr>
          <w:lang w:val="pt-BR"/>
        </w:rPr>
      </w:pPr>
    </w:p>
    <w:bookmarkEnd w:id="650"/>
    <w:p w:rsidR="001D214E" w:rsidRPr="008D38F6" w:rsidRDefault="001D214E" w:rsidP="001D214E">
      <w:pPr>
        <w:spacing w:after="200" w:line="276" w:lineRule="auto"/>
        <w:rPr>
          <w:lang w:val="pt-BR"/>
        </w:rPr>
      </w:pPr>
      <w:r w:rsidRPr="008D38F6">
        <w:rPr>
          <w:lang w:val="pt-BR"/>
        </w:rPr>
        <w:t xml:space="preserve">Como uma oferta por tempo limitado de </w:t>
      </w:r>
      <w:r w:rsidRPr="008D38F6">
        <w:rPr>
          <w:rFonts w:eastAsia="Calibri" w:cs="Tahoma"/>
          <w:szCs w:val="18"/>
          <w:lang w:val="pt-BR"/>
        </w:rPr>
        <w:t>1</w:t>
      </w:r>
      <w:r w:rsidR="00557CB6" w:rsidRPr="008D38F6">
        <w:rPr>
          <w:rFonts w:eastAsia="Calibri" w:cs="Tahoma"/>
          <w:szCs w:val="18"/>
          <w:vertAlign w:val="superscript"/>
          <w:lang w:val="pt-BR"/>
        </w:rPr>
        <w:t>º</w:t>
      </w:r>
      <w:r w:rsidRPr="008D38F6">
        <w:rPr>
          <w:rFonts w:eastAsia="Calibri" w:cs="Tahoma"/>
          <w:szCs w:val="18"/>
          <w:lang w:val="pt-BR"/>
        </w:rPr>
        <w:t xml:space="preserve"> de março de 2013 a 28 de junho de 2013, a Microsoft oferece 3 (três) CALs Empresariais e 50 (cinquenta) CALs de Autoatendimento com a aquisição da primeira licença do Microsoft Dynamics AX</w:t>
      </w:r>
      <w:r w:rsidRPr="008D38F6">
        <w:rPr>
          <w:lang w:val="pt-BR"/>
        </w:rPr>
        <w:t xml:space="preserve"> 2012 </w:t>
      </w:r>
      <w:r w:rsidRPr="008D38F6">
        <w:rPr>
          <w:rFonts w:eastAsia="Calibri" w:cs="Tahoma"/>
          <w:szCs w:val="18"/>
          <w:lang w:val="pt-BR"/>
        </w:rPr>
        <w:t>R2 Server.</w:t>
      </w:r>
      <w:r w:rsidR="00FB5496" w:rsidRPr="008D38F6">
        <w:rPr>
          <w:lang w:val="pt-BR"/>
        </w:rPr>
        <w:t xml:space="preserve"> </w:t>
      </w:r>
      <w:r w:rsidRPr="008D38F6">
        <w:rPr>
          <w:lang w:val="pt-BR"/>
        </w:rPr>
        <w:t xml:space="preserve">Essa promoção está disponível </w:t>
      </w:r>
      <w:r w:rsidRPr="008D38F6">
        <w:rPr>
          <w:rFonts w:eastAsia="Calibri" w:cs="Tahoma"/>
          <w:szCs w:val="18"/>
          <w:lang w:val="pt-BR"/>
        </w:rPr>
        <w:t xml:space="preserve">somente </w:t>
      </w:r>
      <w:r w:rsidRPr="008D38F6">
        <w:rPr>
          <w:lang w:val="pt-BR"/>
        </w:rPr>
        <w:t>nos programas de licenciamento Microsoft Enterprise Agreement</w:t>
      </w:r>
      <w:r w:rsidR="00AA0B4F" w:rsidRPr="008D38F6">
        <w:rPr>
          <w:rFonts w:eastAsia="Calibri" w:cs="Tahoma"/>
          <w:szCs w:val="18"/>
          <w:lang w:val="pt-BR"/>
        </w:rPr>
        <w:t>.</w:t>
      </w:r>
    </w:p>
    <w:p w:rsidR="00187499" w:rsidRPr="008D38F6" w:rsidRDefault="00187499" w:rsidP="00B33F0B">
      <w:pPr>
        <w:spacing w:after="200" w:line="276" w:lineRule="auto"/>
        <w:rPr>
          <w:lang w:val="pt-BR"/>
        </w:rPr>
      </w:pPr>
      <w:r w:rsidRPr="008D38F6">
        <w:rPr>
          <w:rFonts w:eastAsia="Calibri" w:cs="Tahoma"/>
          <w:szCs w:val="18"/>
          <w:lang w:val="pt-BR"/>
        </w:rPr>
        <w:t>Todas as licenças concedidas sob esta oferta incluirão cobertura do Software Assurance. Essa cobertura se encerrará</w:t>
      </w:r>
      <w:r w:rsidR="002E002A" w:rsidRPr="008D38F6">
        <w:rPr>
          <w:rFonts w:eastAsia="Calibri" w:cs="Tahoma"/>
          <w:szCs w:val="18"/>
          <w:lang w:val="pt-BR"/>
        </w:rPr>
        <w:t> </w:t>
      </w:r>
      <w:r w:rsidRPr="008D38F6">
        <w:rPr>
          <w:rFonts w:eastAsia="Calibri" w:cs="Tahoma"/>
          <w:szCs w:val="18"/>
          <w:lang w:val="pt-BR"/>
        </w:rPr>
        <w:t>no término da cobertura nas licenças qualificadas. Ao término dessa cobertura, os clientes poderão renovar</w:t>
      </w:r>
      <w:r w:rsidR="002E002A" w:rsidRPr="008D38F6">
        <w:rPr>
          <w:rFonts w:eastAsia="Calibri" w:cs="Tahoma"/>
          <w:szCs w:val="18"/>
          <w:lang w:val="pt-BR"/>
        </w:rPr>
        <w:t> </w:t>
      </w:r>
      <w:r w:rsidRPr="008D38F6">
        <w:rPr>
          <w:rFonts w:eastAsia="Calibri" w:cs="Tahoma"/>
          <w:szCs w:val="18"/>
          <w:lang w:val="pt-BR"/>
        </w:rPr>
        <w:t xml:space="preserve">o Software Assurance sobre as licenças outorgadas. </w:t>
      </w:r>
      <w:bookmarkStart w:id="652" w:name="_Toc336338183"/>
      <w:r w:rsidRPr="008D38F6">
        <w:rPr>
          <w:rFonts w:eastAsia="Calibri" w:cs="Tahoma"/>
          <w:szCs w:val="18"/>
          <w:lang w:val="pt-BR"/>
        </w:rPr>
        <w:t>O direito de usar o software outorgado expirará quando</w:t>
      </w:r>
      <w:r w:rsidR="002E002A" w:rsidRPr="008D38F6">
        <w:rPr>
          <w:rFonts w:eastAsia="Calibri" w:cs="Tahoma"/>
          <w:szCs w:val="18"/>
          <w:lang w:val="pt-BR"/>
        </w:rPr>
        <w:t> </w:t>
      </w:r>
      <w:r w:rsidRPr="008D38F6">
        <w:rPr>
          <w:rFonts w:eastAsia="Calibri" w:cs="Tahoma"/>
          <w:szCs w:val="18"/>
          <w:lang w:val="pt-BR"/>
        </w:rPr>
        <w:t>o direito de usar o software de acordo com a licença qualificada do Microsoft Dynamics AX 2012 R2 Server expirar. A evidência da licença do Servidor qualificada e esta Nota do Produto evidenciarão o direito do cliente de usar as licenças do Microsoft Dynamics AX 2012 R2 sob os termos desta oferta. Os clientes não poderão transferir as</w:t>
      </w:r>
      <w:r w:rsidR="002E002A" w:rsidRPr="008D38F6">
        <w:rPr>
          <w:rFonts w:eastAsia="Calibri" w:cs="Tahoma"/>
          <w:szCs w:val="18"/>
          <w:lang w:val="pt-BR"/>
        </w:rPr>
        <w:t> </w:t>
      </w:r>
      <w:r w:rsidRPr="008D38F6">
        <w:rPr>
          <w:rFonts w:eastAsia="Calibri" w:cs="Tahoma"/>
          <w:szCs w:val="18"/>
          <w:lang w:val="pt-BR"/>
        </w:rPr>
        <w:t>licenças outorgadas sob esta oferta separadamente das licenças qualificadas correspondentes.</w:t>
      </w:r>
    </w:p>
    <w:p w:rsidR="00491DAC" w:rsidRPr="00416070" w:rsidRDefault="00491DAC" w:rsidP="007B1734">
      <w:pPr>
        <w:pStyle w:val="Heading2"/>
        <w:ind w:left="0"/>
      </w:pPr>
      <w:bookmarkStart w:id="653" w:name="_Toc352234254"/>
      <w:bookmarkEnd w:id="652"/>
      <w:r w:rsidRPr="00416070">
        <w:rPr>
          <w:rFonts w:ascii="Tahoma" w:eastAsia="Times New Roman" w:hAnsi="Tahoma" w:cs="Tahoma"/>
          <w:color w:val="FF9429"/>
        </w:rPr>
        <w:t>15% de desconto em Step-ups do Project/Visio</w:t>
      </w:r>
      <w:bookmarkEnd w:id="653"/>
      <w:r w:rsidRPr="00416070">
        <w:rPr>
          <w:rFonts w:ascii="Tahoma" w:eastAsia="Times New Roman" w:hAnsi="Tahoma" w:cs="Tahoma"/>
          <w:color w:val="FF9429"/>
        </w:rPr>
        <w:t xml:space="preserve"> </w:t>
      </w:r>
    </w:p>
    <w:p w:rsidR="00491DAC" w:rsidRPr="008D38F6" w:rsidRDefault="00491DAC" w:rsidP="00FE3510">
      <w:pPr>
        <w:tabs>
          <w:tab w:val="left" w:pos="2385"/>
        </w:tabs>
        <w:rPr>
          <w:lang w:val="pt-BR"/>
        </w:rPr>
      </w:pPr>
    </w:p>
    <w:p w:rsidR="00491DAC" w:rsidRPr="008D38F6" w:rsidRDefault="00491DAC" w:rsidP="00491DAC">
      <w:pPr>
        <w:spacing w:after="200" w:line="276" w:lineRule="auto"/>
        <w:rPr>
          <w:lang w:val="pt-BR"/>
        </w:rPr>
      </w:pPr>
      <w:r w:rsidRPr="008D38F6">
        <w:rPr>
          <w:color w:val="000000"/>
          <w:lang w:val="pt-BR"/>
        </w:rPr>
        <w:t>Como oferta por tempo limitado de 1</w:t>
      </w:r>
      <w:r w:rsidRPr="008D38F6">
        <w:rPr>
          <w:color w:val="000000"/>
          <w:vertAlign w:val="superscript"/>
          <w:lang w:val="pt-BR"/>
        </w:rPr>
        <w:t>º</w:t>
      </w:r>
      <w:r w:rsidRPr="008D38F6">
        <w:rPr>
          <w:color w:val="000000"/>
          <w:lang w:val="pt-BR"/>
        </w:rPr>
        <w:t xml:space="preserve"> de dezembro de 2012 a 30 de junho de 2013, a Microsoft oferece até 15% de</w:t>
      </w:r>
      <w:r w:rsidR="00221B54" w:rsidRPr="008D38F6">
        <w:rPr>
          <w:color w:val="000000"/>
          <w:lang w:val="pt-BR"/>
        </w:rPr>
        <w:t> </w:t>
      </w:r>
      <w:r w:rsidRPr="008D38F6">
        <w:rPr>
          <w:color w:val="000000"/>
          <w:lang w:val="pt-BR"/>
        </w:rPr>
        <w:t>Desconto em Step-up para Project Professional para Project Standard sob SA, bem com um desconto de 15% em</w:t>
      </w:r>
      <w:r w:rsidR="00221B54" w:rsidRPr="008D38F6">
        <w:rPr>
          <w:color w:val="000000"/>
          <w:lang w:val="pt-BR"/>
        </w:rPr>
        <w:t> </w:t>
      </w:r>
      <w:r w:rsidRPr="008D38F6">
        <w:rPr>
          <w:color w:val="000000"/>
          <w:lang w:val="pt-BR"/>
        </w:rPr>
        <w:t>Step-up para Visio Professional para Visio Standard sob SA. Essa promoção está disponível nos programas Microsoft Enterprise, Enterprise Subscription, Select Plus, EAP, ECI e Open Value.</w:t>
      </w:r>
    </w:p>
    <w:p w:rsidR="00B7048F" w:rsidRPr="00416070" w:rsidRDefault="00B7048F" w:rsidP="007B1734">
      <w:pPr>
        <w:pStyle w:val="Heading2"/>
        <w:ind w:left="0"/>
      </w:pPr>
      <w:bookmarkStart w:id="654" w:name="_Toc352234255"/>
      <w:r w:rsidRPr="00416070">
        <w:rPr>
          <w:rFonts w:ascii="Tahoma" w:eastAsia="Times New Roman" w:hAnsi="Tahoma" w:cs="Tahoma"/>
          <w:color w:val="FF9429"/>
        </w:rPr>
        <w:t>55% de desconto na CAL do Project Server para Compras para Toda a</w:t>
      </w:r>
      <w:r w:rsidR="00221B54" w:rsidRPr="008D38F6">
        <w:rPr>
          <w:rFonts w:ascii="Tahoma" w:eastAsia="Times New Roman" w:hAnsi="Tahoma" w:cs="Tahoma"/>
          <w:color w:val="FF9429"/>
          <w:lang w:val="pt-BR"/>
        </w:rPr>
        <w:t> </w:t>
      </w:r>
      <w:r w:rsidRPr="00416070">
        <w:rPr>
          <w:rFonts w:ascii="Tahoma" w:eastAsia="Times New Roman" w:hAnsi="Tahoma" w:cs="Tahoma"/>
          <w:color w:val="FF9429"/>
        </w:rPr>
        <w:t>Empresa</w:t>
      </w:r>
      <w:bookmarkEnd w:id="654"/>
    </w:p>
    <w:p w:rsidR="00B7048F" w:rsidRPr="008D38F6" w:rsidRDefault="00B7048F" w:rsidP="007B1734">
      <w:pPr>
        <w:rPr>
          <w:lang w:val="pt-BR"/>
        </w:rPr>
      </w:pPr>
    </w:p>
    <w:p w:rsidR="00B7048F" w:rsidRPr="008D38F6" w:rsidRDefault="00B7048F" w:rsidP="00D24E3C">
      <w:pPr>
        <w:spacing w:after="200" w:line="276" w:lineRule="auto"/>
        <w:rPr>
          <w:color w:val="000000"/>
          <w:lang w:val="pt-BR"/>
        </w:rPr>
      </w:pPr>
      <w:r w:rsidRPr="008D38F6">
        <w:rPr>
          <w:color w:val="000000"/>
          <w:lang w:val="pt-BR"/>
        </w:rPr>
        <w:t>Como uma oferta por tempo limitado de 1</w:t>
      </w:r>
      <w:r w:rsidRPr="008D38F6">
        <w:rPr>
          <w:color w:val="000000"/>
          <w:vertAlign w:val="superscript"/>
          <w:lang w:val="pt-BR"/>
        </w:rPr>
        <w:t>º</w:t>
      </w:r>
      <w:r w:rsidRPr="008D38F6">
        <w:rPr>
          <w:color w:val="000000"/>
          <w:lang w:val="pt-BR"/>
        </w:rPr>
        <w:t xml:space="preserve"> de dezembro de 2012 a 30 de junho de 2013, a Microsoft oferece um Desconto de 55% na CAL do Project Server se for adquirida para toda a empresa. Essa promoção está disponível nos</w:t>
      </w:r>
      <w:r w:rsidR="00221B54" w:rsidRPr="008D38F6">
        <w:rPr>
          <w:color w:val="000000"/>
          <w:lang w:val="pt-BR"/>
        </w:rPr>
        <w:t> </w:t>
      </w:r>
      <w:r w:rsidRPr="008D38F6">
        <w:rPr>
          <w:color w:val="000000"/>
          <w:lang w:val="pt-BR"/>
        </w:rPr>
        <w:t>programas Microsoft Enterprise, Enterprise Subscription e E</w:t>
      </w:r>
      <w:r w:rsidR="00AA0B4F" w:rsidRPr="008D38F6">
        <w:rPr>
          <w:color w:val="000000"/>
          <w:lang w:val="pt-BR"/>
        </w:rPr>
        <w:t>AP.</w:t>
      </w:r>
    </w:p>
    <w:p w:rsidR="00A86016" w:rsidRPr="008D38F6" w:rsidRDefault="00A86016" w:rsidP="00D24E3C">
      <w:pPr>
        <w:spacing w:after="200" w:line="276" w:lineRule="auto"/>
        <w:rPr>
          <w:color w:val="000000"/>
          <w:lang w:val="pt-BR"/>
        </w:rPr>
      </w:pPr>
    </w:p>
    <w:p w:rsidR="00A86016" w:rsidRPr="008D38F6" w:rsidRDefault="00A86016" w:rsidP="00D24E3C">
      <w:pPr>
        <w:spacing w:after="200" w:line="276" w:lineRule="auto"/>
        <w:rPr>
          <w:color w:val="000000"/>
          <w:lang w:val="pt-BR"/>
        </w:rPr>
        <w:sectPr w:rsidR="00A86016" w:rsidRPr="008D38F6" w:rsidSect="00B40674">
          <w:footerReference w:type="default" r:id="rId22"/>
          <w:headerReference w:type="first" r:id="rId23"/>
          <w:footerReference w:type="first" r:id="rId24"/>
          <w:endnotePr>
            <w:numFmt w:val="decimal"/>
          </w:endnotePr>
          <w:pgSz w:w="12240" w:h="15840" w:code="1"/>
          <w:pgMar w:top="1170" w:right="1440" w:bottom="720" w:left="1440" w:header="720" w:footer="720" w:gutter="0"/>
          <w:cols w:space="720"/>
          <w:docGrid w:linePitch="360"/>
        </w:sectPr>
      </w:pPr>
    </w:p>
    <w:p w:rsidR="00023FE7" w:rsidRPr="00416070" w:rsidRDefault="00714962" w:rsidP="002E38CD">
      <w:pPr>
        <w:pStyle w:val="Heading1"/>
        <w:spacing w:before="0"/>
      </w:pPr>
      <w:bookmarkStart w:id="655" w:name="_Toc336338188"/>
      <w:bookmarkStart w:id="656" w:name="_Toc352234256"/>
      <w:r w:rsidRPr="00416070">
        <w:lastRenderedPageBreak/>
        <w:t>SEÇÃO 3 – TERMOS do Programa de</w:t>
      </w:r>
      <w:r w:rsidR="00221B54" w:rsidRPr="008D38F6">
        <w:rPr>
          <w:lang w:val="pt-BR"/>
        </w:rPr>
        <w:t> </w:t>
      </w:r>
      <w:r w:rsidRPr="00416070">
        <w:t>Licenciamento por Volume</w:t>
      </w:r>
      <w:bookmarkEnd w:id="655"/>
      <w:bookmarkEnd w:id="656"/>
    </w:p>
    <w:p w:rsidR="00E64551" w:rsidRPr="00416070" w:rsidRDefault="00E64551" w:rsidP="00456002">
      <w:pPr>
        <w:pStyle w:val="Heading3"/>
        <w:ind w:right="720"/>
        <w:rPr>
          <w:rFonts w:ascii="Tahoma" w:hAnsi="Tahoma" w:cs="Tahoma"/>
          <w:sz w:val="24"/>
          <w:szCs w:val="24"/>
        </w:rPr>
      </w:pPr>
      <w:bookmarkStart w:id="657" w:name="_Toc323159724"/>
    </w:p>
    <w:p w:rsidR="00456002" w:rsidRPr="008D38F6" w:rsidRDefault="00456002" w:rsidP="003E606C">
      <w:pPr>
        <w:pStyle w:val="Heading3"/>
        <w:ind w:right="720"/>
        <w:rPr>
          <w:lang w:val="pt-BR"/>
        </w:rPr>
      </w:pPr>
      <w:bookmarkStart w:id="658" w:name="_Toc336338189"/>
      <w:bookmarkStart w:id="659" w:name="_Toc352234257"/>
      <w:r w:rsidRPr="00416070">
        <w:rPr>
          <w:rFonts w:ascii="Tahoma" w:hAnsi="Tahoma" w:cs="Tahoma"/>
          <w:sz w:val="24"/>
          <w:szCs w:val="22"/>
        </w:rPr>
        <w:t>Programas de Licenciamento por Volume Aplicáveis</w:t>
      </w:r>
      <w:bookmarkEnd w:id="657"/>
      <w:bookmarkEnd w:id="658"/>
      <w:bookmarkEnd w:id="659"/>
    </w:p>
    <w:p w:rsidR="00E64551" w:rsidRPr="008D38F6" w:rsidRDefault="00E64551" w:rsidP="003E606C">
      <w:pPr>
        <w:rPr>
          <w:lang w:val="pt-BR"/>
        </w:rPr>
      </w:pPr>
    </w:p>
    <w:p w:rsidR="00456002" w:rsidRPr="008D38F6" w:rsidRDefault="00456002" w:rsidP="00456002">
      <w:pPr>
        <w:rPr>
          <w:lang w:val="pt-BR"/>
        </w:rPr>
      </w:pPr>
      <w:r w:rsidRPr="008D38F6">
        <w:rPr>
          <w:rFonts w:cs="Tahoma"/>
          <w:lang w:val="pt-BR"/>
        </w:rPr>
        <w:t>Esta seção se aplica aos seguintes programas de licenciamento por volume, inclusive as versões Academic, Charity</w:t>
      </w:r>
      <w:r w:rsidR="00221B54" w:rsidRPr="008D38F6">
        <w:rPr>
          <w:rFonts w:cs="Tahoma"/>
          <w:lang w:val="pt-BR"/>
        </w:rPr>
        <w:t> </w:t>
      </w:r>
      <w:r w:rsidRPr="008D38F6">
        <w:rPr>
          <w:rFonts w:cs="Tahoma"/>
          <w:lang w:val="pt-BR"/>
        </w:rPr>
        <w:t>e</w:t>
      </w:r>
      <w:r w:rsidR="00221B54" w:rsidRPr="008D38F6">
        <w:rPr>
          <w:rFonts w:cs="Tahoma"/>
          <w:lang w:val="pt-BR"/>
        </w:rPr>
        <w:t> </w:t>
      </w:r>
      <w:r w:rsidRPr="008D38F6">
        <w:rPr>
          <w:rFonts w:cs="Tahoma"/>
          <w:lang w:val="pt-BR"/>
        </w:rPr>
        <w:t>Government, onde aplicável.</w:t>
      </w:r>
    </w:p>
    <w:p w:rsidR="00510F6B" w:rsidRPr="008D38F6" w:rsidRDefault="00510F6B" w:rsidP="00456002">
      <w:pPr>
        <w:rPr>
          <w:lang w:val="pt-BR"/>
        </w:rPr>
      </w:pPr>
    </w:p>
    <w:p w:rsidR="00456002" w:rsidRPr="00416070" w:rsidRDefault="00456002" w:rsidP="00822871">
      <w:pPr>
        <w:numPr>
          <w:ilvl w:val="0"/>
          <w:numId w:val="19"/>
        </w:numPr>
        <w:spacing w:after="60"/>
      </w:pPr>
      <w:r w:rsidRPr="00416070">
        <w:rPr>
          <w:rFonts w:cs="Tahoma"/>
        </w:rPr>
        <w:t>Licença Open</w:t>
      </w:r>
    </w:p>
    <w:p w:rsidR="00456002" w:rsidRPr="00416070" w:rsidRDefault="00456002" w:rsidP="00822871">
      <w:pPr>
        <w:numPr>
          <w:ilvl w:val="0"/>
          <w:numId w:val="19"/>
        </w:numPr>
        <w:spacing w:after="60"/>
      </w:pPr>
      <w:r w:rsidRPr="00416070">
        <w:rPr>
          <w:rFonts w:cs="Tahoma"/>
        </w:rPr>
        <w:t xml:space="preserve">Open Value </w:t>
      </w:r>
    </w:p>
    <w:p w:rsidR="00456002" w:rsidRPr="00416070" w:rsidRDefault="00456002" w:rsidP="00822871">
      <w:pPr>
        <w:numPr>
          <w:ilvl w:val="0"/>
          <w:numId w:val="19"/>
        </w:numPr>
        <w:spacing w:after="60"/>
      </w:pPr>
      <w:r w:rsidRPr="00416070">
        <w:rPr>
          <w:rFonts w:cs="Tahoma"/>
        </w:rPr>
        <w:t xml:space="preserve">Open Value Subscription </w:t>
      </w:r>
    </w:p>
    <w:p w:rsidR="00456002" w:rsidRPr="00416070" w:rsidRDefault="00456002" w:rsidP="00822871">
      <w:pPr>
        <w:numPr>
          <w:ilvl w:val="0"/>
          <w:numId w:val="19"/>
        </w:numPr>
        <w:spacing w:after="60"/>
      </w:pPr>
      <w:r w:rsidRPr="00416070">
        <w:rPr>
          <w:rFonts w:cs="Tahoma"/>
        </w:rPr>
        <w:t xml:space="preserve">Select </w:t>
      </w:r>
    </w:p>
    <w:p w:rsidR="00456002" w:rsidRPr="00416070" w:rsidRDefault="00456002" w:rsidP="00822871">
      <w:pPr>
        <w:numPr>
          <w:ilvl w:val="0"/>
          <w:numId w:val="19"/>
        </w:numPr>
        <w:spacing w:after="60"/>
      </w:pPr>
      <w:r w:rsidRPr="00416070">
        <w:rPr>
          <w:rFonts w:cs="Tahoma"/>
        </w:rPr>
        <w:t xml:space="preserve">Select Plus </w:t>
      </w:r>
    </w:p>
    <w:p w:rsidR="0091793D" w:rsidRPr="00416070" w:rsidRDefault="00F84FA6" w:rsidP="00822871">
      <w:pPr>
        <w:numPr>
          <w:ilvl w:val="0"/>
          <w:numId w:val="19"/>
        </w:numPr>
        <w:spacing w:after="60"/>
      </w:pPr>
      <w:r w:rsidRPr="00416070">
        <w:rPr>
          <w:rFonts w:cs="Tahoma"/>
          <w:szCs w:val="18"/>
        </w:rPr>
        <w:t xml:space="preserve">Contrato Enterprise </w:t>
      </w:r>
    </w:p>
    <w:p w:rsidR="0091793D" w:rsidRPr="00416070" w:rsidRDefault="00F84FA6" w:rsidP="00822871">
      <w:pPr>
        <w:numPr>
          <w:ilvl w:val="0"/>
          <w:numId w:val="19"/>
        </w:numPr>
        <w:spacing w:after="60"/>
      </w:pPr>
      <w:r w:rsidRPr="00416070">
        <w:rPr>
          <w:rFonts w:cs="Tahoma"/>
          <w:szCs w:val="18"/>
        </w:rPr>
        <w:t>Contrato Enterprise Subscription</w:t>
      </w:r>
      <w:r w:rsidRPr="00416070">
        <w:rPr>
          <w:rFonts w:cs="Tahoma"/>
          <w:color w:val="000000"/>
          <w:szCs w:val="18"/>
        </w:rPr>
        <w:t xml:space="preserve"> </w:t>
      </w:r>
    </w:p>
    <w:p w:rsidR="0091793D" w:rsidRPr="00416070" w:rsidRDefault="0091793D" w:rsidP="0091793D">
      <w:pPr>
        <w:pStyle w:val="Heading3"/>
        <w:ind w:right="720"/>
        <w:rPr>
          <w:rFonts w:ascii="Tahoma" w:hAnsi="Tahoma" w:cs="Tahoma"/>
          <w:b w:val="0"/>
          <w:sz w:val="18"/>
          <w:szCs w:val="18"/>
        </w:rPr>
      </w:pPr>
    </w:p>
    <w:p w:rsidR="0091793D" w:rsidRPr="00416070" w:rsidRDefault="0091793D" w:rsidP="003E606C">
      <w:pPr>
        <w:pStyle w:val="Heading3"/>
        <w:ind w:right="720"/>
      </w:pPr>
      <w:bookmarkStart w:id="660" w:name="_Toc336338190"/>
      <w:bookmarkStart w:id="661" w:name="_Toc352234258"/>
      <w:r w:rsidRPr="00416070">
        <w:rPr>
          <w:rFonts w:ascii="Tahoma" w:hAnsi="Tahoma" w:cs="Tahoma"/>
          <w:sz w:val="24"/>
          <w:szCs w:val="22"/>
        </w:rPr>
        <w:t>Pontos e pedidos mínimos</w:t>
      </w:r>
      <w:bookmarkEnd w:id="660"/>
      <w:bookmarkEnd w:id="661"/>
    </w:p>
    <w:p w:rsidR="00BA4C27" w:rsidRPr="00416070" w:rsidRDefault="00BA4C27" w:rsidP="003E606C"/>
    <w:p w:rsidR="00BA4C27" w:rsidRPr="008D38F6" w:rsidRDefault="00BA4C27" w:rsidP="00BA4C27">
      <w:pPr>
        <w:pStyle w:val="AppendixBodyText"/>
        <w:ind w:right="720"/>
        <w:rPr>
          <w:lang w:val="pt-BR"/>
        </w:rPr>
      </w:pPr>
      <w:r w:rsidRPr="008D38F6">
        <w:rPr>
          <w:rFonts w:ascii="Tahoma" w:hAnsi="Tahoma" w:cs="Tahoma"/>
          <w:sz w:val="18"/>
          <w:lang w:val="pt-BR"/>
        </w:rPr>
        <w:t>As opções de Select, Select Plus e Licença Open apresentam uma contagem de “Pontos” que indica o valor em pontos atribuído pela Microsoft a cada licença. Essas contagens de pontos são usadas para calcular a categoria de preço de volume aplicável ao contrato de um cliente. Quando uma contagem de pontos “0” é atribuída a determinado produto, isso significa que ele é oferecido no programa especificado, mas seu valor em pontos é zero.</w:t>
      </w:r>
      <w:r w:rsidR="00FB5496" w:rsidRPr="008D38F6">
        <w:rPr>
          <w:rFonts w:ascii="Tahoma" w:hAnsi="Tahoma" w:cs="Tahoma"/>
          <w:sz w:val="18"/>
          <w:lang w:val="pt-BR"/>
        </w:rPr>
        <w:t xml:space="preserve"> </w:t>
      </w:r>
      <w:r w:rsidRPr="008D38F6">
        <w:rPr>
          <w:rFonts w:ascii="Tahoma" w:hAnsi="Tahoma" w:cs="Tahoma"/>
          <w:sz w:val="18"/>
          <w:lang w:val="pt-BR"/>
        </w:rPr>
        <w:t>Esta é a relação entre contagens de unidades e licenças:</w:t>
      </w:r>
    </w:p>
    <w:p w:rsidR="00E64551" w:rsidRPr="008D38F6" w:rsidRDefault="00E64551" w:rsidP="00E64551">
      <w:pPr>
        <w:pStyle w:val="AppendixBodyText"/>
        <w:ind w:right="720"/>
        <w:rPr>
          <w:rFonts w:ascii="Tahoma" w:hAnsi="Tahoma" w:cs="Tahoma"/>
          <w:sz w:val="18"/>
          <w:szCs w:val="18"/>
          <w:highlight w:val="yellow"/>
          <w:lang w:val="pt-BR"/>
        </w:rPr>
      </w:pPr>
    </w:p>
    <w:p w:rsidR="00456002" w:rsidRPr="00416070" w:rsidRDefault="00456002" w:rsidP="00822871">
      <w:pPr>
        <w:numPr>
          <w:ilvl w:val="0"/>
          <w:numId w:val="19"/>
        </w:numPr>
        <w:spacing w:after="60"/>
      </w:pPr>
      <w:r w:rsidRPr="00416070">
        <w:rPr>
          <w:rFonts w:cs="Tahoma"/>
        </w:rPr>
        <w:t xml:space="preserve">Licença Padrão: 1 licença </w:t>
      </w:r>
    </w:p>
    <w:p w:rsidR="00456002" w:rsidRPr="00416070" w:rsidRDefault="00456002" w:rsidP="00822871">
      <w:pPr>
        <w:numPr>
          <w:ilvl w:val="0"/>
          <w:numId w:val="19"/>
        </w:numPr>
        <w:spacing w:after="60"/>
      </w:pPr>
      <w:r w:rsidRPr="00416070">
        <w:rPr>
          <w:rFonts w:cs="Tahoma"/>
        </w:rPr>
        <w:t xml:space="preserve">Atualização: 1 licença </w:t>
      </w:r>
    </w:p>
    <w:p w:rsidR="00456002" w:rsidRPr="00416070" w:rsidRDefault="00456002" w:rsidP="00822871">
      <w:pPr>
        <w:numPr>
          <w:ilvl w:val="0"/>
          <w:numId w:val="19"/>
        </w:numPr>
        <w:spacing w:after="60"/>
      </w:pPr>
      <w:r w:rsidRPr="00416070">
        <w:rPr>
          <w:rFonts w:cs="Tahoma"/>
        </w:rPr>
        <w:t xml:space="preserve">Software Assurance: 1 licença </w:t>
      </w:r>
    </w:p>
    <w:p w:rsidR="00456002" w:rsidRPr="00416070" w:rsidRDefault="00456002" w:rsidP="00822871">
      <w:pPr>
        <w:numPr>
          <w:ilvl w:val="0"/>
          <w:numId w:val="19"/>
        </w:numPr>
        <w:spacing w:after="60"/>
      </w:pPr>
      <w:r w:rsidRPr="00416070">
        <w:rPr>
          <w:rFonts w:cs="Tahoma"/>
        </w:rPr>
        <w:t xml:space="preserve">Licença e Software Assurance: 2 licenças </w:t>
      </w:r>
    </w:p>
    <w:p w:rsidR="00456002" w:rsidRPr="00416070" w:rsidRDefault="00456002" w:rsidP="00822871">
      <w:pPr>
        <w:numPr>
          <w:ilvl w:val="0"/>
          <w:numId w:val="19"/>
        </w:numPr>
        <w:spacing w:after="60"/>
      </w:pPr>
      <w:r w:rsidRPr="00416070">
        <w:rPr>
          <w:rFonts w:cs="Tahoma"/>
        </w:rPr>
        <w:t>Atualização e Software Assurance: 2 licenças</w:t>
      </w:r>
    </w:p>
    <w:p w:rsidR="00456002" w:rsidRPr="00416070" w:rsidRDefault="00456002" w:rsidP="00822871">
      <w:pPr>
        <w:numPr>
          <w:ilvl w:val="0"/>
          <w:numId w:val="19"/>
        </w:numPr>
        <w:spacing w:after="60"/>
      </w:pPr>
      <w:r w:rsidRPr="00416070">
        <w:rPr>
          <w:rFonts w:cs="Tahoma"/>
        </w:rPr>
        <w:t xml:space="preserve">Licença Work-at-Home: 1 licença </w:t>
      </w:r>
    </w:p>
    <w:p w:rsidR="00456002" w:rsidRPr="00416070" w:rsidRDefault="00456002" w:rsidP="00822871">
      <w:pPr>
        <w:numPr>
          <w:ilvl w:val="0"/>
          <w:numId w:val="19"/>
        </w:numPr>
        <w:spacing w:after="60"/>
      </w:pPr>
      <w:r w:rsidRPr="00416070">
        <w:rPr>
          <w:rFonts w:cs="Tahoma"/>
        </w:rPr>
        <w:t>Licença Step-up: 1 licença</w:t>
      </w:r>
    </w:p>
    <w:p w:rsidR="00456002" w:rsidRPr="00416070" w:rsidRDefault="00456002" w:rsidP="00822871">
      <w:pPr>
        <w:numPr>
          <w:ilvl w:val="0"/>
          <w:numId w:val="19"/>
        </w:numPr>
        <w:spacing w:after="60"/>
      </w:pPr>
      <w:r w:rsidRPr="00416070">
        <w:rPr>
          <w:rFonts w:cs="Tahoma"/>
        </w:rPr>
        <w:t xml:space="preserve">Licença: 1 licença </w:t>
      </w:r>
    </w:p>
    <w:p w:rsidR="00456002" w:rsidRPr="00416070" w:rsidRDefault="00456002" w:rsidP="00822871">
      <w:pPr>
        <w:numPr>
          <w:ilvl w:val="0"/>
          <w:numId w:val="19"/>
        </w:numPr>
        <w:spacing w:after="60"/>
      </w:pPr>
      <w:r w:rsidRPr="00416070">
        <w:rPr>
          <w:rFonts w:cs="Tahoma"/>
        </w:rPr>
        <w:t>Licença de Assinatura: 1 licença</w:t>
      </w:r>
    </w:p>
    <w:p w:rsidR="00456002" w:rsidRPr="00416070" w:rsidRDefault="00456002" w:rsidP="00E64551">
      <w:pPr>
        <w:pStyle w:val="Heading2"/>
        <w:ind w:left="0"/>
        <w:rPr>
          <w:rFonts w:ascii="Tahoma" w:hAnsi="Tahoma" w:cs="Tahoma"/>
          <w:b w:val="0"/>
          <w:sz w:val="18"/>
          <w:szCs w:val="18"/>
        </w:rPr>
      </w:pPr>
    </w:p>
    <w:p w:rsidR="00E64551" w:rsidRPr="00AA0B4F" w:rsidRDefault="00456002" w:rsidP="009C0DC9">
      <w:pPr>
        <w:pStyle w:val="Heading2"/>
        <w:ind w:left="0"/>
        <w:rPr>
          <w:rFonts w:ascii="Tahoma" w:hAnsi="Tahoma" w:cs="Tahoma"/>
        </w:rPr>
      </w:pPr>
      <w:bookmarkStart w:id="662" w:name="_Toc336338191"/>
      <w:bookmarkStart w:id="663" w:name="_Toc352234259"/>
      <w:bookmarkStart w:id="664" w:name="_Toc323159726"/>
      <w:r w:rsidRPr="00AA0B4F">
        <w:rPr>
          <w:rFonts w:ascii="Tahoma" w:hAnsi="Tahoma" w:cs="Tahoma"/>
        </w:rPr>
        <w:t>Requisitos Mínimos de Pedidos</w:t>
      </w:r>
      <w:bookmarkEnd w:id="662"/>
      <w:bookmarkEnd w:id="663"/>
    </w:p>
    <w:bookmarkEnd w:id="664"/>
    <w:p w:rsidR="00456002" w:rsidRPr="00416070"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416070" w:rsidTr="00AA0B4F">
        <w:tc>
          <w:tcPr>
            <w:tcW w:w="2270" w:type="dxa"/>
            <w:shd w:val="clear" w:color="auto" w:fill="FABF8F"/>
          </w:tcPr>
          <w:p w:rsidR="00456002" w:rsidRPr="00416070" w:rsidRDefault="00456002" w:rsidP="005C647E">
            <w:pPr>
              <w:pStyle w:val="AppendixBodyText"/>
              <w:ind w:right="720"/>
              <w:jc w:val="center"/>
              <w:rPr>
                <w:rFonts w:ascii="Tahoma" w:hAnsi="Tahoma" w:cs="Tahoma"/>
                <w:b/>
                <w:color w:val="000000"/>
                <w:sz w:val="22"/>
                <w:szCs w:val="18"/>
                <w:lang w:eastAsia="ja-JP"/>
              </w:rPr>
            </w:pPr>
            <w:r w:rsidRPr="00416070">
              <w:rPr>
                <w:rFonts w:ascii="Tahoma" w:hAnsi="Tahoma" w:cs="Tahoma"/>
                <w:b/>
                <w:color w:val="000000"/>
                <w:sz w:val="22"/>
                <w:szCs w:val="18"/>
              </w:rPr>
              <w:t>Programas</w:t>
            </w:r>
          </w:p>
        </w:tc>
        <w:tc>
          <w:tcPr>
            <w:tcW w:w="6946" w:type="dxa"/>
            <w:shd w:val="clear" w:color="auto" w:fill="FABF8F"/>
          </w:tcPr>
          <w:p w:rsidR="00456002" w:rsidRPr="00416070" w:rsidRDefault="00456002" w:rsidP="005C647E">
            <w:pPr>
              <w:pStyle w:val="AppendixBodyText"/>
              <w:ind w:right="720"/>
              <w:jc w:val="center"/>
              <w:rPr>
                <w:rFonts w:ascii="Tahoma" w:hAnsi="Tahoma" w:cs="Tahoma"/>
                <w:b/>
                <w:color w:val="000000"/>
                <w:sz w:val="22"/>
                <w:szCs w:val="18"/>
                <w:lang w:eastAsia="ja-JP"/>
              </w:rPr>
            </w:pPr>
            <w:r w:rsidRPr="00416070">
              <w:rPr>
                <w:rFonts w:ascii="Tahoma" w:hAnsi="Tahoma" w:cs="Tahoma"/>
                <w:b/>
                <w:color w:val="000000"/>
                <w:sz w:val="22"/>
                <w:szCs w:val="18"/>
              </w:rPr>
              <w:t>Requisitos Mínimos de Pedidos</w:t>
            </w:r>
          </w:p>
        </w:tc>
      </w:tr>
      <w:tr w:rsidR="00456002" w:rsidRPr="00B06414" w:rsidTr="00AA0B4F">
        <w:tc>
          <w:tcPr>
            <w:tcW w:w="2270" w:type="dxa"/>
            <w:shd w:val="clear" w:color="auto" w:fill="auto"/>
          </w:tcPr>
          <w:p w:rsidR="00456002" w:rsidRPr="00416070" w:rsidRDefault="00456002" w:rsidP="002E38CD">
            <w:pPr>
              <w:pStyle w:val="AppendixBodyText"/>
              <w:spacing w:before="60"/>
              <w:ind w:right="542"/>
              <w:rPr>
                <w:rFonts w:ascii="Tahoma" w:hAnsi="Tahoma" w:cs="Tahoma"/>
                <w:b/>
                <w:color w:val="000000"/>
                <w:sz w:val="18"/>
                <w:szCs w:val="18"/>
                <w:lang w:eastAsia="ja-JP"/>
              </w:rPr>
            </w:pPr>
            <w:r w:rsidRPr="00416070">
              <w:rPr>
                <w:rFonts w:ascii="Tahoma" w:hAnsi="Tahoma" w:cs="Tahoma"/>
                <w:b/>
                <w:color w:val="000000"/>
                <w:szCs w:val="18"/>
              </w:rPr>
              <w:t>Licença Open, Open Value e Open Value Subscription (Commercial e Government)</w:t>
            </w:r>
          </w:p>
        </w:tc>
        <w:tc>
          <w:tcPr>
            <w:tcW w:w="6946" w:type="dxa"/>
            <w:shd w:val="clear" w:color="auto" w:fill="auto"/>
          </w:tcPr>
          <w:p w:rsidR="00456002" w:rsidRPr="008D38F6" w:rsidRDefault="004B6D8C" w:rsidP="00A70464">
            <w:pPr>
              <w:pStyle w:val="AppendixBodyText"/>
              <w:spacing w:before="60"/>
              <w:ind w:right="720"/>
              <w:rPr>
                <w:lang w:val="pt-BR"/>
              </w:rPr>
            </w:pPr>
            <w:r w:rsidRPr="008D38F6">
              <w:rPr>
                <w:rFonts w:ascii="Tahoma" w:hAnsi="Tahoma" w:cs="Tahoma"/>
                <w:b/>
                <w:sz w:val="18"/>
                <w:lang w:val="pt-BR"/>
              </w:rPr>
              <w:t>Licença Open</w:t>
            </w:r>
          </w:p>
          <w:p w:rsidR="00456002" w:rsidRPr="008D38F6" w:rsidRDefault="00456002" w:rsidP="002E38CD">
            <w:pPr>
              <w:pStyle w:val="AppendixBodyText"/>
              <w:ind w:right="198"/>
              <w:rPr>
                <w:lang w:val="pt-BR"/>
              </w:rPr>
            </w:pPr>
            <w:r w:rsidRPr="008D38F6">
              <w:rPr>
                <w:rFonts w:ascii="Tahoma" w:hAnsi="Tahoma" w:cs="Tahoma"/>
                <w:sz w:val="18"/>
                <w:lang w:val="pt-BR"/>
              </w:rPr>
              <w:t>A Licença Open requer um pedido mínimo de 5 licenças, 5 SA ou qualquer combinação para estabelecer um Número de Autorização.</w:t>
            </w:r>
            <w:r w:rsidR="00FB5496" w:rsidRPr="008D38F6">
              <w:rPr>
                <w:rFonts w:ascii="Tahoma" w:hAnsi="Tahoma" w:cs="Tahoma"/>
                <w:sz w:val="18"/>
                <w:lang w:val="pt-BR"/>
              </w:rPr>
              <w:t xml:space="preserve"> </w:t>
            </w:r>
            <w:r w:rsidRPr="008D38F6">
              <w:rPr>
                <w:rFonts w:ascii="Tahoma" w:hAnsi="Tahoma" w:cs="Tahoma"/>
                <w:sz w:val="18"/>
                <w:lang w:val="pt-BR"/>
              </w:rPr>
              <w:t>Por exemplo, 2</w:t>
            </w:r>
            <w:r w:rsidR="00221B54" w:rsidRPr="008D38F6">
              <w:rPr>
                <w:rFonts w:ascii="Tahoma" w:hAnsi="Tahoma" w:cs="Tahoma"/>
                <w:sz w:val="18"/>
                <w:lang w:val="pt-BR"/>
              </w:rPr>
              <w:t> </w:t>
            </w:r>
            <w:r w:rsidRPr="008D38F6">
              <w:rPr>
                <w:rFonts w:ascii="Tahoma" w:hAnsi="Tahoma" w:cs="Tahoma"/>
                <w:sz w:val="18"/>
                <w:lang w:val="pt-BR"/>
              </w:rPr>
              <w:t>Licença e Software Assurance e 1 Licença Padrão satisfariam a compra mínima de 5</w:t>
            </w:r>
            <w:r w:rsidR="002E38CD" w:rsidRPr="008D38F6">
              <w:rPr>
                <w:rFonts w:ascii="Tahoma" w:hAnsi="Tahoma" w:cs="Tahoma"/>
                <w:sz w:val="18"/>
                <w:lang w:val="pt-BR"/>
              </w:rPr>
              <w:t> </w:t>
            </w:r>
            <w:r w:rsidRPr="008D38F6">
              <w:rPr>
                <w:rFonts w:ascii="Tahoma" w:hAnsi="Tahoma" w:cs="Tahoma"/>
                <w:sz w:val="18"/>
                <w:lang w:val="pt-BR"/>
              </w:rPr>
              <w:t xml:space="preserve">licenças necessária para a entrada em qualquer um dos programas. </w:t>
            </w:r>
          </w:p>
          <w:p w:rsidR="00456002" w:rsidRPr="008D38F6" w:rsidRDefault="00456002" w:rsidP="003E606C">
            <w:pPr>
              <w:pStyle w:val="AppendixBodyText"/>
              <w:spacing w:after="0"/>
              <w:ind w:right="720"/>
              <w:rPr>
                <w:rFonts w:ascii="Tahoma" w:hAnsi="Tahoma" w:cs="Tahoma"/>
                <w:sz w:val="18"/>
                <w:szCs w:val="18"/>
                <w:lang w:val="pt-BR"/>
              </w:rPr>
            </w:pPr>
          </w:p>
          <w:p w:rsidR="004B6D8C" w:rsidRPr="00416070" w:rsidRDefault="00456002" w:rsidP="005C647E">
            <w:pPr>
              <w:pStyle w:val="AppendixBodyText"/>
              <w:ind w:right="720"/>
            </w:pPr>
            <w:r w:rsidRPr="00416070">
              <w:rPr>
                <w:rFonts w:ascii="Tahoma" w:hAnsi="Tahoma" w:cs="Tahoma"/>
                <w:b/>
                <w:sz w:val="18"/>
              </w:rPr>
              <w:t>Open Value and Open Value Subscription</w:t>
            </w:r>
          </w:p>
          <w:p w:rsidR="00456002" w:rsidRPr="008D38F6" w:rsidRDefault="00456002" w:rsidP="00221B54">
            <w:pPr>
              <w:pStyle w:val="AppendixBodyText"/>
              <w:ind w:right="378"/>
              <w:rPr>
                <w:lang w:val="pt-BR"/>
              </w:rPr>
            </w:pPr>
            <w:r w:rsidRPr="008D38F6">
              <w:rPr>
                <w:rFonts w:ascii="Tahoma" w:hAnsi="Tahoma" w:cs="Tahoma"/>
                <w:sz w:val="18"/>
                <w:lang w:val="pt-BR"/>
              </w:rPr>
              <w:t xml:space="preserve">O Open Value requer um pedido mínimo de 5 U&amp;SA, 5 L&amp;SA, 5 SA, 5 Licenças de Assinatura ou qualquer combinação para celebrar um contrato. </w:t>
            </w:r>
          </w:p>
          <w:p w:rsidR="00A51838" w:rsidRPr="008D38F6" w:rsidRDefault="00A51838" w:rsidP="00A86016">
            <w:pPr>
              <w:pStyle w:val="AppendixBodyText"/>
              <w:spacing w:after="0"/>
              <w:ind w:right="720"/>
              <w:rPr>
                <w:rFonts w:ascii="Tahoma" w:hAnsi="Tahoma" w:cs="Tahoma"/>
                <w:sz w:val="18"/>
                <w:lang w:val="pt-BR" w:eastAsia="ja-JP"/>
              </w:rPr>
            </w:pPr>
          </w:p>
        </w:tc>
      </w:tr>
      <w:tr w:rsidR="00A86016" w:rsidRPr="00416070" w:rsidTr="00AA0B4F">
        <w:tc>
          <w:tcPr>
            <w:tcW w:w="2270" w:type="dxa"/>
            <w:shd w:val="clear" w:color="auto" w:fill="FABF8F"/>
          </w:tcPr>
          <w:p w:rsidR="00A86016" w:rsidRPr="00416070" w:rsidRDefault="00A86016" w:rsidP="00A86016">
            <w:pPr>
              <w:pStyle w:val="AppendixBodyText"/>
              <w:ind w:right="720"/>
              <w:jc w:val="center"/>
              <w:rPr>
                <w:rFonts w:ascii="Tahoma" w:hAnsi="Tahoma" w:cs="Tahoma"/>
                <w:b/>
                <w:color w:val="000000"/>
                <w:sz w:val="22"/>
                <w:szCs w:val="18"/>
                <w:lang w:eastAsia="ja-JP"/>
              </w:rPr>
            </w:pPr>
            <w:r w:rsidRPr="00416070">
              <w:rPr>
                <w:rFonts w:ascii="Tahoma" w:hAnsi="Tahoma" w:cs="Tahoma"/>
                <w:b/>
                <w:color w:val="000000"/>
                <w:sz w:val="22"/>
                <w:szCs w:val="18"/>
              </w:rPr>
              <w:lastRenderedPageBreak/>
              <w:t>Programas</w:t>
            </w:r>
          </w:p>
        </w:tc>
        <w:tc>
          <w:tcPr>
            <w:tcW w:w="6946" w:type="dxa"/>
            <w:shd w:val="clear" w:color="auto" w:fill="FABF8F"/>
          </w:tcPr>
          <w:p w:rsidR="00A86016" w:rsidRPr="00416070" w:rsidRDefault="00A86016" w:rsidP="00A86016">
            <w:pPr>
              <w:pStyle w:val="AppendixBodyText"/>
              <w:ind w:right="720"/>
              <w:jc w:val="center"/>
              <w:rPr>
                <w:rFonts w:ascii="Tahoma" w:hAnsi="Tahoma" w:cs="Tahoma"/>
                <w:b/>
                <w:color w:val="000000"/>
                <w:sz w:val="22"/>
                <w:szCs w:val="18"/>
                <w:lang w:eastAsia="ja-JP"/>
              </w:rPr>
            </w:pPr>
            <w:r w:rsidRPr="00416070">
              <w:rPr>
                <w:rFonts w:ascii="Tahoma" w:hAnsi="Tahoma" w:cs="Tahoma"/>
                <w:b/>
                <w:color w:val="000000"/>
                <w:sz w:val="22"/>
                <w:szCs w:val="18"/>
              </w:rPr>
              <w:t>Requisitos Mínimos de Pedidos</w:t>
            </w:r>
          </w:p>
        </w:tc>
      </w:tr>
      <w:tr w:rsidR="00456002" w:rsidRPr="00B06414" w:rsidTr="00AA0B4F">
        <w:tc>
          <w:tcPr>
            <w:tcW w:w="2270" w:type="dxa"/>
            <w:shd w:val="clear" w:color="auto" w:fill="auto"/>
          </w:tcPr>
          <w:p w:rsidR="00456002" w:rsidRPr="00416070" w:rsidRDefault="00456002" w:rsidP="00A70464">
            <w:pPr>
              <w:pStyle w:val="AppendixBodyText"/>
              <w:spacing w:before="60"/>
              <w:ind w:right="720"/>
              <w:rPr>
                <w:rFonts w:ascii="Tahoma" w:hAnsi="Tahoma" w:cs="Tahoma"/>
                <w:b/>
                <w:color w:val="000000"/>
                <w:szCs w:val="18"/>
                <w:lang w:eastAsia="ja-JP"/>
              </w:rPr>
            </w:pPr>
          </w:p>
        </w:tc>
        <w:tc>
          <w:tcPr>
            <w:tcW w:w="6946" w:type="dxa"/>
            <w:shd w:val="clear" w:color="auto" w:fill="auto"/>
          </w:tcPr>
          <w:p w:rsidR="00A86016" w:rsidRPr="008D38F6" w:rsidRDefault="00A86016" w:rsidP="00A86016">
            <w:pPr>
              <w:pStyle w:val="AppendixBodyText"/>
              <w:spacing w:after="0"/>
              <w:ind w:right="720"/>
              <w:rPr>
                <w:rFonts w:ascii="Tahoma" w:hAnsi="Tahoma" w:cs="Tahoma"/>
                <w:sz w:val="18"/>
                <w:szCs w:val="18"/>
                <w:lang w:val="pt-BR"/>
              </w:rPr>
            </w:pPr>
            <w:r w:rsidRPr="008D38F6">
              <w:rPr>
                <w:rFonts w:ascii="Tahoma" w:hAnsi="Tahoma" w:cs="Tahoma"/>
                <w:b/>
                <w:sz w:val="18"/>
                <w:szCs w:val="18"/>
                <w:lang w:val="pt-BR"/>
              </w:rPr>
              <w:t>Observação:</w:t>
            </w:r>
            <w:r w:rsidRPr="008D38F6">
              <w:rPr>
                <w:rFonts w:ascii="Tahoma" w:hAnsi="Tahoma" w:cs="Tahoma"/>
                <w:sz w:val="18"/>
                <w:szCs w:val="18"/>
                <w:lang w:val="pt-BR"/>
              </w:rPr>
              <w:t xml:space="preserve"> uma licença individual para determinados produtos nos programas Open e Open Value satisfaz o requisito mínimo de 5 licenças. Consulte as notas de produtos individuais para determinar quais produtos se qualificam para essa exceção.</w:t>
            </w:r>
          </w:p>
          <w:p w:rsidR="00230E01" w:rsidRPr="008D38F6" w:rsidRDefault="00230E01" w:rsidP="00A86016">
            <w:pPr>
              <w:spacing w:before="60"/>
              <w:rPr>
                <w:rFonts w:cs="Tahoma"/>
                <w:szCs w:val="18"/>
                <w:lang w:val="pt-BR"/>
              </w:rPr>
            </w:pPr>
          </w:p>
        </w:tc>
      </w:tr>
      <w:tr w:rsidR="00A86016" w:rsidRPr="00B06414" w:rsidTr="00AA0B4F">
        <w:tc>
          <w:tcPr>
            <w:tcW w:w="2270" w:type="dxa"/>
            <w:shd w:val="clear" w:color="auto" w:fill="auto"/>
          </w:tcPr>
          <w:p w:rsidR="00A86016" w:rsidRPr="00416070" w:rsidRDefault="00A86016" w:rsidP="00A86016">
            <w:pPr>
              <w:pStyle w:val="AppendixBodyText"/>
              <w:spacing w:before="60"/>
              <w:ind w:right="182"/>
              <w:rPr>
                <w:rFonts w:ascii="Tahoma" w:hAnsi="Tahoma" w:cs="Tahoma"/>
                <w:b/>
                <w:color w:val="000000"/>
                <w:szCs w:val="18"/>
              </w:rPr>
            </w:pPr>
            <w:r w:rsidRPr="00416070">
              <w:rPr>
                <w:rFonts w:ascii="Tahoma" w:hAnsi="Tahoma" w:cs="Tahoma"/>
                <w:b/>
                <w:color w:val="000000"/>
                <w:szCs w:val="18"/>
              </w:rPr>
              <w:t>Open Value Subscription - ES</w:t>
            </w:r>
          </w:p>
        </w:tc>
        <w:tc>
          <w:tcPr>
            <w:tcW w:w="6946" w:type="dxa"/>
            <w:shd w:val="clear" w:color="auto" w:fill="auto"/>
          </w:tcPr>
          <w:p w:rsidR="00A86016" w:rsidRPr="008D38F6" w:rsidRDefault="00A86016" w:rsidP="00A86016">
            <w:pPr>
              <w:spacing w:before="60"/>
              <w:rPr>
                <w:rFonts w:cs="Tahoma"/>
                <w:szCs w:val="18"/>
                <w:lang w:val="pt-BR"/>
              </w:rPr>
            </w:pPr>
            <w:r w:rsidRPr="008D38F6">
              <w:rPr>
                <w:rFonts w:cs="Tahoma"/>
                <w:szCs w:val="18"/>
                <w:lang w:val="pt-BR"/>
              </w:rPr>
              <w:t>Open Value Subscription – ES requer pelo menos um Produto da Plataforma Desktop para uma Contagem para toda a Organização de pelo menos 5 OU pelo menos um Produto da Plataforma Desktop para a Contagem de Estudantes de pelo menos 5.</w:t>
            </w:r>
          </w:p>
          <w:p w:rsidR="00A86016" w:rsidRPr="008D38F6" w:rsidRDefault="00A86016" w:rsidP="00230E01">
            <w:pPr>
              <w:spacing w:before="60"/>
              <w:rPr>
                <w:rFonts w:cs="Tahoma"/>
                <w:szCs w:val="18"/>
                <w:lang w:val="pt-BR"/>
              </w:rPr>
            </w:pPr>
          </w:p>
        </w:tc>
      </w:tr>
      <w:tr w:rsidR="00456002" w:rsidRPr="00B06414" w:rsidTr="00AA0B4F">
        <w:tc>
          <w:tcPr>
            <w:tcW w:w="2270" w:type="dxa"/>
            <w:shd w:val="clear" w:color="auto" w:fill="auto"/>
          </w:tcPr>
          <w:p w:rsidR="00456002" w:rsidRPr="00416070" w:rsidRDefault="00456002" w:rsidP="00A70464">
            <w:pPr>
              <w:pStyle w:val="AppendixBodyText"/>
              <w:spacing w:before="60"/>
              <w:ind w:right="720"/>
              <w:rPr>
                <w:rFonts w:ascii="Tahoma" w:hAnsi="Tahoma" w:cs="Tahoma"/>
                <w:b/>
                <w:color w:val="000000"/>
                <w:szCs w:val="18"/>
                <w:lang w:eastAsia="ja-JP"/>
              </w:rPr>
            </w:pPr>
            <w:r w:rsidRPr="00416070">
              <w:rPr>
                <w:rFonts w:ascii="Tahoma" w:hAnsi="Tahoma" w:cs="Tahoma"/>
                <w:b/>
                <w:color w:val="000000"/>
                <w:szCs w:val="18"/>
              </w:rPr>
              <w:t>Select</w:t>
            </w:r>
          </w:p>
        </w:tc>
        <w:tc>
          <w:tcPr>
            <w:tcW w:w="6946" w:type="dxa"/>
            <w:shd w:val="clear" w:color="auto" w:fill="auto"/>
          </w:tcPr>
          <w:p w:rsidR="00456002" w:rsidRPr="008D38F6" w:rsidRDefault="00456002" w:rsidP="00230E01">
            <w:pPr>
              <w:pStyle w:val="AppendixBodyText"/>
              <w:spacing w:before="60" w:after="0"/>
              <w:ind w:right="720"/>
              <w:rPr>
                <w:rFonts w:ascii="Tahoma" w:hAnsi="Tahoma" w:cs="Tahoma"/>
                <w:sz w:val="18"/>
                <w:szCs w:val="18"/>
                <w:lang w:val="pt-BR"/>
              </w:rPr>
            </w:pPr>
            <w:r w:rsidRPr="008D38F6">
              <w:rPr>
                <w:rFonts w:ascii="Tahoma" w:hAnsi="Tahoma" w:cs="Tahoma"/>
                <w:color w:val="000000"/>
                <w:sz w:val="18"/>
                <w:szCs w:val="18"/>
                <w:lang w:val="pt-BR"/>
              </w:rPr>
              <w:t>A Licença Select requer um pedido mínimo de 1.500 pontos por pool ao longo do prazo do contrato.</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Os requisitos de quantidade mínima do pedido poderão ser dispensados caso seja fornecido um contrato qualificado.</w:t>
            </w:r>
          </w:p>
          <w:p w:rsidR="00230E01" w:rsidRPr="008D38F6" w:rsidRDefault="00230E01" w:rsidP="00230E01">
            <w:pPr>
              <w:pStyle w:val="AppendixBodyText"/>
              <w:spacing w:after="0"/>
              <w:ind w:right="720"/>
              <w:rPr>
                <w:rFonts w:ascii="Tahoma" w:hAnsi="Tahoma" w:cs="Tahoma"/>
                <w:color w:val="000000"/>
                <w:sz w:val="18"/>
                <w:szCs w:val="18"/>
                <w:lang w:val="pt-BR" w:eastAsia="ja-JP"/>
              </w:rPr>
            </w:pPr>
          </w:p>
        </w:tc>
      </w:tr>
      <w:tr w:rsidR="00456002" w:rsidRPr="00B06414" w:rsidTr="00AA0B4F">
        <w:tc>
          <w:tcPr>
            <w:tcW w:w="2270" w:type="dxa"/>
            <w:shd w:val="clear" w:color="auto" w:fill="auto"/>
          </w:tcPr>
          <w:p w:rsidR="00456002" w:rsidRPr="00416070" w:rsidRDefault="00456002" w:rsidP="00A70464">
            <w:pPr>
              <w:pStyle w:val="AppendixBodyText"/>
              <w:spacing w:before="60"/>
              <w:ind w:right="720"/>
              <w:rPr>
                <w:rFonts w:ascii="Tahoma" w:hAnsi="Tahoma" w:cs="Tahoma"/>
                <w:b/>
                <w:color w:val="000000"/>
                <w:szCs w:val="18"/>
                <w:lang w:eastAsia="ja-JP"/>
              </w:rPr>
            </w:pPr>
            <w:r w:rsidRPr="00416070">
              <w:rPr>
                <w:rFonts w:ascii="Tahoma" w:hAnsi="Tahoma" w:cs="Tahoma"/>
                <w:b/>
                <w:color w:val="000000"/>
                <w:szCs w:val="18"/>
              </w:rPr>
              <w:t>Select Plus</w:t>
            </w:r>
          </w:p>
        </w:tc>
        <w:tc>
          <w:tcPr>
            <w:tcW w:w="6946" w:type="dxa"/>
            <w:shd w:val="clear" w:color="auto" w:fill="auto"/>
          </w:tcPr>
          <w:p w:rsidR="00456002" w:rsidRPr="008D38F6" w:rsidRDefault="00456002" w:rsidP="00A70464">
            <w:pPr>
              <w:pStyle w:val="AppendixBodyText"/>
              <w:spacing w:before="60"/>
              <w:ind w:right="720"/>
              <w:rPr>
                <w:rFonts w:ascii="Tahoma" w:hAnsi="Tahoma" w:cs="Tahoma"/>
                <w:lang w:val="pt-BR"/>
              </w:rPr>
            </w:pPr>
            <w:r w:rsidRPr="008D38F6">
              <w:rPr>
                <w:rFonts w:ascii="Tahoma" w:hAnsi="Tahoma" w:cs="Tahoma"/>
                <w:color w:val="000000"/>
                <w:sz w:val="18"/>
                <w:szCs w:val="18"/>
                <w:lang w:val="pt-BR"/>
              </w:rPr>
              <w:t>O Select Plus requer um pedido mínimo inicial de 500 pontos por pool durante o primeiro ano.</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Esse requisito de quantidade no pedido poderá ser</w:t>
            </w:r>
            <w:r w:rsidR="00221B54" w:rsidRPr="008D38F6">
              <w:rPr>
                <w:rFonts w:ascii="Tahoma" w:hAnsi="Tahoma" w:cs="Tahoma"/>
                <w:color w:val="000000"/>
                <w:sz w:val="18"/>
                <w:szCs w:val="18"/>
                <w:lang w:val="pt-BR"/>
              </w:rPr>
              <w:t> </w:t>
            </w:r>
            <w:r w:rsidRPr="008D38F6">
              <w:rPr>
                <w:rFonts w:ascii="Tahoma" w:hAnsi="Tahoma" w:cs="Tahoma"/>
                <w:color w:val="000000"/>
                <w:sz w:val="18"/>
                <w:szCs w:val="18"/>
                <w:lang w:val="pt-BR"/>
              </w:rPr>
              <w:t>dispensado caso seja fornecido um contrato qualificado.</w:t>
            </w:r>
          </w:p>
          <w:p w:rsidR="00456002" w:rsidRPr="008D38F6" w:rsidRDefault="00456002" w:rsidP="00A70464">
            <w:pPr>
              <w:pStyle w:val="AppendixBodyText"/>
              <w:spacing w:after="0"/>
              <w:ind w:right="720"/>
              <w:rPr>
                <w:rFonts w:ascii="Tahoma" w:hAnsi="Tahoma" w:cs="Tahoma"/>
                <w:sz w:val="18"/>
                <w:szCs w:val="18"/>
                <w:lang w:val="pt-BR"/>
              </w:rPr>
            </w:pPr>
          </w:p>
          <w:p w:rsidR="00456002" w:rsidRPr="008D38F6" w:rsidRDefault="00456002" w:rsidP="004B6D8C">
            <w:pPr>
              <w:spacing w:after="60"/>
              <w:rPr>
                <w:rFonts w:cs="Tahoma"/>
                <w:lang w:val="pt-BR"/>
              </w:rPr>
            </w:pPr>
            <w:bookmarkStart w:id="665" w:name="_Toc323159727"/>
            <w:r w:rsidRPr="008D38F6">
              <w:rPr>
                <w:rFonts w:cs="Tahoma"/>
                <w:b/>
                <w:lang w:val="pt-BR"/>
              </w:rPr>
              <w:t>Categorias de preços no Select Plus</w:t>
            </w:r>
            <w:bookmarkEnd w:id="665"/>
          </w:p>
          <w:p w:rsidR="00456002" w:rsidRPr="008D38F6" w:rsidRDefault="00456002" w:rsidP="005C647E">
            <w:pPr>
              <w:rPr>
                <w:rFonts w:cs="Tahoma"/>
                <w:lang w:val="pt-BR"/>
              </w:rPr>
            </w:pPr>
            <w:r w:rsidRPr="008D38F6">
              <w:rPr>
                <w:rFonts w:cs="Tahoma"/>
                <w:szCs w:val="18"/>
                <w:lang w:val="pt-BR"/>
              </w:rPr>
              <w:t>Os clientes estarão qualificados para o Programa Select Plus se corresponderem a</w:t>
            </w:r>
            <w:r w:rsidR="00221B54" w:rsidRPr="008D38F6">
              <w:rPr>
                <w:rFonts w:cs="Tahoma"/>
                <w:szCs w:val="18"/>
                <w:lang w:val="pt-BR"/>
              </w:rPr>
              <w:t> </w:t>
            </w:r>
            <w:r w:rsidRPr="008D38F6">
              <w:rPr>
                <w:rFonts w:cs="Tahoma"/>
                <w:szCs w:val="18"/>
                <w:lang w:val="pt-BR"/>
              </w:rPr>
              <w:t xml:space="preserve">um desses critérios: </w:t>
            </w:r>
          </w:p>
          <w:p w:rsidR="00406CB0" w:rsidRPr="008D38F6" w:rsidRDefault="00406CB0" w:rsidP="00A70464">
            <w:pPr>
              <w:rPr>
                <w:rFonts w:cs="Tahoma"/>
                <w:szCs w:val="18"/>
                <w:lang w:val="pt-BR"/>
              </w:rPr>
            </w:pPr>
          </w:p>
          <w:p w:rsidR="00456002" w:rsidRPr="008D38F6" w:rsidRDefault="00456002" w:rsidP="004B6D8C">
            <w:pPr>
              <w:numPr>
                <w:ilvl w:val="0"/>
                <w:numId w:val="82"/>
              </w:numPr>
              <w:spacing w:after="60"/>
              <w:rPr>
                <w:rFonts w:cs="Tahoma"/>
                <w:lang w:val="pt-BR"/>
              </w:rPr>
            </w:pPr>
            <w:r w:rsidRPr="008D38F6">
              <w:rPr>
                <w:rFonts w:cs="Tahoma"/>
                <w:lang w:val="pt-BR"/>
              </w:rPr>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rsidR="00456002" w:rsidRPr="008D38F6" w:rsidRDefault="00456002" w:rsidP="00AA0B4F">
            <w:pPr>
              <w:numPr>
                <w:ilvl w:val="0"/>
                <w:numId w:val="82"/>
              </w:numPr>
              <w:spacing w:after="60"/>
              <w:rPr>
                <w:rFonts w:cs="Tahoma"/>
                <w:lang w:val="pt-BR"/>
              </w:rPr>
            </w:pPr>
            <w:r w:rsidRPr="008D38F6">
              <w:rPr>
                <w:rFonts w:cs="Tahoma"/>
                <w:lang w:val="pt-BR"/>
              </w:rPr>
              <w:t>Envio de um pedido que cumpra um mínimo de 500 pontos para cada pool</w:t>
            </w:r>
            <w:r w:rsidR="00AA0B4F" w:rsidRPr="008D38F6">
              <w:rPr>
                <w:rFonts w:cs="Tahoma"/>
                <w:lang w:val="pt-BR"/>
              </w:rPr>
              <w:t> </w:t>
            </w:r>
            <w:r w:rsidRPr="008D38F6">
              <w:rPr>
                <w:rFonts w:cs="Tahoma"/>
                <w:lang w:val="pt-BR"/>
              </w:rPr>
              <w:t xml:space="preserve">de produtos selecionado pelo Cliente durante o primeiro ano; </w:t>
            </w:r>
          </w:p>
          <w:p w:rsidR="00456002" w:rsidRPr="008D38F6" w:rsidRDefault="00456002" w:rsidP="004B6D8C">
            <w:pPr>
              <w:numPr>
                <w:ilvl w:val="0"/>
                <w:numId w:val="82"/>
              </w:numPr>
              <w:spacing w:after="60"/>
              <w:rPr>
                <w:rFonts w:cs="Tahoma"/>
                <w:lang w:val="pt-BR"/>
              </w:rPr>
            </w:pPr>
            <w:r w:rsidRPr="008D38F6">
              <w:rPr>
                <w:rFonts w:cs="Tahoma"/>
                <w:lang w:val="pt-BR"/>
              </w:rPr>
              <w:t>Identificação de um contrato em que a quantidade do pedido mínimo tenha sido comprada durante os 12 meses anteriores à data de início de</w:t>
            </w:r>
            <w:r w:rsidR="00221B54" w:rsidRPr="008D38F6">
              <w:rPr>
                <w:rFonts w:cs="Tahoma"/>
                <w:lang w:val="pt-BR"/>
              </w:rPr>
              <w:t> </w:t>
            </w:r>
            <w:r w:rsidRPr="008D38F6">
              <w:rPr>
                <w:rFonts w:cs="Tahoma"/>
                <w:lang w:val="pt-BR"/>
              </w:rPr>
              <w:t xml:space="preserve">vigência do Contrato Select Plus do cliente; e </w:t>
            </w:r>
          </w:p>
          <w:p w:rsidR="00221B54" w:rsidRPr="008D38F6" w:rsidRDefault="00221B54" w:rsidP="00A70464">
            <w:pPr>
              <w:rPr>
                <w:rFonts w:cs="Tahoma"/>
                <w:lang w:val="pt-BR"/>
              </w:rPr>
            </w:pPr>
          </w:p>
          <w:p w:rsidR="00456002" w:rsidRPr="008D38F6" w:rsidRDefault="00456002" w:rsidP="005C647E">
            <w:pPr>
              <w:rPr>
                <w:rFonts w:cs="Tahoma"/>
                <w:spacing w:val="-2"/>
                <w:lang w:val="pt-BR"/>
              </w:rPr>
            </w:pPr>
            <w:r w:rsidRPr="008D38F6">
              <w:rPr>
                <w:rFonts w:cs="Tahoma"/>
                <w:spacing w:val="-2"/>
                <w:szCs w:val="18"/>
                <w:lang w:val="pt-BR"/>
              </w:rPr>
              <w:t xml:space="preserve">Para as opções 2 e 3 acima, o Cliente terá que manter um mínimo de 500 pontos em cada pool de produtos que selecionar por ocasião da verificação de conformidade. </w:t>
            </w:r>
          </w:p>
          <w:p w:rsidR="00456002" w:rsidRPr="008D38F6" w:rsidRDefault="00456002" w:rsidP="005C647E">
            <w:pPr>
              <w:rPr>
                <w:rFonts w:cs="Tahoma"/>
                <w:lang w:val="pt-BR"/>
              </w:rPr>
            </w:pPr>
          </w:p>
          <w:p w:rsidR="00456002" w:rsidRPr="008D38F6" w:rsidRDefault="00456002" w:rsidP="005C647E">
            <w:pPr>
              <w:rPr>
                <w:rFonts w:cs="Tahoma"/>
                <w:lang w:val="pt-BR"/>
              </w:rPr>
            </w:pPr>
            <w:r w:rsidRPr="008D38F6">
              <w:rPr>
                <w:rFonts w:cs="Tahoma"/>
                <w:szCs w:val="18"/>
                <w:lang w:val="pt-BR"/>
              </w:rPr>
              <w:t>Os preços do Cliente baseiam-se no contrato entre o Cliente e seu revendedor.</w:t>
            </w:r>
            <w:r w:rsidR="00FB5496" w:rsidRPr="008D38F6">
              <w:rPr>
                <w:rFonts w:cs="Tahoma"/>
                <w:szCs w:val="18"/>
                <w:lang w:val="pt-BR"/>
              </w:rPr>
              <w:t xml:space="preserve"> </w:t>
            </w:r>
            <w:r w:rsidRPr="008D38F6">
              <w:rPr>
                <w:rFonts w:cs="Tahoma"/>
                <w:szCs w:val="18"/>
                <w:lang w:val="pt-BR"/>
              </w:rPr>
              <w:t>Porém, a Microsoft sugere ao revendedor os seguintes critérios de preços e</w:t>
            </w:r>
            <w:r w:rsidR="00221B54" w:rsidRPr="008D38F6">
              <w:rPr>
                <w:rFonts w:cs="Tahoma"/>
                <w:szCs w:val="18"/>
                <w:lang w:val="pt-BR"/>
              </w:rPr>
              <w:t> </w:t>
            </w:r>
            <w:r w:rsidRPr="008D38F6">
              <w:rPr>
                <w:rFonts w:cs="Tahoma"/>
                <w:szCs w:val="18"/>
                <w:lang w:val="pt-BR"/>
              </w:rPr>
              <w:t>pontos</w:t>
            </w:r>
            <w:r w:rsidR="00221B54" w:rsidRPr="008D38F6">
              <w:rPr>
                <w:rFonts w:cs="Tahoma"/>
                <w:szCs w:val="18"/>
                <w:lang w:val="pt-BR"/>
              </w:rPr>
              <w:t> </w:t>
            </w:r>
            <w:r w:rsidRPr="008D38F6">
              <w:rPr>
                <w:rFonts w:cs="Tahoma"/>
                <w:szCs w:val="18"/>
                <w:lang w:val="pt-BR"/>
              </w:rPr>
              <w:t>para orientá-lo quanto ao preço final para o consumidor:</w:t>
            </w:r>
            <w:r w:rsidR="00FB5496" w:rsidRPr="008D38F6">
              <w:rPr>
                <w:rFonts w:cs="Tahoma"/>
                <w:szCs w:val="18"/>
                <w:lang w:val="pt-BR"/>
              </w:rPr>
              <w:t xml:space="preserve"> </w:t>
            </w:r>
          </w:p>
          <w:p w:rsidR="00456002" w:rsidRPr="008D38F6" w:rsidRDefault="00456002" w:rsidP="005C647E">
            <w:pPr>
              <w:rPr>
                <w:rFonts w:cs="Tahoma"/>
                <w:lang w:val="pt-B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221B54" w:rsidRPr="00B06414" w:rsidTr="002E4F7C">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221B54" w:rsidRPr="008D38F6" w:rsidRDefault="00221B54" w:rsidP="002E4F7C">
                  <w:pPr>
                    <w:jc w:val="center"/>
                    <w:rPr>
                      <w:rFonts w:cs="Tahoma"/>
                      <w:b/>
                      <w:sz w:val="20"/>
                      <w:szCs w:val="18"/>
                      <w:lang w:val="pt-BR"/>
                    </w:rPr>
                  </w:pPr>
                  <w:r w:rsidRPr="008D38F6">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221B54" w:rsidRPr="008D38F6" w:rsidRDefault="00221B54" w:rsidP="00221B54">
                  <w:pPr>
                    <w:jc w:val="center"/>
                    <w:rPr>
                      <w:rFonts w:cs="Tahoma"/>
                      <w:b/>
                      <w:sz w:val="20"/>
                      <w:szCs w:val="18"/>
                      <w:lang w:val="pt-BR"/>
                    </w:rPr>
                  </w:pPr>
                  <w:r w:rsidRPr="008D38F6">
                    <w:rPr>
                      <w:rFonts w:cs="Tahoma"/>
                      <w:b/>
                      <w:sz w:val="20"/>
                      <w:szCs w:val="18"/>
                      <w:lang w:val="pt-BR"/>
                    </w:rPr>
                    <w:t>Mínimo de Pontos Anuais por Pool</w:t>
                  </w:r>
                </w:p>
              </w:tc>
            </w:tr>
            <w:tr w:rsidR="00221B54" w:rsidRPr="00B06414" w:rsidTr="002E4F7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21B54" w:rsidRPr="008D38F6" w:rsidRDefault="00221B54" w:rsidP="002E4F7C">
                  <w:pPr>
                    <w:jc w:val="center"/>
                    <w:rPr>
                      <w:rFonts w:cs="Tahoma"/>
                      <w:szCs w:val="18"/>
                      <w:lang w:val="pt-BR"/>
                    </w:rPr>
                  </w:pPr>
                  <w:r w:rsidRPr="008D38F6">
                    <w:rPr>
                      <w:rFonts w:cs="Tahoma"/>
                      <w:szCs w:val="18"/>
                      <w:lang w:val="pt-B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21B54" w:rsidRPr="008D38F6" w:rsidRDefault="00221B54" w:rsidP="002E4F7C">
                  <w:pPr>
                    <w:jc w:val="center"/>
                    <w:rPr>
                      <w:rFonts w:cs="Tahoma"/>
                      <w:szCs w:val="18"/>
                      <w:lang w:val="pt-BR"/>
                    </w:rPr>
                  </w:pPr>
                  <w:r w:rsidRPr="008D38F6">
                    <w:rPr>
                      <w:rFonts w:cs="Tahoma"/>
                      <w:szCs w:val="18"/>
                      <w:lang w:val="pt-BR"/>
                    </w:rPr>
                    <w:t>500</w:t>
                  </w:r>
                </w:p>
              </w:tc>
            </w:tr>
            <w:tr w:rsidR="00221B54" w:rsidRPr="00B06414" w:rsidTr="002E4F7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21B54" w:rsidRPr="008D38F6" w:rsidRDefault="00221B54" w:rsidP="002E4F7C">
                  <w:pPr>
                    <w:jc w:val="center"/>
                    <w:rPr>
                      <w:rFonts w:cs="Tahoma"/>
                      <w:szCs w:val="18"/>
                      <w:lang w:val="pt-BR"/>
                    </w:rPr>
                  </w:pPr>
                  <w:r w:rsidRPr="008D38F6">
                    <w:rPr>
                      <w:rFonts w:cs="Tahoma"/>
                      <w:szCs w:val="18"/>
                      <w:lang w:val="pt-B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21B54" w:rsidRPr="008D38F6" w:rsidRDefault="00221B54" w:rsidP="002E4F7C">
                  <w:pPr>
                    <w:jc w:val="center"/>
                    <w:rPr>
                      <w:rFonts w:cs="Tahoma"/>
                      <w:szCs w:val="18"/>
                      <w:lang w:val="pt-BR"/>
                    </w:rPr>
                  </w:pPr>
                  <w:r w:rsidRPr="008D38F6">
                    <w:rPr>
                      <w:rFonts w:cs="Tahoma"/>
                      <w:szCs w:val="18"/>
                      <w:lang w:val="pt-BR"/>
                    </w:rPr>
                    <w:t>4,000</w:t>
                  </w:r>
                </w:p>
              </w:tc>
            </w:tr>
            <w:tr w:rsidR="00221B54" w:rsidRPr="00B06414" w:rsidTr="002E4F7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21B54" w:rsidRPr="008D38F6" w:rsidRDefault="00221B54" w:rsidP="002E4F7C">
                  <w:pPr>
                    <w:jc w:val="center"/>
                    <w:rPr>
                      <w:rFonts w:cs="Tahoma"/>
                      <w:szCs w:val="18"/>
                      <w:lang w:val="pt-BR"/>
                    </w:rPr>
                  </w:pPr>
                  <w:r w:rsidRPr="008D38F6">
                    <w:rPr>
                      <w:rFonts w:cs="Tahoma"/>
                      <w:szCs w:val="18"/>
                      <w:lang w:val="pt-B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21B54" w:rsidRPr="008D38F6" w:rsidRDefault="00221B54" w:rsidP="002E4F7C">
                  <w:pPr>
                    <w:jc w:val="center"/>
                    <w:rPr>
                      <w:rFonts w:cs="Tahoma"/>
                      <w:szCs w:val="18"/>
                      <w:lang w:val="pt-BR"/>
                    </w:rPr>
                  </w:pPr>
                  <w:r w:rsidRPr="008D38F6">
                    <w:rPr>
                      <w:rFonts w:cs="Tahoma"/>
                      <w:szCs w:val="18"/>
                      <w:lang w:val="pt-BR"/>
                    </w:rPr>
                    <w:t>10,000</w:t>
                  </w:r>
                </w:p>
              </w:tc>
            </w:tr>
            <w:tr w:rsidR="00221B54" w:rsidRPr="00B06414" w:rsidTr="002E4F7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221B54" w:rsidRPr="008D38F6" w:rsidRDefault="00221B54" w:rsidP="002E4F7C">
                  <w:pPr>
                    <w:jc w:val="center"/>
                    <w:rPr>
                      <w:rFonts w:cs="Tahoma"/>
                      <w:szCs w:val="18"/>
                      <w:lang w:val="pt-BR"/>
                    </w:rPr>
                  </w:pPr>
                  <w:r w:rsidRPr="008D38F6">
                    <w:rPr>
                      <w:rFonts w:cs="Tahoma"/>
                      <w:szCs w:val="18"/>
                      <w:lang w:val="pt-B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221B54" w:rsidRPr="008D38F6" w:rsidRDefault="00221B54" w:rsidP="002E4F7C">
                  <w:pPr>
                    <w:jc w:val="center"/>
                    <w:rPr>
                      <w:rFonts w:cs="Tahoma"/>
                      <w:szCs w:val="18"/>
                      <w:lang w:val="pt-BR"/>
                    </w:rPr>
                  </w:pPr>
                  <w:r w:rsidRPr="008D38F6">
                    <w:rPr>
                      <w:rFonts w:cs="Tahoma"/>
                      <w:szCs w:val="18"/>
                      <w:lang w:val="pt-BR"/>
                    </w:rPr>
                    <w:t>25,000</w:t>
                  </w:r>
                </w:p>
              </w:tc>
            </w:tr>
          </w:tbl>
          <w:p w:rsidR="00230E01" w:rsidRPr="008D38F6" w:rsidRDefault="00AF68D4" w:rsidP="002E38CD">
            <w:pPr>
              <w:pStyle w:val="AppendixBodyText"/>
              <w:spacing w:after="0"/>
              <w:ind w:left="605" w:right="720"/>
              <w:rPr>
                <w:rFonts w:ascii="Tahoma" w:hAnsi="Tahoma" w:cs="Tahoma"/>
                <w:color w:val="000000"/>
                <w:sz w:val="18"/>
                <w:szCs w:val="18"/>
                <w:lang w:val="pt-BR" w:eastAsia="ja-JP"/>
              </w:rPr>
            </w:pPr>
            <w:r w:rsidRPr="008D38F6">
              <w:rPr>
                <w:rFonts w:ascii="Tahoma" w:hAnsi="Tahoma" w:cs="Tahoma"/>
                <w:i/>
                <w:sz w:val="16"/>
                <w:lang w:val="pt-BR"/>
              </w:rPr>
              <w:t>Observação: Quaisquer pontos que o cliente tenha em excesso na categoria de preços mínima serão transportados para o próximo ano para verificação de conformidade desses anos. Por exemplo, se o cliente tiver 4.500 pontos na verificação de conformidade anual, 500</w:t>
            </w:r>
            <w:r w:rsidR="003B2F3C" w:rsidRPr="008D38F6">
              <w:rPr>
                <w:rFonts w:ascii="Tahoma" w:hAnsi="Tahoma" w:cs="Tahoma"/>
                <w:i/>
                <w:sz w:val="16"/>
                <w:lang w:val="pt-BR"/>
              </w:rPr>
              <w:t xml:space="preserve"> </w:t>
            </w:r>
            <w:r w:rsidRPr="008D38F6">
              <w:rPr>
                <w:rFonts w:ascii="Tahoma" w:hAnsi="Tahoma" w:cs="Tahoma"/>
                <w:i/>
                <w:sz w:val="16"/>
                <w:lang w:val="pt-BR"/>
              </w:rPr>
              <w:t>pontos serão transportados para o ano seguinte para serem usados em relação à conformidade desses anos.</w:t>
            </w:r>
          </w:p>
        </w:tc>
      </w:tr>
      <w:tr w:rsidR="00A86016" w:rsidRPr="00416070" w:rsidTr="00AA0B4F">
        <w:tc>
          <w:tcPr>
            <w:tcW w:w="2270" w:type="dxa"/>
            <w:shd w:val="clear" w:color="auto" w:fill="FABF8F"/>
          </w:tcPr>
          <w:p w:rsidR="00A86016" w:rsidRPr="00416070" w:rsidRDefault="00A86016" w:rsidP="00A86016">
            <w:pPr>
              <w:pStyle w:val="AppendixBodyText"/>
              <w:ind w:right="720"/>
              <w:jc w:val="center"/>
              <w:rPr>
                <w:rFonts w:ascii="Tahoma" w:hAnsi="Tahoma" w:cs="Tahoma"/>
                <w:b/>
                <w:color w:val="000000"/>
                <w:sz w:val="22"/>
                <w:szCs w:val="18"/>
                <w:lang w:eastAsia="ja-JP"/>
              </w:rPr>
            </w:pPr>
            <w:r w:rsidRPr="00416070">
              <w:rPr>
                <w:rFonts w:ascii="Tahoma" w:hAnsi="Tahoma" w:cs="Tahoma"/>
                <w:b/>
                <w:color w:val="000000"/>
                <w:sz w:val="22"/>
                <w:szCs w:val="18"/>
              </w:rPr>
              <w:lastRenderedPageBreak/>
              <w:t>Programas</w:t>
            </w:r>
          </w:p>
        </w:tc>
        <w:tc>
          <w:tcPr>
            <w:tcW w:w="6946" w:type="dxa"/>
            <w:shd w:val="clear" w:color="auto" w:fill="FABF8F"/>
          </w:tcPr>
          <w:p w:rsidR="00A86016" w:rsidRPr="00416070" w:rsidRDefault="00A86016" w:rsidP="00A86016">
            <w:pPr>
              <w:pStyle w:val="AppendixBodyText"/>
              <w:ind w:right="720"/>
              <w:jc w:val="center"/>
              <w:rPr>
                <w:rFonts w:ascii="Tahoma" w:hAnsi="Tahoma" w:cs="Tahoma"/>
                <w:b/>
                <w:color w:val="000000"/>
                <w:sz w:val="22"/>
                <w:szCs w:val="18"/>
                <w:lang w:eastAsia="ja-JP"/>
              </w:rPr>
            </w:pPr>
            <w:r w:rsidRPr="00416070">
              <w:rPr>
                <w:rFonts w:ascii="Tahoma" w:hAnsi="Tahoma" w:cs="Tahoma"/>
                <w:b/>
                <w:color w:val="000000"/>
                <w:sz w:val="22"/>
                <w:szCs w:val="18"/>
              </w:rPr>
              <w:t>Requisitos Mínimos de Pedidos</w:t>
            </w:r>
          </w:p>
        </w:tc>
      </w:tr>
      <w:tr w:rsidR="00456002" w:rsidRPr="00B06414" w:rsidTr="00AA0B4F">
        <w:tc>
          <w:tcPr>
            <w:tcW w:w="2270" w:type="dxa"/>
            <w:shd w:val="clear" w:color="auto" w:fill="auto"/>
          </w:tcPr>
          <w:p w:rsidR="00456002" w:rsidRPr="00416070" w:rsidRDefault="001C1727" w:rsidP="00DE1733">
            <w:pPr>
              <w:pStyle w:val="AppendixBodyText"/>
              <w:spacing w:before="60"/>
              <w:ind w:right="182"/>
              <w:rPr>
                <w:rFonts w:ascii="Tahoma" w:hAnsi="Tahoma" w:cs="Tahoma"/>
                <w:b/>
                <w:color w:val="000000"/>
                <w:szCs w:val="18"/>
                <w:lang w:eastAsia="ja-JP"/>
              </w:rPr>
            </w:pPr>
            <w:r w:rsidRPr="00416070">
              <w:br w:type="page"/>
            </w:r>
            <w:r w:rsidR="00456002" w:rsidRPr="00416070">
              <w:rPr>
                <w:rFonts w:ascii="Tahoma" w:hAnsi="Tahoma" w:cs="Tahoma"/>
                <w:b/>
                <w:color w:val="000000"/>
                <w:szCs w:val="18"/>
              </w:rPr>
              <w:t>Contrato School</w:t>
            </w:r>
          </w:p>
        </w:tc>
        <w:tc>
          <w:tcPr>
            <w:tcW w:w="6946" w:type="dxa"/>
            <w:shd w:val="clear" w:color="auto" w:fill="auto"/>
          </w:tcPr>
          <w:p w:rsidR="00456002" w:rsidRPr="008D38F6" w:rsidRDefault="00456002" w:rsidP="00A70464">
            <w:pPr>
              <w:pStyle w:val="AppendixBodyText"/>
              <w:spacing w:before="60"/>
              <w:ind w:right="720"/>
              <w:rPr>
                <w:lang w:val="pt-BR"/>
              </w:rPr>
            </w:pPr>
            <w:r w:rsidRPr="008D38F6">
              <w:rPr>
                <w:rFonts w:ascii="Tahoma" w:hAnsi="Tahoma" w:cs="Tahoma"/>
                <w:sz w:val="18"/>
                <w:lang w:val="pt-BR"/>
              </w:rPr>
              <w:t>O Contrato School</w:t>
            </w:r>
            <w:r w:rsidRPr="008D38F6">
              <w:rPr>
                <w:rFonts w:ascii="Tahoma" w:hAnsi="Tahoma" w:cs="Tahoma"/>
                <w:b/>
                <w:sz w:val="18"/>
                <w:lang w:val="pt-BR"/>
              </w:rPr>
              <w:t xml:space="preserve"> </w:t>
            </w:r>
            <w:r w:rsidRPr="008D38F6">
              <w:rPr>
                <w:rFonts w:ascii="Tahoma" w:hAnsi="Tahoma" w:cs="Tahoma"/>
                <w:sz w:val="18"/>
                <w:lang w:val="pt-BR"/>
              </w:rPr>
              <w:t>requer um pedido mínimo de 300 unidades.</w:t>
            </w:r>
            <w:r w:rsidR="00FB5496" w:rsidRPr="008D38F6">
              <w:rPr>
                <w:rFonts w:ascii="Tahoma" w:hAnsi="Tahoma" w:cs="Tahoma"/>
                <w:sz w:val="18"/>
                <w:lang w:val="pt-BR"/>
              </w:rPr>
              <w:t xml:space="preserve"> </w:t>
            </w:r>
            <w:r w:rsidRPr="008D38F6">
              <w:rPr>
                <w:rFonts w:ascii="Tahoma" w:hAnsi="Tahoma" w:cs="Tahoma"/>
                <w:sz w:val="18"/>
                <w:lang w:val="pt-BR"/>
              </w:rPr>
              <w:t>As unidades são determinadas multiplicando-se o número total de produtos de aplicativo, sistema e CAL selecionados pelo número total de PCs qualificados ou FTEs/Funcionários qualificados. Observe que o requisito de</w:t>
            </w:r>
            <w:r w:rsidR="00316C91" w:rsidRPr="008D38F6">
              <w:rPr>
                <w:rFonts w:ascii="Tahoma" w:hAnsi="Tahoma" w:cs="Tahoma"/>
                <w:sz w:val="18"/>
                <w:lang w:val="pt-BR"/>
              </w:rPr>
              <w:t> </w:t>
            </w:r>
            <w:r w:rsidRPr="008D38F6">
              <w:rPr>
                <w:rFonts w:ascii="Tahoma" w:hAnsi="Tahoma" w:cs="Tahoma"/>
                <w:sz w:val="18"/>
                <w:lang w:val="pt-BR"/>
              </w:rPr>
              <w:t>pedido mínimo pode variar conforme a região geográfica.</w:t>
            </w:r>
          </w:p>
          <w:p w:rsidR="00406CB0" w:rsidRPr="008D38F6" w:rsidRDefault="00406CB0" w:rsidP="00A86016">
            <w:pPr>
              <w:pStyle w:val="AppendixBodyText"/>
              <w:spacing w:after="0"/>
              <w:ind w:right="720"/>
              <w:rPr>
                <w:rFonts w:ascii="Tahoma" w:hAnsi="Tahoma" w:cs="Tahoma"/>
                <w:sz w:val="16"/>
                <w:szCs w:val="16"/>
                <w:lang w:val="pt-BR"/>
              </w:rPr>
            </w:pPr>
          </w:p>
          <w:p w:rsidR="00456002" w:rsidRPr="008D38F6" w:rsidRDefault="00456002" w:rsidP="00581501">
            <w:pPr>
              <w:tabs>
                <w:tab w:val="left" w:pos="6352"/>
                <w:tab w:val="left" w:pos="8640"/>
              </w:tabs>
              <w:ind w:right="378"/>
              <w:rPr>
                <w:lang w:val="pt-BR"/>
              </w:rPr>
            </w:pPr>
            <w:r w:rsidRPr="008D38F6">
              <w:rPr>
                <w:rFonts w:cs="Tahoma"/>
                <w:b/>
                <w:bCs/>
                <w:color w:val="000000"/>
                <w:szCs w:val="20"/>
                <w:lang w:val="pt-BR"/>
              </w:rPr>
              <w:t>Observação:</w:t>
            </w:r>
            <w:r w:rsidRPr="008D38F6">
              <w:rPr>
                <w:rFonts w:cs="Tahoma"/>
                <w:color w:val="000000"/>
                <w:szCs w:val="20"/>
                <w:lang w:val="pt-BR"/>
              </w:rPr>
              <w:t xml:space="preserve"> Os clientes de Contrato School não estão qualificados para</w:t>
            </w:r>
            <w:r w:rsidR="00581501" w:rsidRPr="008D38F6">
              <w:rPr>
                <w:rFonts w:cs="Tahoma"/>
                <w:color w:val="000000"/>
                <w:szCs w:val="20"/>
                <w:lang w:val="pt-BR"/>
              </w:rPr>
              <w:t> </w:t>
            </w:r>
            <w:r w:rsidRPr="008D38F6">
              <w:rPr>
                <w:rFonts w:cs="Tahoma"/>
                <w:color w:val="000000"/>
                <w:szCs w:val="20"/>
                <w:lang w:val="pt-BR"/>
              </w:rPr>
              <w:t>escolher produtos de aplicativo, sistema, Licença de Assinatura (usuário/dispositivo) e CAL para apenas uma parte dos PCs incluídos na assinatura</w:t>
            </w:r>
            <w:r w:rsidRPr="008D38F6">
              <w:rPr>
                <w:rFonts w:cs="Tahoma"/>
                <w:color w:val="000000"/>
                <w:szCs w:val="18"/>
                <w:lang w:val="pt-BR"/>
              </w:rPr>
              <w:t>, salvo se explicitamente disposto nas Notas de Condições do Produto</w:t>
            </w:r>
            <w:r w:rsidR="00581501" w:rsidRPr="008D38F6">
              <w:rPr>
                <w:rFonts w:cs="Tahoma"/>
                <w:color w:val="000000"/>
                <w:szCs w:val="18"/>
                <w:lang w:val="pt-BR"/>
              </w:rPr>
              <w:t> </w:t>
            </w:r>
            <w:r w:rsidRPr="008D38F6">
              <w:rPr>
                <w:rFonts w:cs="Tahoma"/>
                <w:color w:val="000000"/>
                <w:szCs w:val="18"/>
                <w:lang w:val="pt-BR"/>
              </w:rPr>
              <w:t>na Lista de Produtos</w:t>
            </w:r>
            <w:r w:rsidRPr="008D38F6">
              <w:rPr>
                <w:rFonts w:cs="Tahoma"/>
                <w:color w:val="000000"/>
                <w:szCs w:val="20"/>
                <w:lang w:val="pt-BR"/>
              </w:rPr>
              <w:t>. Por exemplo, se a assinatura for para um total</w:t>
            </w:r>
            <w:r w:rsidR="00581501" w:rsidRPr="008D38F6">
              <w:rPr>
                <w:rFonts w:cs="Tahoma"/>
                <w:color w:val="000000"/>
                <w:szCs w:val="20"/>
                <w:lang w:val="pt-BR"/>
              </w:rPr>
              <w:t> </w:t>
            </w:r>
            <w:r w:rsidRPr="008D38F6">
              <w:rPr>
                <w:rFonts w:cs="Tahoma"/>
                <w:color w:val="000000"/>
                <w:szCs w:val="20"/>
                <w:lang w:val="pt-BR"/>
              </w:rPr>
              <w:t>de 100 PCs, os produtos de aplicativo, sistema, Licença de Assinatura (usuário/dispositivo) e CAL selecionados serão para todos os 100 PCs, ainda que apenas uma parte desses PCs venha a executar um produto específico.</w:t>
            </w:r>
          </w:p>
          <w:p w:rsidR="00230E01" w:rsidRPr="008D38F6" w:rsidRDefault="00230E01" w:rsidP="00230E01">
            <w:pPr>
              <w:tabs>
                <w:tab w:val="left" w:pos="8640"/>
              </w:tabs>
              <w:ind w:right="720"/>
              <w:rPr>
                <w:rFonts w:cs="Tahoma"/>
                <w:color w:val="000000"/>
                <w:szCs w:val="20"/>
                <w:lang w:val="pt-BR" w:eastAsia="ja-JP"/>
              </w:rPr>
            </w:pPr>
          </w:p>
        </w:tc>
      </w:tr>
      <w:tr w:rsidR="00456002" w:rsidRPr="00B06414" w:rsidTr="00AA0B4F">
        <w:tc>
          <w:tcPr>
            <w:tcW w:w="2270" w:type="dxa"/>
            <w:shd w:val="clear" w:color="auto" w:fill="auto"/>
          </w:tcPr>
          <w:p w:rsidR="00456002" w:rsidRPr="00416070" w:rsidRDefault="00456002" w:rsidP="00581501">
            <w:pPr>
              <w:pStyle w:val="AppendixBodyText"/>
              <w:spacing w:before="60"/>
              <w:ind w:right="720"/>
              <w:rPr>
                <w:rFonts w:ascii="Tahoma" w:hAnsi="Tahoma" w:cs="Tahoma"/>
                <w:b/>
                <w:color w:val="000000"/>
                <w:sz w:val="18"/>
                <w:szCs w:val="18"/>
                <w:lang w:eastAsia="ja-JP"/>
              </w:rPr>
            </w:pPr>
            <w:r w:rsidRPr="00416070">
              <w:rPr>
                <w:rFonts w:ascii="Tahoma" w:hAnsi="Tahoma" w:cs="Tahoma"/>
                <w:b/>
              </w:rPr>
              <w:t>Contrato Enterprise e</w:t>
            </w:r>
            <w:r w:rsidR="00581501" w:rsidRPr="00416070">
              <w:rPr>
                <w:rFonts w:ascii="Tahoma" w:hAnsi="Tahoma" w:cs="Tahoma"/>
                <w:b/>
              </w:rPr>
              <w:t> </w:t>
            </w:r>
            <w:r w:rsidRPr="00416070">
              <w:rPr>
                <w:rFonts w:ascii="Tahoma" w:hAnsi="Tahoma" w:cs="Tahoma"/>
                <w:b/>
              </w:rPr>
              <w:t>Contrato Enterprise Subscription</w:t>
            </w:r>
          </w:p>
        </w:tc>
        <w:tc>
          <w:tcPr>
            <w:tcW w:w="6946" w:type="dxa"/>
            <w:shd w:val="clear" w:color="auto" w:fill="auto"/>
          </w:tcPr>
          <w:p w:rsidR="00456002" w:rsidRPr="008D38F6" w:rsidRDefault="00456002" w:rsidP="00A70464">
            <w:pPr>
              <w:spacing w:before="60"/>
              <w:rPr>
                <w:lang w:val="pt-BR"/>
              </w:rPr>
            </w:pPr>
            <w:r w:rsidRPr="008D38F6">
              <w:rPr>
                <w:lang w:val="pt-BR"/>
              </w:rPr>
              <w:t>Contrato Enterprise (EA) e Contrato Enterprise Subscription (ESA) exige um mínimo de 250 Dispositivos Qualificados/Desktops ou Usuários Qualificados.</w:t>
            </w:r>
          </w:p>
          <w:p w:rsidR="00456002" w:rsidRPr="008D38F6" w:rsidRDefault="00456002" w:rsidP="00A86016">
            <w:pPr>
              <w:pStyle w:val="AppendixBodyText"/>
              <w:spacing w:after="0"/>
              <w:ind w:right="720"/>
              <w:rPr>
                <w:rFonts w:ascii="Tahoma" w:hAnsi="Tahoma" w:cs="Tahoma"/>
                <w:sz w:val="16"/>
                <w:szCs w:val="16"/>
                <w:lang w:val="pt-BR"/>
              </w:rPr>
            </w:pPr>
          </w:p>
          <w:p w:rsidR="0091793D" w:rsidRPr="008D38F6" w:rsidRDefault="0091793D" w:rsidP="004B6D8C">
            <w:pPr>
              <w:spacing w:after="60"/>
              <w:rPr>
                <w:lang w:val="pt-BR"/>
              </w:rPr>
            </w:pPr>
            <w:r w:rsidRPr="008D38F6">
              <w:rPr>
                <w:b/>
                <w:lang w:val="pt-BR"/>
              </w:rPr>
              <w:t>Desktop Qualificado/Desktop</w:t>
            </w:r>
          </w:p>
          <w:p w:rsidR="0091793D" w:rsidRPr="008D38F6" w:rsidRDefault="0091793D" w:rsidP="00003D41">
            <w:pPr>
              <w:rPr>
                <w:lang w:val="pt-BR"/>
              </w:rPr>
            </w:pPr>
            <w:bookmarkStart w:id="666" w:name="_Toc323159729"/>
            <w:bookmarkStart w:id="667" w:name="_Toc325313134"/>
            <w:bookmarkStart w:id="668" w:name="_Toc325609169"/>
            <w:r w:rsidRPr="008D38F6">
              <w:rPr>
                <w:lang w:val="pt-BR"/>
              </w:rPr>
              <w:t xml:space="preserve">Apesar de qualquer disposição em contrário no Contrato de Licenciamento por Volume, os Dispositivos Qualificados/Desktops não incluem nenhum </w:t>
            </w:r>
            <w:r w:rsidRPr="008D38F6">
              <w:rPr>
                <w:iCs/>
                <w:lang w:val="pt-BR"/>
              </w:rPr>
              <w:t>dispositivo de</w:t>
            </w:r>
            <w:r w:rsidR="00581501" w:rsidRPr="008D38F6">
              <w:rPr>
                <w:iCs/>
                <w:lang w:val="pt-BR"/>
              </w:rPr>
              <w:t> </w:t>
            </w:r>
            <w:r w:rsidRPr="008D38F6">
              <w:rPr>
                <w:iCs/>
                <w:lang w:val="pt-BR"/>
              </w:rPr>
              <w:t>terceiros qualificado</w:t>
            </w:r>
            <w:r w:rsidRPr="008D38F6">
              <w:rPr>
                <w:lang w:val="pt-BR"/>
              </w:rPr>
              <w:t xml:space="preserve"> a partir do qual seus usuários acessam e usam somente o</w:t>
            </w:r>
            <w:r w:rsidR="00581501" w:rsidRPr="008D38F6">
              <w:rPr>
                <w:lang w:val="pt-BR"/>
              </w:rPr>
              <w:t> </w:t>
            </w:r>
            <w:r w:rsidRPr="008D38F6">
              <w:rPr>
                <w:lang w:val="pt-BR"/>
              </w:rPr>
              <w:t>software sob os Direitos de Uso de Roaming para o seguinte:</w:t>
            </w:r>
            <w:bookmarkEnd w:id="666"/>
            <w:bookmarkEnd w:id="667"/>
            <w:bookmarkEnd w:id="668"/>
          </w:p>
          <w:p w:rsidR="00456002" w:rsidRPr="008D38F6" w:rsidRDefault="00456002" w:rsidP="00A86016">
            <w:pPr>
              <w:pStyle w:val="AppendixBodyText"/>
              <w:spacing w:after="0"/>
              <w:ind w:right="720"/>
              <w:rPr>
                <w:rFonts w:ascii="Tahoma" w:hAnsi="Tahoma" w:cs="Tahoma"/>
                <w:sz w:val="16"/>
                <w:szCs w:val="16"/>
                <w:lang w:val="pt-BR"/>
              </w:rPr>
            </w:pPr>
          </w:p>
          <w:p w:rsidR="00406CB0" w:rsidRPr="00416070" w:rsidRDefault="00AA0B4F" w:rsidP="00003D41">
            <w:pPr>
              <w:numPr>
                <w:ilvl w:val="0"/>
                <w:numId w:val="82"/>
              </w:numPr>
              <w:spacing w:after="60"/>
            </w:pPr>
            <w:r>
              <w:t>Software Assurance do Windows,</w:t>
            </w:r>
          </w:p>
          <w:p w:rsidR="00456002" w:rsidRPr="00416070" w:rsidRDefault="00456002" w:rsidP="002C1048">
            <w:pPr>
              <w:numPr>
                <w:ilvl w:val="0"/>
                <w:numId w:val="82"/>
              </w:numPr>
              <w:spacing w:after="60"/>
            </w:pPr>
            <w:r w:rsidRPr="00416070">
              <w:t xml:space="preserve">Windows Virtual Desktop Access (VECD), </w:t>
            </w:r>
          </w:p>
          <w:p w:rsidR="00456002" w:rsidRPr="008D38F6" w:rsidRDefault="00456002" w:rsidP="002C1048">
            <w:pPr>
              <w:numPr>
                <w:ilvl w:val="0"/>
                <w:numId w:val="82"/>
              </w:numPr>
              <w:spacing w:after="60"/>
              <w:rPr>
                <w:lang w:val="pt-BR"/>
              </w:rPr>
            </w:pPr>
            <w:r w:rsidRPr="008D38F6">
              <w:rPr>
                <w:lang w:val="pt-BR"/>
              </w:rPr>
              <w:t xml:space="preserve">Pacotes do Virtual Desktop Infrastructure, </w:t>
            </w:r>
          </w:p>
          <w:p w:rsidR="00456002" w:rsidRPr="00416070" w:rsidRDefault="00456002" w:rsidP="002C1048">
            <w:pPr>
              <w:numPr>
                <w:ilvl w:val="0"/>
                <w:numId w:val="82"/>
              </w:numPr>
              <w:spacing w:after="60"/>
            </w:pPr>
            <w:r w:rsidRPr="00416070">
              <w:t xml:space="preserve">MDOP para Software Assurance e </w:t>
            </w:r>
          </w:p>
          <w:p w:rsidR="00456002" w:rsidRPr="008D38F6" w:rsidRDefault="00456002" w:rsidP="002C1048">
            <w:pPr>
              <w:numPr>
                <w:ilvl w:val="0"/>
                <w:numId w:val="82"/>
              </w:numPr>
              <w:spacing w:after="60"/>
              <w:rPr>
                <w:lang w:val="pt-BR"/>
              </w:rPr>
            </w:pPr>
            <w:r w:rsidRPr="008D38F6">
              <w:rPr>
                <w:lang w:val="pt-BR"/>
              </w:rPr>
              <w:t>Software Assurance para todas as edições do Office, Project e Visio que incluem os Direitos de Uso de Roaming.</w:t>
            </w:r>
          </w:p>
          <w:p w:rsidR="00456002" w:rsidRPr="008D38F6" w:rsidRDefault="00456002" w:rsidP="00A86016">
            <w:pPr>
              <w:pStyle w:val="AppendixBodyText"/>
              <w:spacing w:after="0"/>
              <w:ind w:right="720"/>
              <w:rPr>
                <w:rFonts w:ascii="Tahoma" w:hAnsi="Tahoma" w:cs="Tahoma"/>
                <w:sz w:val="16"/>
                <w:szCs w:val="16"/>
                <w:lang w:val="pt-BR"/>
              </w:rPr>
            </w:pPr>
          </w:p>
          <w:p w:rsidR="00456002" w:rsidRPr="008D38F6" w:rsidRDefault="00456002" w:rsidP="00003D41">
            <w:pPr>
              <w:rPr>
                <w:lang w:val="pt-BR"/>
              </w:rPr>
            </w:pPr>
            <w:bookmarkStart w:id="669" w:name="_Toc323159730"/>
            <w:bookmarkStart w:id="670" w:name="_Toc325313135"/>
            <w:bookmarkStart w:id="671" w:name="_Toc325609170"/>
            <w:r w:rsidRPr="008D38F6">
              <w:rPr>
                <w:lang w:val="pt-BR"/>
              </w:rPr>
              <w:t>“Dispositivo de terceiros qualificado” é um dispositivo não controlado, direta ou indiretamente, por você nem por suas afiliadas (por exemplo, um quiosque público de terceiros). Para obter mais informações sobre esse produto, consulte os Direitos de Uso de Produto.</w:t>
            </w:r>
            <w:bookmarkEnd w:id="669"/>
            <w:bookmarkEnd w:id="670"/>
            <w:bookmarkEnd w:id="671"/>
          </w:p>
          <w:p w:rsidR="00456002" w:rsidRPr="008D38F6" w:rsidRDefault="00456002" w:rsidP="00A86016">
            <w:pPr>
              <w:pStyle w:val="AppendixBodyText"/>
              <w:spacing w:after="0"/>
              <w:ind w:right="720"/>
              <w:rPr>
                <w:rFonts w:ascii="Tahoma" w:hAnsi="Tahoma" w:cs="Tahoma"/>
                <w:sz w:val="16"/>
                <w:szCs w:val="16"/>
                <w:lang w:val="pt-BR"/>
              </w:rPr>
            </w:pPr>
          </w:p>
          <w:p w:rsidR="0091793D" w:rsidRPr="008D38F6" w:rsidRDefault="0091793D" w:rsidP="004B6D8C">
            <w:pPr>
              <w:spacing w:after="60"/>
              <w:rPr>
                <w:lang w:val="pt-BR"/>
              </w:rPr>
            </w:pPr>
            <w:r w:rsidRPr="008D38F6">
              <w:rPr>
                <w:b/>
                <w:lang w:val="pt-BR"/>
              </w:rPr>
              <w:t>Is</w:t>
            </w:r>
            <w:r w:rsidR="00AA0B4F" w:rsidRPr="008D38F6">
              <w:rPr>
                <w:b/>
                <w:lang w:val="pt-BR"/>
              </w:rPr>
              <w:t>enções de Usuários Qualificados</w:t>
            </w:r>
          </w:p>
          <w:p w:rsidR="00456002" w:rsidRPr="008D38F6" w:rsidRDefault="00456002" w:rsidP="00A86016">
            <w:pPr>
              <w:pStyle w:val="AppendixBodyText"/>
              <w:ind w:right="108"/>
              <w:rPr>
                <w:lang w:val="pt-BR"/>
              </w:rPr>
            </w:pPr>
            <w:r w:rsidRPr="008D38F6">
              <w:rPr>
                <w:rFonts w:ascii="Tahoma" w:hAnsi="Tahoma" w:cs="Tahoma"/>
                <w:sz w:val="18"/>
                <w:lang w:val="pt-BR"/>
              </w:rPr>
              <w:t>Uma pessoa que acesse software de servidor ou serviços online exclusivamente sob as licenças identificadas na lista a seguir está</w:t>
            </w:r>
            <w:r w:rsidR="000D7705" w:rsidRPr="008D38F6">
              <w:rPr>
                <w:rFonts w:ascii="Tahoma" w:hAnsi="Tahoma" w:cs="Tahoma"/>
                <w:sz w:val="18"/>
                <w:lang w:val="pt-BR"/>
              </w:rPr>
              <w:t> </w:t>
            </w:r>
            <w:r w:rsidRPr="008D38F6">
              <w:rPr>
                <w:rFonts w:ascii="Tahoma" w:hAnsi="Tahoma" w:cs="Tahoma"/>
                <w:sz w:val="18"/>
                <w:lang w:val="pt-BR"/>
              </w:rPr>
              <w:t>isenta</w:t>
            </w:r>
            <w:r w:rsidR="00BF6BE2" w:rsidRPr="008D38F6">
              <w:rPr>
                <w:rFonts w:ascii="Tahoma" w:hAnsi="Tahoma" w:cs="Tahoma"/>
                <w:sz w:val="18"/>
                <w:lang w:val="pt-BR"/>
              </w:rPr>
              <w:t> </w:t>
            </w:r>
            <w:r w:rsidRPr="008D38F6">
              <w:rPr>
                <w:rFonts w:ascii="Tahoma" w:hAnsi="Tahoma" w:cs="Tahoma"/>
                <w:sz w:val="18"/>
                <w:lang w:val="pt-BR"/>
              </w:rPr>
              <w:t>de</w:t>
            </w:r>
            <w:r w:rsidR="00581501" w:rsidRPr="008D38F6">
              <w:rPr>
                <w:rFonts w:ascii="Tahoma" w:hAnsi="Tahoma" w:cs="Tahoma"/>
                <w:sz w:val="18"/>
                <w:lang w:val="pt-BR"/>
              </w:rPr>
              <w:t> </w:t>
            </w:r>
            <w:r w:rsidRPr="008D38F6">
              <w:rPr>
                <w:rFonts w:ascii="Tahoma" w:hAnsi="Tahoma" w:cs="Tahoma"/>
                <w:sz w:val="18"/>
                <w:lang w:val="pt-BR"/>
              </w:rPr>
              <w:t>ser contada como um Usuário Qualificado:</w:t>
            </w:r>
          </w:p>
          <w:p w:rsidR="00456002" w:rsidRPr="008D38F6" w:rsidRDefault="00456002" w:rsidP="00A70464">
            <w:pPr>
              <w:pStyle w:val="AppendixBodyText"/>
              <w:spacing w:after="0"/>
              <w:ind w:right="720"/>
              <w:rPr>
                <w:rFonts w:ascii="Tahoma" w:hAnsi="Tahoma" w:cs="Tahoma"/>
                <w:sz w:val="16"/>
                <w:szCs w:val="16"/>
                <w:lang w:val="pt-BR"/>
              </w:rPr>
            </w:pPr>
          </w:p>
          <w:p w:rsidR="00456002" w:rsidRPr="008D38F6" w:rsidRDefault="00456002" w:rsidP="004B6D8C">
            <w:pPr>
              <w:numPr>
                <w:ilvl w:val="0"/>
                <w:numId w:val="82"/>
              </w:numPr>
              <w:spacing w:after="60"/>
              <w:rPr>
                <w:lang w:val="pt-BR"/>
              </w:rPr>
            </w:pPr>
            <w:r w:rsidRPr="008D38F6">
              <w:rPr>
                <w:lang w:val="pt-BR"/>
              </w:rPr>
              <w:t>Licença de Assinatura do Usuário do Office 365 Enterprise K1 ou K2 (USL)</w:t>
            </w:r>
          </w:p>
          <w:p w:rsidR="00456002" w:rsidRPr="008D38F6" w:rsidRDefault="00456002" w:rsidP="004B6D8C">
            <w:pPr>
              <w:numPr>
                <w:ilvl w:val="0"/>
                <w:numId w:val="82"/>
              </w:numPr>
              <w:spacing w:after="60"/>
              <w:rPr>
                <w:lang w:val="pt-BR"/>
              </w:rPr>
            </w:pPr>
            <w:r w:rsidRPr="008D38F6">
              <w:rPr>
                <w:lang w:val="pt-BR"/>
              </w:rPr>
              <w:t>USL do Quiosque do SharePoint Online</w:t>
            </w:r>
          </w:p>
          <w:p w:rsidR="00456002" w:rsidRPr="008D38F6" w:rsidRDefault="00456002" w:rsidP="004B6D8C">
            <w:pPr>
              <w:numPr>
                <w:ilvl w:val="0"/>
                <w:numId w:val="82"/>
              </w:numPr>
              <w:spacing w:after="60"/>
              <w:rPr>
                <w:lang w:val="pt-BR"/>
              </w:rPr>
            </w:pPr>
            <w:r w:rsidRPr="008D38F6">
              <w:rPr>
                <w:lang w:val="pt-BR"/>
              </w:rPr>
              <w:t>USL do Quiosque do Exchange Online</w:t>
            </w:r>
          </w:p>
          <w:p w:rsidR="00456002" w:rsidRPr="008D38F6" w:rsidRDefault="00456002" w:rsidP="004B6D8C">
            <w:pPr>
              <w:numPr>
                <w:ilvl w:val="0"/>
                <w:numId w:val="82"/>
              </w:numPr>
              <w:spacing w:after="60"/>
              <w:rPr>
                <w:lang w:val="pt-BR"/>
              </w:rPr>
            </w:pPr>
            <w:r w:rsidRPr="008D38F6">
              <w:rPr>
                <w:lang w:val="pt-BR"/>
              </w:rPr>
              <w:t>Licenças para produtos de software de servidor ou serviços online que não</w:t>
            </w:r>
            <w:r w:rsidR="00581501" w:rsidRPr="008D38F6">
              <w:rPr>
                <w:lang w:val="pt-BR"/>
              </w:rPr>
              <w:t> </w:t>
            </w:r>
            <w:r w:rsidRPr="008D38F6">
              <w:rPr>
                <w:lang w:val="pt-BR"/>
              </w:rPr>
              <w:t>requeiram licenças individuais para os usuários ou dispositivos que acessem esses produtos ou serviços online (como Licenças de Acesso para</w:t>
            </w:r>
            <w:r w:rsidR="00581501" w:rsidRPr="008D38F6">
              <w:rPr>
                <w:lang w:val="pt-BR"/>
              </w:rPr>
              <w:t> </w:t>
            </w:r>
            <w:r w:rsidRPr="008D38F6">
              <w:rPr>
                <w:lang w:val="pt-BR"/>
              </w:rPr>
              <w:t>Cliente, Licenças de Gerenciamento de Cliente, USLs e DSLs)</w:t>
            </w:r>
          </w:p>
          <w:p w:rsidR="00456002" w:rsidRPr="00416070" w:rsidRDefault="00456002" w:rsidP="004B6D8C">
            <w:pPr>
              <w:numPr>
                <w:ilvl w:val="0"/>
                <w:numId w:val="82"/>
              </w:numPr>
              <w:spacing w:after="60"/>
            </w:pPr>
            <w:r w:rsidRPr="00416070">
              <w:t>Qualquer External Connector License</w:t>
            </w:r>
          </w:p>
          <w:p w:rsidR="00456002" w:rsidRPr="00A86016" w:rsidRDefault="00456002" w:rsidP="00A70464">
            <w:pPr>
              <w:pStyle w:val="AppendixBodyText"/>
              <w:spacing w:after="0"/>
              <w:ind w:right="720"/>
              <w:rPr>
                <w:rFonts w:ascii="Tahoma" w:hAnsi="Tahoma" w:cs="Tahoma"/>
                <w:sz w:val="16"/>
                <w:szCs w:val="16"/>
              </w:rPr>
            </w:pPr>
          </w:p>
          <w:p w:rsidR="00230E01" w:rsidRPr="008D38F6" w:rsidRDefault="00456002" w:rsidP="00A86016">
            <w:pPr>
              <w:pStyle w:val="AppendixBodyText"/>
              <w:spacing w:after="0"/>
              <w:ind w:right="108"/>
              <w:rPr>
                <w:lang w:val="pt-BR"/>
              </w:rPr>
            </w:pPr>
            <w:r w:rsidRPr="008D38F6">
              <w:rPr>
                <w:rFonts w:ascii="Tahoma" w:hAnsi="Tahoma" w:cs="Tahoma"/>
                <w:sz w:val="18"/>
                <w:lang w:val="pt-BR"/>
              </w:rPr>
              <w:t>Essas isenções de Usuários Qualificados aplicam-se a todos os clientes de EA</w:t>
            </w:r>
            <w:r w:rsidR="00581501" w:rsidRPr="008D38F6">
              <w:rPr>
                <w:rFonts w:ascii="Tahoma" w:hAnsi="Tahoma" w:cs="Tahoma"/>
                <w:sz w:val="18"/>
                <w:lang w:val="pt-BR"/>
              </w:rPr>
              <w:t> </w:t>
            </w:r>
            <w:r w:rsidRPr="008D38F6">
              <w:rPr>
                <w:rFonts w:ascii="Tahoma" w:hAnsi="Tahoma" w:cs="Tahoma"/>
                <w:sz w:val="18"/>
                <w:lang w:val="pt-BR"/>
              </w:rPr>
              <w:t>e</w:t>
            </w:r>
            <w:r w:rsidR="00581501" w:rsidRPr="008D38F6">
              <w:rPr>
                <w:rFonts w:ascii="Tahoma" w:hAnsi="Tahoma" w:cs="Tahoma"/>
                <w:sz w:val="18"/>
                <w:lang w:val="pt-BR"/>
              </w:rPr>
              <w:t> </w:t>
            </w:r>
            <w:r w:rsidRPr="008D38F6">
              <w:rPr>
                <w:rFonts w:ascii="Tahoma" w:hAnsi="Tahoma" w:cs="Tahoma"/>
                <w:sz w:val="18"/>
                <w:lang w:val="pt-BR"/>
              </w:rPr>
              <w:t>ESA, sem levar em conta se isenções de Usuários Qualificados estão contempladas especificamente nos termos e condições dos contratos dos clientes.</w:t>
            </w:r>
          </w:p>
        </w:tc>
      </w:tr>
      <w:tr w:rsidR="00A86016" w:rsidRPr="00416070" w:rsidTr="00AA0B4F">
        <w:tc>
          <w:tcPr>
            <w:tcW w:w="2270" w:type="dxa"/>
            <w:shd w:val="clear" w:color="auto" w:fill="FABF8F"/>
          </w:tcPr>
          <w:p w:rsidR="00A86016" w:rsidRPr="00416070" w:rsidRDefault="00A86016" w:rsidP="00A86016">
            <w:pPr>
              <w:pStyle w:val="AppendixBodyText"/>
              <w:ind w:right="720"/>
              <w:jc w:val="center"/>
              <w:rPr>
                <w:rFonts w:ascii="Tahoma" w:hAnsi="Tahoma" w:cs="Tahoma"/>
                <w:b/>
                <w:color w:val="000000"/>
                <w:sz w:val="22"/>
                <w:szCs w:val="18"/>
                <w:lang w:eastAsia="ja-JP"/>
              </w:rPr>
            </w:pPr>
            <w:r w:rsidRPr="00416070">
              <w:rPr>
                <w:rFonts w:ascii="Tahoma" w:hAnsi="Tahoma" w:cs="Tahoma"/>
                <w:b/>
                <w:color w:val="000000"/>
                <w:sz w:val="22"/>
                <w:szCs w:val="18"/>
              </w:rPr>
              <w:lastRenderedPageBreak/>
              <w:t>Programas</w:t>
            </w:r>
          </w:p>
        </w:tc>
        <w:tc>
          <w:tcPr>
            <w:tcW w:w="6946" w:type="dxa"/>
            <w:shd w:val="clear" w:color="auto" w:fill="FABF8F"/>
          </w:tcPr>
          <w:p w:rsidR="00A86016" w:rsidRPr="00416070" w:rsidRDefault="00A86016" w:rsidP="00A86016">
            <w:pPr>
              <w:pStyle w:val="AppendixBodyText"/>
              <w:ind w:right="720"/>
              <w:jc w:val="center"/>
              <w:rPr>
                <w:rFonts w:ascii="Tahoma" w:hAnsi="Tahoma" w:cs="Tahoma"/>
                <w:b/>
                <w:color w:val="000000"/>
                <w:sz w:val="22"/>
                <w:szCs w:val="18"/>
                <w:lang w:eastAsia="ja-JP"/>
              </w:rPr>
            </w:pPr>
            <w:r w:rsidRPr="00416070">
              <w:rPr>
                <w:rFonts w:ascii="Tahoma" w:hAnsi="Tahoma" w:cs="Tahoma"/>
                <w:b/>
                <w:color w:val="000000"/>
                <w:sz w:val="22"/>
                <w:szCs w:val="18"/>
              </w:rPr>
              <w:t>Requisitos Mínimos de Pedidos</w:t>
            </w:r>
          </w:p>
        </w:tc>
      </w:tr>
      <w:tr w:rsidR="00456002" w:rsidRPr="00B06414" w:rsidTr="00AA0B4F">
        <w:tc>
          <w:tcPr>
            <w:tcW w:w="2270" w:type="dxa"/>
            <w:shd w:val="clear" w:color="auto" w:fill="auto"/>
          </w:tcPr>
          <w:p w:rsidR="00456002" w:rsidRPr="00416070" w:rsidRDefault="00456002" w:rsidP="00A70464">
            <w:pPr>
              <w:pStyle w:val="AppendixBodyText"/>
              <w:spacing w:before="60"/>
              <w:ind w:right="720"/>
              <w:rPr>
                <w:rFonts w:ascii="Tahoma" w:hAnsi="Tahoma" w:cs="Tahoma"/>
                <w:b/>
                <w:lang w:eastAsia="ja-JP"/>
              </w:rPr>
            </w:pPr>
            <w:r w:rsidRPr="00416070">
              <w:rPr>
                <w:rFonts w:ascii="Tahoma" w:hAnsi="Tahoma" w:cs="Tahoma"/>
                <w:b/>
                <w:color w:val="000000"/>
                <w:szCs w:val="18"/>
              </w:rPr>
              <w:t>EES</w:t>
            </w:r>
          </w:p>
        </w:tc>
        <w:tc>
          <w:tcPr>
            <w:tcW w:w="6946" w:type="dxa"/>
            <w:shd w:val="clear" w:color="auto" w:fill="auto"/>
          </w:tcPr>
          <w:p w:rsidR="00456002" w:rsidRPr="00416070" w:rsidRDefault="00456002" w:rsidP="00A70464">
            <w:pPr>
              <w:pStyle w:val="ListParagraph"/>
              <w:spacing w:before="60"/>
              <w:ind w:left="0"/>
              <w:contextualSpacing w:val="0"/>
            </w:pPr>
            <w:r w:rsidRPr="00416070">
              <w:rPr>
                <w:rFonts w:ascii="Tahoma" w:hAnsi="Tahoma" w:cs="Tahoma"/>
                <w:sz w:val="18"/>
                <w:szCs w:val="18"/>
              </w:rPr>
              <w:t>O EES requer um pedido mínimo conforme especificado a seguir:</w:t>
            </w:r>
            <w:r w:rsidR="00FB5496" w:rsidRPr="00416070">
              <w:rPr>
                <w:rFonts w:ascii="Tahoma" w:hAnsi="Tahoma" w:cs="Tahoma"/>
                <w:sz w:val="18"/>
                <w:szCs w:val="18"/>
              </w:rPr>
              <w:t xml:space="preserve"> </w:t>
            </w:r>
          </w:p>
          <w:p w:rsidR="00406CB0" w:rsidRPr="00416070" w:rsidRDefault="00406CB0" w:rsidP="00A70464">
            <w:pPr>
              <w:pStyle w:val="ListParagraph"/>
              <w:ind w:left="0"/>
              <w:contextualSpacing w:val="0"/>
              <w:rPr>
                <w:rFonts w:ascii="Tahoma" w:hAnsi="Tahoma" w:cs="Tahoma"/>
                <w:sz w:val="18"/>
                <w:szCs w:val="18"/>
              </w:rPr>
            </w:pPr>
          </w:p>
          <w:p w:rsidR="00456002" w:rsidRPr="008D38F6" w:rsidRDefault="00456002" w:rsidP="004B6D8C">
            <w:pPr>
              <w:numPr>
                <w:ilvl w:val="0"/>
                <w:numId w:val="82"/>
              </w:numPr>
              <w:spacing w:after="60"/>
              <w:rPr>
                <w:lang w:val="pt-BR"/>
              </w:rPr>
            </w:pPr>
            <w:r w:rsidRPr="008D38F6">
              <w:rPr>
                <w:lang w:val="pt-BR"/>
              </w:rPr>
              <w:t>pelo menos um Produto da Plataforma Desktop para a Contagem de toda a</w:t>
            </w:r>
            <w:r w:rsidR="000D7705" w:rsidRPr="008D38F6">
              <w:rPr>
                <w:lang w:val="pt-BR"/>
              </w:rPr>
              <w:t> </w:t>
            </w:r>
            <w:r w:rsidRPr="008D38F6">
              <w:rPr>
                <w:lang w:val="pt-BR"/>
              </w:rPr>
              <w:t>Organização de, pelo menos, 1.000 OU</w:t>
            </w:r>
          </w:p>
          <w:p w:rsidR="00456002" w:rsidRPr="008D38F6" w:rsidRDefault="00456002" w:rsidP="004B6D8C">
            <w:pPr>
              <w:numPr>
                <w:ilvl w:val="0"/>
                <w:numId w:val="82"/>
              </w:numPr>
              <w:spacing w:after="60"/>
              <w:rPr>
                <w:lang w:val="pt-BR"/>
              </w:rPr>
            </w:pPr>
            <w:r w:rsidRPr="008D38F6">
              <w:rPr>
                <w:lang w:val="pt-BR"/>
              </w:rPr>
              <w:t>pelo menos um Serviço Online da Plataforma para o Corpo Docente/Funcionários na quantidade de 1.000 OU</w:t>
            </w:r>
          </w:p>
          <w:p w:rsidR="00456002" w:rsidRPr="008D38F6" w:rsidRDefault="00456002" w:rsidP="004B6D8C">
            <w:pPr>
              <w:numPr>
                <w:ilvl w:val="0"/>
                <w:numId w:val="82"/>
              </w:numPr>
              <w:spacing w:after="60"/>
              <w:rPr>
                <w:lang w:val="pt-BR"/>
              </w:rPr>
            </w:pPr>
            <w:r w:rsidRPr="008D38F6">
              <w:rPr>
                <w:lang w:val="pt-BR"/>
              </w:rPr>
              <w:t>pelo menos um Produto da Plataforma Desktop para a Contagem de</w:t>
            </w:r>
            <w:r w:rsidR="00A86016" w:rsidRPr="008D38F6">
              <w:rPr>
                <w:lang w:val="pt-BR"/>
              </w:rPr>
              <w:t> </w:t>
            </w:r>
            <w:r w:rsidRPr="008D38F6">
              <w:rPr>
                <w:lang w:val="pt-BR"/>
              </w:rPr>
              <w:t>Estudantes de, pelo menos, 1.000 OU</w:t>
            </w:r>
          </w:p>
          <w:p w:rsidR="00456002" w:rsidRPr="008D38F6" w:rsidRDefault="00456002" w:rsidP="004B6D8C">
            <w:pPr>
              <w:numPr>
                <w:ilvl w:val="0"/>
                <w:numId w:val="82"/>
              </w:numPr>
              <w:spacing w:after="60"/>
              <w:rPr>
                <w:lang w:val="pt-BR"/>
              </w:rPr>
            </w:pPr>
            <w:r w:rsidRPr="008D38F6">
              <w:rPr>
                <w:lang w:val="pt-BR"/>
              </w:rPr>
              <w:t>pelo menos um Serviço Online da Plataforma para Estudantes na</w:t>
            </w:r>
            <w:r w:rsidR="00A86016" w:rsidRPr="008D38F6">
              <w:rPr>
                <w:lang w:val="pt-BR"/>
              </w:rPr>
              <w:t> </w:t>
            </w:r>
            <w:r w:rsidRPr="008D38F6">
              <w:rPr>
                <w:lang w:val="pt-BR"/>
              </w:rPr>
              <w:t xml:space="preserve">quantidade de 1.000 </w:t>
            </w:r>
          </w:p>
          <w:p w:rsidR="00456002" w:rsidRPr="008D38F6" w:rsidRDefault="00456002" w:rsidP="00A70464">
            <w:pPr>
              <w:rPr>
                <w:lang w:val="pt-BR"/>
              </w:rPr>
            </w:pPr>
          </w:p>
          <w:p w:rsidR="00A9013C" w:rsidRPr="008D38F6" w:rsidRDefault="00456002" w:rsidP="005C647E">
            <w:pPr>
              <w:rPr>
                <w:lang w:val="pt-BR"/>
              </w:rPr>
            </w:pPr>
            <w:r w:rsidRPr="008D38F6">
              <w:rPr>
                <w:rFonts w:cs="Tahoma"/>
                <w:b/>
                <w:color w:val="000000"/>
                <w:szCs w:val="18"/>
                <w:lang w:val="pt-BR"/>
              </w:rPr>
              <w:t>Observação:</w:t>
            </w:r>
            <w:r w:rsidRPr="008D38F6">
              <w:rPr>
                <w:rFonts w:cs="Tahoma"/>
                <w:color w:val="000000"/>
                <w:szCs w:val="18"/>
                <w:lang w:val="pt-BR"/>
              </w:rPr>
              <w:t xml:space="preserve"> Esse requisito de quantidade no pedido poderá ser dispensado caso seja fornecido um registro qualificado.</w:t>
            </w:r>
          </w:p>
          <w:p w:rsidR="00406CB0" w:rsidRPr="008D38F6" w:rsidRDefault="00406CB0" w:rsidP="005C647E">
            <w:pPr>
              <w:rPr>
                <w:lang w:val="pt-BR"/>
              </w:rPr>
            </w:pPr>
          </w:p>
          <w:p w:rsidR="00230E01" w:rsidRPr="008D38F6" w:rsidRDefault="00A9013C" w:rsidP="00230E01">
            <w:pPr>
              <w:rPr>
                <w:lang w:val="pt-BR"/>
              </w:rPr>
            </w:pPr>
            <w:r w:rsidRPr="008D38F6">
              <w:rPr>
                <w:rFonts w:cs="Tahoma"/>
                <w:b/>
                <w:color w:val="000000"/>
                <w:szCs w:val="18"/>
                <w:lang w:val="pt-BR"/>
              </w:rPr>
              <w:t xml:space="preserve">Observação: </w:t>
            </w:r>
            <w:r w:rsidRPr="008D38F6">
              <w:rPr>
                <w:rFonts w:cs="Tahoma"/>
                <w:color w:val="000000"/>
                <w:szCs w:val="18"/>
                <w:lang w:val="pt-BR"/>
              </w:rPr>
              <w:t>As CALs (Licenças de acesso para cliente) compradas em razão do Enrollment for Education Solutions (EES) que podem ser licenciadas não para toda a</w:t>
            </w:r>
            <w:r w:rsidR="000D7705" w:rsidRPr="008D38F6">
              <w:rPr>
                <w:rFonts w:cs="Tahoma"/>
                <w:color w:val="000000"/>
                <w:szCs w:val="18"/>
                <w:lang w:val="pt-BR"/>
              </w:rPr>
              <w:t> </w:t>
            </w:r>
            <w:r w:rsidRPr="008D38F6">
              <w:rPr>
                <w:rFonts w:cs="Tahoma"/>
                <w:color w:val="000000"/>
                <w:szCs w:val="18"/>
                <w:lang w:val="pt-BR"/>
              </w:rPr>
              <w:t>organização podem ser designadas e usadas como CALs de dispositivo ou CALs de</w:t>
            </w:r>
            <w:r w:rsidR="000D7705" w:rsidRPr="008D38F6">
              <w:rPr>
                <w:rFonts w:cs="Tahoma"/>
                <w:color w:val="000000"/>
                <w:szCs w:val="18"/>
                <w:lang w:val="pt-BR"/>
              </w:rPr>
              <w:t> </w:t>
            </w:r>
            <w:r w:rsidRPr="008D38F6">
              <w:rPr>
                <w:rFonts w:cs="Tahoma"/>
                <w:color w:val="000000"/>
                <w:szCs w:val="18"/>
                <w:lang w:val="pt-BR"/>
              </w:rPr>
              <w:t>usuário, a critério da Instituição.</w:t>
            </w:r>
            <w:r w:rsidR="00FB5496" w:rsidRPr="008D38F6">
              <w:rPr>
                <w:rFonts w:cs="Tahoma"/>
                <w:color w:val="000000"/>
                <w:szCs w:val="18"/>
                <w:lang w:val="pt-BR"/>
              </w:rPr>
              <w:t xml:space="preserve"> </w:t>
            </w:r>
            <w:r w:rsidRPr="008D38F6">
              <w:rPr>
                <w:rFonts w:cs="Tahoma"/>
                <w:color w:val="000000"/>
                <w:szCs w:val="18"/>
                <w:lang w:val="pt-BR"/>
              </w:rPr>
              <w:t>As CALs de usuário não podem ser reatribuídas como CALs de dispositivo, e CALs de dispositivo não podem ser reatribuídas como CALs de usuário, exceto como pode ser visto a seguir.</w:t>
            </w:r>
            <w:r w:rsidR="00FB5496" w:rsidRPr="008D38F6">
              <w:rPr>
                <w:rFonts w:cs="Tahoma"/>
                <w:color w:val="000000"/>
                <w:szCs w:val="18"/>
                <w:lang w:val="pt-BR"/>
              </w:rPr>
              <w:t xml:space="preserve"> </w:t>
            </w:r>
            <w:r w:rsidRPr="008D38F6">
              <w:rPr>
                <w:rFonts w:cs="Tahoma"/>
                <w:color w:val="000000"/>
                <w:szCs w:val="18"/>
                <w:lang w:val="pt-BR"/>
              </w:rPr>
              <w:t>Qualquer CAL solicitada não para toda a empresa pode ser reatribuída e usada como uma CAL de dispositivo ou</w:t>
            </w:r>
            <w:r w:rsidR="000D7705" w:rsidRPr="008D38F6">
              <w:rPr>
                <w:rFonts w:cs="Tahoma"/>
                <w:color w:val="000000"/>
                <w:szCs w:val="18"/>
                <w:lang w:val="pt-BR"/>
              </w:rPr>
              <w:t> </w:t>
            </w:r>
            <w:r w:rsidRPr="008D38F6">
              <w:rPr>
                <w:rFonts w:cs="Tahoma"/>
                <w:color w:val="000000"/>
                <w:szCs w:val="18"/>
                <w:lang w:val="pt-BR"/>
              </w:rPr>
              <w:t>usuário mediante a renovação da assinatura por meio de um novo Contrato.</w:t>
            </w:r>
          </w:p>
        </w:tc>
      </w:tr>
    </w:tbl>
    <w:p w:rsidR="00366502" w:rsidRPr="00416070" w:rsidRDefault="00366502" w:rsidP="00456002">
      <w:pPr>
        <w:pStyle w:val="Heading3"/>
        <w:ind w:right="720"/>
        <w:rPr>
          <w:rFonts w:ascii="Tahoma" w:hAnsi="Tahoma" w:cs="Tahoma"/>
          <w:sz w:val="18"/>
          <w:szCs w:val="18"/>
        </w:rPr>
      </w:pPr>
      <w:bookmarkStart w:id="672" w:name="_Toc323159731"/>
      <w:bookmarkStart w:id="673" w:name="_Toc325609171"/>
      <w:bookmarkStart w:id="674" w:name="_Toc336338192"/>
    </w:p>
    <w:p w:rsidR="00456002" w:rsidRPr="00416070" w:rsidRDefault="00456002" w:rsidP="00456002">
      <w:pPr>
        <w:pStyle w:val="Heading3"/>
        <w:ind w:right="720"/>
      </w:pPr>
      <w:bookmarkStart w:id="675" w:name="_Toc352234260"/>
      <w:r w:rsidRPr="00416070">
        <w:rPr>
          <w:rFonts w:ascii="Tahoma" w:hAnsi="Tahoma" w:cs="Tahoma"/>
          <w:sz w:val="24"/>
          <w:szCs w:val="22"/>
        </w:rPr>
        <w:t>Plataformas</w:t>
      </w:r>
      <w:bookmarkEnd w:id="672"/>
      <w:bookmarkEnd w:id="673"/>
      <w:bookmarkEnd w:id="674"/>
      <w:bookmarkEnd w:id="675"/>
    </w:p>
    <w:p w:rsidR="00456002" w:rsidRPr="00416070"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416070" w:rsidTr="00E72B9D">
        <w:tc>
          <w:tcPr>
            <w:tcW w:w="1890" w:type="dxa"/>
            <w:shd w:val="clear" w:color="auto" w:fill="FABF8F"/>
          </w:tcPr>
          <w:p w:rsidR="00456002" w:rsidRPr="00416070" w:rsidRDefault="00456002" w:rsidP="00E64551">
            <w:pPr>
              <w:rPr>
                <w:b/>
                <w:sz w:val="22"/>
                <w:lang w:eastAsia="ja-JP"/>
              </w:rPr>
            </w:pPr>
            <w:r w:rsidRPr="00416070">
              <w:rPr>
                <w:b/>
                <w:sz w:val="22"/>
              </w:rPr>
              <w:t>Programas</w:t>
            </w:r>
          </w:p>
        </w:tc>
        <w:tc>
          <w:tcPr>
            <w:tcW w:w="7308" w:type="dxa"/>
            <w:shd w:val="clear" w:color="auto" w:fill="FABF8F"/>
          </w:tcPr>
          <w:p w:rsidR="00456002" w:rsidRPr="00416070" w:rsidRDefault="00456002" w:rsidP="005C647E">
            <w:pPr>
              <w:jc w:val="center"/>
              <w:rPr>
                <w:b/>
                <w:sz w:val="22"/>
                <w:lang w:eastAsia="ja-JP"/>
              </w:rPr>
            </w:pPr>
            <w:r w:rsidRPr="00416070">
              <w:rPr>
                <w:b/>
                <w:sz w:val="22"/>
              </w:rPr>
              <w:t>Plataformas</w:t>
            </w:r>
          </w:p>
        </w:tc>
      </w:tr>
      <w:tr w:rsidR="00456002" w:rsidRPr="00B06414" w:rsidTr="00E72B9D">
        <w:tc>
          <w:tcPr>
            <w:tcW w:w="1890" w:type="dxa"/>
            <w:shd w:val="clear" w:color="auto" w:fill="auto"/>
          </w:tcPr>
          <w:p w:rsidR="00456002" w:rsidRPr="00416070" w:rsidRDefault="00DD367D" w:rsidP="000D7705">
            <w:pPr>
              <w:spacing w:before="60"/>
              <w:rPr>
                <w:b/>
                <w:lang w:eastAsia="ja-JP"/>
              </w:rPr>
            </w:pPr>
            <w:r w:rsidRPr="00416070">
              <w:rPr>
                <w:rFonts w:cs="Tahoma"/>
                <w:b/>
              </w:rPr>
              <w:t>Contrato Enterprise e</w:t>
            </w:r>
            <w:r w:rsidR="000D7705" w:rsidRPr="00416070">
              <w:rPr>
                <w:rFonts w:cs="Tahoma"/>
                <w:b/>
              </w:rPr>
              <w:t> </w:t>
            </w:r>
            <w:r w:rsidRPr="00416070">
              <w:rPr>
                <w:rFonts w:cs="Tahoma"/>
                <w:b/>
              </w:rPr>
              <w:t>Contrato Enterprise Subscription</w:t>
            </w:r>
          </w:p>
        </w:tc>
        <w:tc>
          <w:tcPr>
            <w:tcW w:w="7308" w:type="dxa"/>
            <w:shd w:val="clear" w:color="auto" w:fill="auto"/>
          </w:tcPr>
          <w:p w:rsidR="00456002" w:rsidRPr="00AA0B4F" w:rsidRDefault="00456002" w:rsidP="00A51838">
            <w:pPr>
              <w:pStyle w:val="ListParagraph"/>
              <w:numPr>
                <w:ilvl w:val="0"/>
                <w:numId w:val="150"/>
              </w:numPr>
              <w:spacing w:before="60" w:after="60"/>
              <w:ind w:left="245"/>
              <w:rPr>
                <w:rFonts w:ascii="Tahoma" w:hAnsi="Tahoma" w:cs="Tahoma"/>
                <w:sz w:val="18"/>
                <w:szCs w:val="18"/>
              </w:rPr>
            </w:pPr>
            <w:r w:rsidRPr="00AA0B4F">
              <w:rPr>
                <w:rFonts w:ascii="Tahoma" w:hAnsi="Tahoma" w:cs="Tahoma"/>
                <w:b/>
                <w:sz w:val="18"/>
                <w:szCs w:val="18"/>
              </w:rPr>
              <w:t>Produtos da Plataforma de Desktop Empresarial</w:t>
            </w:r>
          </w:p>
          <w:p w:rsidR="00456002" w:rsidRPr="008D38F6" w:rsidRDefault="00456002" w:rsidP="00AA0B4F">
            <w:pPr>
              <w:rPr>
                <w:rFonts w:cs="Tahoma"/>
                <w:szCs w:val="18"/>
                <w:lang w:val="pt-BR"/>
              </w:rPr>
            </w:pPr>
            <w:r w:rsidRPr="008D38F6">
              <w:rPr>
                <w:rFonts w:cs="Tahoma"/>
                <w:color w:val="000000"/>
                <w:szCs w:val="18"/>
                <w:lang w:val="pt-BR"/>
              </w:rPr>
              <w:t>Os produtos da plataforma Enterprise Desktop estão disponíveis para os clientes do Contrato Enterprise. A Plataforma de Desktop Enterprise inclui a versão mais atual do</w:t>
            </w:r>
            <w:r w:rsidR="000D7705" w:rsidRPr="008D38F6">
              <w:rPr>
                <w:rFonts w:cs="Tahoma"/>
                <w:color w:val="000000"/>
                <w:szCs w:val="18"/>
                <w:lang w:val="pt-BR"/>
              </w:rPr>
              <w:t> </w:t>
            </w:r>
            <w:r w:rsidRPr="008D38F6">
              <w:rPr>
                <w:rFonts w:cs="Tahoma"/>
                <w:color w:val="000000"/>
                <w:szCs w:val="18"/>
                <w:lang w:val="pt-BR"/>
              </w:rPr>
              <w:t xml:space="preserve">Office </w:t>
            </w:r>
            <w:r w:rsidRPr="008D38F6">
              <w:rPr>
                <w:rFonts w:cs="Tahoma"/>
                <w:szCs w:val="18"/>
                <w:lang w:val="pt-BR"/>
              </w:rPr>
              <w:t>Professional Plus</w:t>
            </w:r>
            <w:r w:rsidRPr="008D38F6">
              <w:rPr>
                <w:rFonts w:cs="Tahoma"/>
                <w:color w:val="000000"/>
                <w:szCs w:val="18"/>
                <w:lang w:val="pt-BR"/>
              </w:rPr>
              <w:t>, a Atualização de Sistema Operacional Windows 8 Pro ou Windows Virtual Desktop Access (VDA) e a licença de acesso para cliente do Pacote de CAL Empresarial. Os produtos da Plataforma de Desktop Empresarial são identificados por um “E” na coluna Contrato Enterprise.</w:t>
            </w:r>
            <w:r w:rsidR="00FB5496" w:rsidRPr="008D38F6">
              <w:rPr>
                <w:rFonts w:cs="Tahoma"/>
                <w:color w:val="000000"/>
                <w:szCs w:val="18"/>
                <w:lang w:val="pt-BR"/>
              </w:rPr>
              <w:t xml:space="preserve"> </w:t>
            </w:r>
            <w:r w:rsidRPr="008D38F6">
              <w:rPr>
                <w:rFonts w:cs="Tahoma"/>
                <w:color w:val="000000"/>
                <w:szCs w:val="18"/>
                <w:lang w:val="pt-BR"/>
              </w:rPr>
              <w:t>Para os clientes de Contratos Enterprise e</w:t>
            </w:r>
            <w:r w:rsidR="00AA0B4F" w:rsidRPr="008D38F6">
              <w:rPr>
                <w:rFonts w:cs="Tahoma"/>
                <w:color w:val="000000"/>
                <w:szCs w:val="18"/>
                <w:lang w:val="pt-BR"/>
              </w:rPr>
              <w:t> </w:t>
            </w:r>
            <w:r w:rsidRPr="008D38F6">
              <w:rPr>
                <w:rFonts w:cs="Tahoma"/>
                <w:color w:val="000000"/>
                <w:szCs w:val="18"/>
                <w:lang w:val="pt-BR"/>
              </w:rPr>
              <w:t>Enterprise Subscription, a Plataforma de Desktop Empresarial também pode ser adquirida com o MDOP.</w:t>
            </w:r>
          </w:p>
          <w:p w:rsidR="00456002" w:rsidRPr="008D38F6" w:rsidRDefault="00456002" w:rsidP="005C647E">
            <w:pPr>
              <w:rPr>
                <w:lang w:val="pt-BR"/>
              </w:rPr>
            </w:pPr>
          </w:p>
          <w:p w:rsidR="00456002" w:rsidRPr="00AA0B4F" w:rsidRDefault="00456002" w:rsidP="00821966">
            <w:pPr>
              <w:pStyle w:val="ListParagraph"/>
              <w:numPr>
                <w:ilvl w:val="0"/>
                <w:numId w:val="150"/>
              </w:numPr>
              <w:spacing w:after="60"/>
              <w:ind w:left="252"/>
              <w:rPr>
                <w:rFonts w:ascii="Tahoma" w:hAnsi="Tahoma" w:cs="Tahoma"/>
                <w:sz w:val="18"/>
                <w:szCs w:val="18"/>
              </w:rPr>
            </w:pPr>
            <w:r w:rsidRPr="00AA0B4F">
              <w:rPr>
                <w:rFonts w:ascii="Tahoma" w:hAnsi="Tahoma" w:cs="Tahoma"/>
                <w:b/>
                <w:sz w:val="18"/>
                <w:szCs w:val="18"/>
              </w:rPr>
              <w:t>Produtos da Plataforma de Desktop Profissional</w:t>
            </w:r>
          </w:p>
          <w:p w:rsidR="00456002" w:rsidRPr="008D38F6" w:rsidRDefault="00456002" w:rsidP="004B6D8C">
            <w:pPr>
              <w:rPr>
                <w:rFonts w:cs="Tahoma"/>
                <w:szCs w:val="18"/>
                <w:lang w:val="pt-BR"/>
              </w:rPr>
            </w:pPr>
            <w:r w:rsidRPr="008D38F6">
              <w:rPr>
                <w:rFonts w:cs="Tahoma"/>
                <w:color w:val="000000"/>
                <w:szCs w:val="18"/>
                <w:lang w:val="pt-BR"/>
              </w:rPr>
              <w:t>Os produtos da Plataforma de Desktop Profissional estão disponíveis para os clientes de</w:t>
            </w:r>
            <w:r w:rsidR="000D7705" w:rsidRPr="008D38F6">
              <w:rPr>
                <w:rFonts w:cs="Tahoma"/>
                <w:color w:val="000000"/>
                <w:szCs w:val="18"/>
                <w:lang w:val="pt-BR"/>
              </w:rPr>
              <w:t> </w:t>
            </w:r>
            <w:r w:rsidRPr="008D38F6">
              <w:rPr>
                <w:rFonts w:cs="Tahoma"/>
                <w:color w:val="000000"/>
                <w:szCs w:val="18"/>
                <w:lang w:val="pt-BR"/>
              </w:rPr>
              <w:t>Contratos Enterprise. A Plataforma de Desktop Profissional inclui a versão mais atual</w:t>
            </w:r>
            <w:r w:rsidR="000D7705" w:rsidRPr="008D38F6">
              <w:rPr>
                <w:rFonts w:cs="Tahoma"/>
                <w:color w:val="000000"/>
                <w:szCs w:val="18"/>
                <w:lang w:val="pt-BR"/>
              </w:rPr>
              <w:t> </w:t>
            </w:r>
            <w:r w:rsidRPr="008D38F6">
              <w:rPr>
                <w:rFonts w:cs="Tahoma"/>
                <w:color w:val="000000"/>
                <w:szCs w:val="18"/>
                <w:lang w:val="pt-BR"/>
              </w:rPr>
              <w:t>do Office Professional Plus, a Atualização de Sistema Operacional Windows 8 Pro ou o</w:t>
            </w:r>
            <w:r w:rsidR="000D7705" w:rsidRPr="008D38F6">
              <w:rPr>
                <w:rFonts w:cs="Tahoma"/>
                <w:color w:val="000000"/>
                <w:szCs w:val="18"/>
                <w:lang w:val="pt-BR"/>
              </w:rPr>
              <w:t> </w:t>
            </w:r>
            <w:r w:rsidRPr="008D38F6">
              <w:rPr>
                <w:rFonts w:cs="Tahoma"/>
                <w:color w:val="000000"/>
                <w:szCs w:val="18"/>
                <w:lang w:val="pt-BR"/>
              </w:rPr>
              <w:t>Windows Virtual Desktop Access (VDA) (somente para contratos EA) e a licença de</w:t>
            </w:r>
            <w:r w:rsidR="000D7705" w:rsidRPr="008D38F6">
              <w:rPr>
                <w:rFonts w:cs="Tahoma"/>
                <w:color w:val="000000"/>
                <w:szCs w:val="18"/>
                <w:lang w:val="pt-BR"/>
              </w:rPr>
              <w:t> </w:t>
            </w:r>
            <w:r w:rsidRPr="008D38F6">
              <w:rPr>
                <w:rFonts w:cs="Tahoma"/>
                <w:color w:val="000000"/>
                <w:szCs w:val="18"/>
                <w:lang w:val="pt-BR"/>
              </w:rPr>
              <w:t>acesso para cliente do Pacote de CAL Principal. Os produtos da Plataforma de Desktop Profissional são identificados por um “E” na coluna Contrato Enterprise. Para</w:t>
            </w:r>
            <w:r w:rsidR="000D7705" w:rsidRPr="008D38F6">
              <w:rPr>
                <w:rFonts w:cs="Tahoma"/>
                <w:color w:val="000000"/>
                <w:szCs w:val="18"/>
                <w:lang w:val="pt-BR"/>
              </w:rPr>
              <w:t> </w:t>
            </w:r>
            <w:r w:rsidRPr="008D38F6">
              <w:rPr>
                <w:rFonts w:cs="Tahoma"/>
                <w:color w:val="000000"/>
                <w:szCs w:val="18"/>
                <w:lang w:val="pt-BR"/>
              </w:rPr>
              <w:t>os</w:t>
            </w:r>
            <w:r w:rsidR="000D7705" w:rsidRPr="008D38F6">
              <w:rPr>
                <w:rFonts w:cs="Tahoma"/>
                <w:color w:val="000000"/>
                <w:szCs w:val="18"/>
                <w:lang w:val="pt-BR"/>
              </w:rPr>
              <w:t> </w:t>
            </w:r>
            <w:r w:rsidRPr="008D38F6">
              <w:rPr>
                <w:rFonts w:cs="Tahoma"/>
                <w:color w:val="000000"/>
                <w:szCs w:val="18"/>
                <w:lang w:val="pt-BR"/>
              </w:rPr>
              <w:t>clientes de Contratos Enterprise e Enterprise Subscription, a Plataforma de</w:t>
            </w:r>
            <w:r w:rsidR="000D7705" w:rsidRPr="008D38F6">
              <w:rPr>
                <w:rFonts w:cs="Tahoma"/>
                <w:color w:val="000000"/>
                <w:szCs w:val="18"/>
                <w:lang w:val="pt-BR"/>
              </w:rPr>
              <w:t> </w:t>
            </w:r>
            <w:r w:rsidRPr="008D38F6">
              <w:rPr>
                <w:rFonts w:cs="Tahoma"/>
                <w:color w:val="000000"/>
                <w:szCs w:val="18"/>
                <w:lang w:val="pt-BR"/>
              </w:rPr>
              <w:t>Desktop Profissional também pode ser adquirida com o MDOP.</w:t>
            </w:r>
          </w:p>
          <w:p w:rsidR="00456002" w:rsidRPr="008D38F6" w:rsidRDefault="00456002" w:rsidP="005C647E">
            <w:pPr>
              <w:rPr>
                <w:rFonts w:cs="Tahoma"/>
                <w:szCs w:val="18"/>
                <w:lang w:val="pt-BR" w:eastAsia="ja-JP"/>
              </w:rPr>
            </w:pPr>
          </w:p>
        </w:tc>
      </w:tr>
      <w:tr w:rsidR="00456002" w:rsidRPr="00B06414" w:rsidTr="00E72B9D">
        <w:trPr>
          <w:trHeight w:val="278"/>
        </w:trPr>
        <w:tc>
          <w:tcPr>
            <w:tcW w:w="1890" w:type="dxa"/>
            <w:shd w:val="clear" w:color="auto" w:fill="auto"/>
          </w:tcPr>
          <w:p w:rsidR="00456002" w:rsidRPr="00416070" w:rsidRDefault="00456002" w:rsidP="000D7705">
            <w:pPr>
              <w:spacing w:before="60"/>
              <w:rPr>
                <w:b/>
                <w:lang w:eastAsia="ja-JP"/>
              </w:rPr>
            </w:pPr>
            <w:r w:rsidRPr="00416070">
              <w:rPr>
                <w:b/>
                <w:sz w:val="20"/>
              </w:rPr>
              <w:t>Open Value e</w:t>
            </w:r>
            <w:r w:rsidR="000D7705" w:rsidRPr="00416070">
              <w:rPr>
                <w:b/>
                <w:sz w:val="20"/>
              </w:rPr>
              <w:t> </w:t>
            </w:r>
            <w:r w:rsidRPr="00416070">
              <w:rPr>
                <w:b/>
                <w:sz w:val="20"/>
              </w:rPr>
              <w:t>Open Value Subscription (Commercial e</w:t>
            </w:r>
            <w:r w:rsidR="000D7705" w:rsidRPr="00416070">
              <w:rPr>
                <w:b/>
                <w:sz w:val="20"/>
              </w:rPr>
              <w:t> </w:t>
            </w:r>
            <w:r w:rsidRPr="00416070">
              <w:rPr>
                <w:b/>
                <w:sz w:val="20"/>
              </w:rPr>
              <w:t>Government)</w:t>
            </w:r>
          </w:p>
        </w:tc>
        <w:tc>
          <w:tcPr>
            <w:tcW w:w="7308" w:type="dxa"/>
            <w:shd w:val="clear" w:color="auto" w:fill="auto"/>
          </w:tcPr>
          <w:p w:rsidR="00456002" w:rsidRPr="00416070" w:rsidRDefault="00456002" w:rsidP="00230E01">
            <w:pPr>
              <w:pStyle w:val="ListParagraph"/>
              <w:numPr>
                <w:ilvl w:val="0"/>
                <w:numId w:val="150"/>
              </w:numPr>
              <w:spacing w:before="60" w:after="60"/>
              <w:ind w:left="245"/>
            </w:pPr>
            <w:r w:rsidRPr="00416070">
              <w:rPr>
                <w:rFonts w:ascii="Tahoma" w:hAnsi="Tahoma" w:cs="Tahoma"/>
                <w:b/>
                <w:sz w:val="18"/>
              </w:rPr>
              <w:t>Produtos da Plataforma de Desktop Personalizado</w:t>
            </w:r>
          </w:p>
          <w:p w:rsidR="00456002" w:rsidRPr="008D38F6" w:rsidRDefault="00456002" w:rsidP="00AA0B4F">
            <w:pPr>
              <w:rPr>
                <w:rFonts w:cs="Tahoma"/>
                <w:szCs w:val="18"/>
                <w:lang w:val="pt-BR" w:eastAsia="ja-JP"/>
              </w:rPr>
            </w:pPr>
            <w:r w:rsidRPr="008D38F6">
              <w:rPr>
                <w:rFonts w:cs="Tahoma"/>
                <w:color w:val="000000"/>
                <w:szCs w:val="18"/>
                <w:lang w:val="pt-BR"/>
              </w:rPr>
              <w:t xml:space="preserve">Os produtos da Plataforma Desktop Personalizados estão disponíveis para os clientes Open Value e Open Value Subscription quando selecionam a opção </w:t>
            </w:r>
            <w:r w:rsidRPr="008D38F6">
              <w:rPr>
                <w:rFonts w:cs="Tahoma"/>
                <w:szCs w:val="18"/>
                <w:lang w:val="pt-BR"/>
              </w:rPr>
              <w:t>para toda a Organização/Empresa</w:t>
            </w:r>
            <w:r w:rsidRPr="008D38F6">
              <w:rPr>
                <w:rFonts w:cs="Tahoma"/>
                <w:color w:val="000000"/>
                <w:szCs w:val="18"/>
                <w:lang w:val="pt-BR"/>
              </w:rPr>
              <w:t>. A Plataforma de Desktop Personalizado inclui versões atuais do</w:t>
            </w:r>
            <w:r w:rsidR="000D7705" w:rsidRPr="008D38F6">
              <w:rPr>
                <w:rFonts w:cs="Tahoma"/>
                <w:color w:val="000000"/>
                <w:szCs w:val="18"/>
                <w:lang w:val="pt-BR"/>
              </w:rPr>
              <w:t> </w:t>
            </w:r>
            <w:r w:rsidRPr="008D38F6">
              <w:rPr>
                <w:rFonts w:cs="Tahoma"/>
                <w:color w:val="000000"/>
                <w:szCs w:val="18"/>
                <w:lang w:val="pt-BR"/>
              </w:rPr>
              <w:t>Office Professional Plus, a Atualização* de Sistema Operacional Windows 8 Pro, a</w:t>
            </w:r>
            <w:r w:rsidR="000D7705" w:rsidRPr="008D38F6">
              <w:rPr>
                <w:rFonts w:cs="Tahoma"/>
                <w:color w:val="000000"/>
                <w:szCs w:val="18"/>
                <w:lang w:val="pt-BR"/>
              </w:rPr>
              <w:t> </w:t>
            </w:r>
            <w:r w:rsidRPr="008D38F6">
              <w:rPr>
                <w:rFonts w:cs="Tahoma"/>
                <w:color w:val="000000"/>
                <w:szCs w:val="18"/>
                <w:lang w:val="pt-BR"/>
              </w:rPr>
              <w:t>licença de acesso para cliente Enterprise CAL Suite, Core CAL Suite, Essential Business Server CAL Suite ou Small Business Server CAL Suite. Os produtos da Plataforma de</w:t>
            </w:r>
            <w:r w:rsidR="00AA0B4F" w:rsidRPr="008D38F6">
              <w:rPr>
                <w:rFonts w:cs="Tahoma"/>
                <w:color w:val="000000"/>
                <w:szCs w:val="18"/>
                <w:lang w:val="pt-BR"/>
              </w:rPr>
              <w:t> </w:t>
            </w:r>
            <w:r w:rsidRPr="008D38F6">
              <w:rPr>
                <w:rFonts w:cs="Tahoma"/>
                <w:color w:val="000000"/>
                <w:szCs w:val="18"/>
                <w:lang w:val="pt-BR"/>
              </w:rPr>
              <w:t>Desktop Personalizado são identificados por um “E” nas colunas Open Value.</w:t>
            </w:r>
          </w:p>
        </w:tc>
      </w:tr>
      <w:tr w:rsidR="00A86016" w:rsidRPr="00416070" w:rsidTr="00A86016">
        <w:tc>
          <w:tcPr>
            <w:tcW w:w="1890" w:type="dxa"/>
            <w:shd w:val="clear" w:color="auto" w:fill="FABF8F"/>
          </w:tcPr>
          <w:p w:rsidR="00A86016" w:rsidRPr="00416070" w:rsidRDefault="00A86016" w:rsidP="00A86016">
            <w:pPr>
              <w:rPr>
                <w:b/>
                <w:sz w:val="22"/>
                <w:lang w:eastAsia="ja-JP"/>
              </w:rPr>
            </w:pPr>
            <w:r w:rsidRPr="00416070">
              <w:rPr>
                <w:b/>
                <w:sz w:val="22"/>
              </w:rPr>
              <w:lastRenderedPageBreak/>
              <w:t>Programas</w:t>
            </w:r>
          </w:p>
        </w:tc>
        <w:tc>
          <w:tcPr>
            <w:tcW w:w="7308" w:type="dxa"/>
            <w:shd w:val="clear" w:color="auto" w:fill="FABF8F"/>
          </w:tcPr>
          <w:p w:rsidR="00A86016" w:rsidRPr="00416070" w:rsidRDefault="00A86016" w:rsidP="00A86016">
            <w:pPr>
              <w:jc w:val="center"/>
              <w:rPr>
                <w:b/>
                <w:sz w:val="22"/>
                <w:lang w:eastAsia="ja-JP"/>
              </w:rPr>
            </w:pPr>
            <w:r w:rsidRPr="00416070">
              <w:rPr>
                <w:b/>
                <w:sz w:val="22"/>
              </w:rPr>
              <w:t>Plataformas</w:t>
            </w:r>
          </w:p>
        </w:tc>
      </w:tr>
      <w:tr w:rsidR="00456002" w:rsidRPr="00B06414" w:rsidTr="00E72B9D">
        <w:trPr>
          <w:trHeight w:val="278"/>
        </w:trPr>
        <w:tc>
          <w:tcPr>
            <w:tcW w:w="1890" w:type="dxa"/>
            <w:shd w:val="clear" w:color="auto" w:fill="auto"/>
          </w:tcPr>
          <w:p w:rsidR="00456002" w:rsidRPr="00416070" w:rsidRDefault="001C1727" w:rsidP="00230E01">
            <w:pPr>
              <w:spacing w:before="60"/>
              <w:rPr>
                <w:b/>
                <w:lang w:eastAsia="ja-JP"/>
              </w:rPr>
            </w:pPr>
            <w:r w:rsidRPr="00416070">
              <w:br w:type="page"/>
            </w:r>
            <w:r w:rsidR="00456002" w:rsidRPr="00416070">
              <w:rPr>
                <w:b/>
                <w:sz w:val="20"/>
              </w:rPr>
              <w:t>Academic Platforms (EES, OVS-ES e School Agreement)</w:t>
            </w:r>
          </w:p>
        </w:tc>
        <w:tc>
          <w:tcPr>
            <w:tcW w:w="7308" w:type="dxa"/>
            <w:shd w:val="clear" w:color="auto" w:fill="auto"/>
          </w:tcPr>
          <w:p w:rsidR="00821966" w:rsidRPr="00AA0B4F" w:rsidRDefault="00456002" w:rsidP="00230E01">
            <w:pPr>
              <w:pStyle w:val="ListParagraph"/>
              <w:numPr>
                <w:ilvl w:val="0"/>
                <w:numId w:val="150"/>
              </w:numPr>
              <w:spacing w:before="60" w:after="60"/>
              <w:ind w:left="245"/>
              <w:contextualSpacing w:val="0"/>
              <w:rPr>
                <w:rFonts w:ascii="Tahoma" w:hAnsi="Tahoma" w:cs="Tahoma"/>
                <w:sz w:val="18"/>
                <w:szCs w:val="18"/>
              </w:rPr>
            </w:pPr>
            <w:r w:rsidRPr="00AA0B4F">
              <w:rPr>
                <w:rFonts w:ascii="Tahoma" w:hAnsi="Tahoma" w:cs="Tahoma"/>
                <w:b/>
                <w:sz w:val="18"/>
                <w:szCs w:val="18"/>
              </w:rPr>
              <w:t>Produtos da Plataforma Desktop Educacional e da Plataforma Desktop School com Enterprise CAL Suite</w:t>
            </w:r>
          </w:p>
          <w:p w:rsidR="00456002" w:rsidRPr="00AA0B4F" w:rsidRDefault="00456002" w:rsidP="00821966">
            <w:pPr>
              <w:pStyle w:val="ListParagraph"/>
              <w:numPr>
                <w:ilvl w:val="0"/>
                <w:numId w:val="150"/>
              </w:numPr>
              <w:spacing w:after="60"/>
              <w:ind w:left="252"/>
              <w:rPr>
                <w:rFonts w:ascii="Tahoma" w:hAnsi="Tahoma" w:cs="Tahoma"/>
                <w:sz w:val="18"/>
                <w:szCs w:val="18"/>
              </w:rPr>
            </w:pPr>
            <w:r w:rsidRPr="00AA0B4F">
              <w:rPr>
                <w:rFonts w:ascii="Tahoma" w:hAnsi="Tahoma" w:cs="Tahoma"/>
                <w:b/>
                <w:sz w:val="18"/>
                <w:szCs w:val="18"/>
              </w:rPr>
              <w:t>Produtos da Plataforma Desktop Educacional e da Plataforma Desktop School com Core CAL Suite</w:t>
            </w:r>
          </w:p>
          <w:p w:rsidR="00456002" w:rsidRPr="008D38F6" w:rsidRDefault="00456002" w:rsidP="00821966">
            <w:pPr>
              <w:rPr>
                <w:lang w:val="pt-BR"/>
              </w:rPr>
            </w:pPr>
            <w:r w:rsidRPr="008D38F6">
              <w:rPr>
                <w:rFonts w:cs="Tahoma"/>
                <w:szCs w:val="18"/>
                <w:lang w:val="pt-BR"/>
              </w:rPr>
              <w:t>Os Produtos da Plataforma Desktop Educacional estão disponíveis para os clientes das</w:t>
            </w:r>
            <w:r w:rsidR="000D7705" w:rsidRPr="008D38F6">
              <w:rPr>
                <w:rFonts w:cs="Tahoma"/>
                <w:szCs w:val="18"/>
                <w:lang w:val="pt-BR"/>
              </w:rPr>
              <w:t> </w:t>
            </w:r>
            <w:r w:rsidRPr="008D38F6">
              <w:rPr>
                <w:rFonts w:cs="Tahoma"/>
                <w:szCs w:val="18"/>
                <w:lang w:val="pt-BR"/>
              </w:rPr>
              <w:t>Soluções Educacionais do Registro (EES) e Open Value Subscription – Soluções Educacionais (OVS-ES). Os Produtos da Plataforma Desktop School estão disponíveis para os clientes de Contratos School. A Plataforma de Desktop Educacional com Enterprise CAL Suite e a Plataforma de Desktop School com Enterprise CAL Suite incluem</w:t>
            </w:r>
            <w:r w:rsidR="000D7705" w:rsidRPr="008D38F6">
              <w:rPr>
                <w:rFonts w:cs="Tahoma"/>
                <w:szCs w:val="18"/>
                <w:lang w:val="pt-BR"/>
              </w:rPr>
              <w:t> </w:t>
            </w:r>
            <w:r w:rsidRPr="008D38F6">
              <w:rPr>
                <w:rFonts w:cs="Tahoma"/>
                <w:szCs w:val="18"/>
                <w:lang w:val="pt-BR"/>
              </w:rPr>
              <w:t>a versão mais atual do Office Professional Plus ou Office para Mac, a Atualização</w:t>
            </w:r>
            <w:r w:rsidR="00F07AD2" w:rsidRPr="008D38F6">
              <w:rPr>
                <w:rFonts w:cs="Tahoma"/>
                <w:szCs w:val="18"/>
                <w:lang w:val="pt-BR"/>
              </w:rPr>
              <w:t> </w:t>
            </w:r>
            <w:r w:rsidRPr="008D38F6">
              <w:rPr>
                <w:rFonts w:cs="Tahoma"/>
                <w:szCs w:val="18"/>
                <w:lang w:val="pt-BR"/>
              </w:rPr>
              <w:t>de Sistema Operacional Windows 8 Pro e a licença de acesso para cliente</w:t>
            </w:r>
            <w:r w:rsidR="00F07AD2" w:rsidRPr="008D38F6">
              <w:rPr>
                <w:rFonts w:cs="Tahoma"/>
                <w:szCs w:val="18"/>
                <w:lang w:val="pt-BR"/>
              </w:rPr>
              <w:t> </w:t>
            </w:r>
            <w:r w:rsidR="00AA0B4F" w:rsidRPr="008D38F6">
              <w:rPr>
                <w:rFonts w:cs="Tahoma"/>
                <w:szCs w:val="18"/>
                <w:lang w:val="pt-BR"/>
              </w:rPr>
              <w:t>Enterprise CAL Suite.</w:t>
            </w:r>
          </w:p>
          <w:p w:rsidR="00456002" w:rsidRPr="008D38F6" w:rsidRDefault="00456002" w:rsidP="00E64551">
            <w:pPr>
              <w:ind w:left="360"/>
              <w:rPr>
                <w:lang w:val="pt-BR"/>
              </w:rPr>
            </w:pPr>
          </w:p>
          <w:p w:rsidR="00456002" w:rsidRPr="008D38F6" w:rsidRDefault="00456002" w:rsidP="00821966">
            <w:pPr>
              <w:rPr>
                <w:lang w:val="pt-BR"/>
              </w:rPr>
            </w:pPr>
            <w:r w:rsidRPr="008D38F6">
              <w:rPr>
                <w:rFonts w:cs="Tahoma"/>
                <w:iCs/>
                <w:szCs w:val="18"/>
                <w:lang w:val="pt-BR"/>
              </w:rPr>
              <w:t>O Produto de Plataforma Desktop School na lista de preços conta como 3 unidades.</w:t>
            </w:r>
          </w:p>
          <w:p w:rsidR="00456002" w:rsidRPr="008D38F6" w:rsidRDefault="00456002" w:rsidP="00821966">
            <w:pPr>
              <w:rPr>
                <w:lang w:val="pt-BR"/>
              </w:rPr>
            </w:pPr>
          </w:p>
          <w:p w:rsidR="00456002" w:rsidRPr="008D38F6" w:rsidRDefault="00456002" w:rsidP="00821966">
            <w:pPr>
              <w:tabs>
                <w:tab w:val="left" w:pos="8640"/>
              </w:tabs>
              <w:ind w:right="720"/>
              <w:rPr>
                <w:lang w:val="pt-BR"/>
              </w:rPr>
            </w:pPr>
            <w:r w:rsidRPr="008D38F6">
              <w:rPr>
                <w:rFonts w:cs="Tahoma"/>
                <w:b/>
                <w:bCs/>
                <w:color w:val="000000"/>
                <w:szCs w:val="18"/>
                <w:lang w:val="pt-BR"/>
              </w:rPr>
              <w:t xml:space="preserve">Observação: </w:t>
            </w:r>
            <w:r w:rsidRPr="008D38F6">
              <w:rPr>
                <w:rFonts w:cs="Tahoma"/>
                <w:bCs/>
                <w:color w:val="000000"/>
                <w:szCs w:val="18"/>
                <w:lang w:val="pt-BR"/>
              </w:rPr>
              <w:t>Os clientes EES e OVS-ES não estão qualificados para optar pelos Produtos de Plataforma Desktop e produtos individuais de CAL incluídos no Core CAL Suíte ou Enterprise CAL Suite somente para uma parte da Contagem para toda a Organização e/ou Contagem de Estudantes. Por exemplo, se a assinatura for para uma Contagem de 1.200 funcionários em tempo integral para toda a Organização, os produtos da Plataforma de Desktop e os produtos componentes do Pacote de CAL selecionados serão 1.000 para Contagem para toda a Organização, mesmo que uma parte desses PCs execute uma Plataforma de Desktop ou produto componente de CAL.</w:t>
            </w:r>
          </w:p>
          <w:p w:rsidR="00456002" w:rsidRPr="008D38F6" w:rsidRDefault="00456002" w:rsidP="005C647E">
            <w:pPr>
              <w:rPr>
                <w:rFonts w:cs="Tahoma"/>
                <w:szCs w:val="18"/>
                <w:lang w:val="pt-BR" w:eastAsia="ja-JP"/>
              </w:rPr>
            </w:pPr>
          </w:p>
        </w:tc>
      </w:tr>
    </w:tbl>
    <w:p w:rsidR="00406CB0" w:rsidRPr="008D38F6" w:rsidRDefault="00406CB0" w:rsidP="00406CB0">
      <w:pPr>
        <w:rPr>
          <w:lang w:val="pt-BR"/>
        </w:rPr>
      </w:pPr>
      <w:bookmarkStart w:id="676" w:name="_Toc336338193"/>
    </w:p>
    <w:p w:rsidR="004641FD" w:rsidRPr="00416070" w:rsidRDefault="00755633" w:rsidP="004641FD">
      <w:pPr>
        <w:pStyle w:val="Heading3"/>
        <w:ind w:right="720"/>
      </w:pPr>
      <w:bookmarkStart w:id="677" w:name="_Toc352234261"/>
      <w:r w:rsidRPr="00416070">
        <w:rPr>
          <w:rFonts w:ascii="Tahoma" w:hAnsi="Tahoma" w:cs="Tahoma"/>
          <w:sz w:val="24"/>
          <w:szCs w:val="22"/>
        </w:rPr>
        <w:t>Definição de Gerenciamento para Dispositivos Qualificados</w:t>
      </w:r>
      <w:bookmarkEnd w:id="676"/>
      <w:bookmarkEnd w:id="677"/>
    </w:p>
    <w:p w:rsidR="00406CB0" w:rsidRPr="008D38F6" w:rsidRDefault="00406CB0" w:rsidP="00406CB0">
      <w:pPr>
        <w:rPr>
          <w:lang w:val="pt-BR"/>
        </w:rPr>
      </w:pPr>
    </w:p>
    <w:p w:rsidR="004641FD" w:rsidRPr="008D38F6" w:rsidRDefault="004641FD" w:rsidP="004641FD">
      <w:pPr>
        <w:rPr>
          <w:lang w:val="pt-BR"/>
        </w:rPr>
      </w:pPr>
      <w:r w:rsidRPr="008D38F6">
        <w:rPr>
          <w:rFonts w:cs="Tahoma"/>
          <w:lang w:val="pt-BR"/>
        </w:rPr>
        <w:t>Um cliente de Licenciamento por Volume “gerencia” qualquer dispositivo no qual ele controla direta ou indiretamente um ou mais ambientes de sistema operacional.</w:t>
      </w:r>
      <w:r w:rsidR="00FB5496" w:rsidRPr="008D38F6">
        <w:rPr>
          <w:rFonts w:cs="Tahoma"/>
          <w:lang w:val="pt-BR"/>
        </w:rPr>
        <w:t xml:space="preserve"> </w:t>
      </w:r>
      <w:r w:rsidRPr="008D38F6">
        <w:rPr>
          <w:rFonts w:cs="Tahoma"/>
          <w:lang w:val="pt-BR"/>
        </w:rPr>
        <w:t>Por exemplo, um cliente de Licenciamento por Volume gerencia qualquer dispositivo</w:t>
      </w:r>
    </w:p>
    <w:p w:rsidR="00406CB0" w:rsidRPr="008D38F6" w:rsidRDefault="00406CB0" w:rsidP="00822871">
      <w:pPr>
        <w:spacing w:after="60"/>
        <w:rPr>
          <w:lang w:val="pt-BR"/>
        </w:rPr>
      </w:pPr>
    </w:p>
    <w:p w:rsidR="004641FD" w:rsidRPr="008D38F6" w:rsidRDefault="004641FD" w:rsidP="00822871">
      <w:pPr>
        <w:numPr>
          <w:ilvl w:val="0"/>
          <w:numId w:val="19"/>
        </w:numPr>
        <w:spacing w:after="60"/>
        <w:rPr>
          <w:lang w:val="pt-BR"/>
        </w:rPr>
      </w:pPr>
      <w:r w:rsidRPr="008D38F6">
        <w:rPr>
          <w:rFonts w:cs="Tahoma"/>
          <w:lang w:val="pt-BR"/>
        </w:rPr>
        <w:t>que ele permite ingressar em seu domínio OU</w:t>
      </w:r>
    </w:p>
    <w:p w:rsidR="004641FD" w:rsidRPr="008D38F6" w:rsidRDefault="004641FD" w:rsidP="00822871">
      <w:pPr>
        <w:numPr>
          <w:ilvl w:val="0"/>
          <w:numId w:val="19"/>
        </w:numPr>
        <w:spacing w:after="60"/>
        <w:rPr>
          <w:lang w:val="pt-BR"/>
        </w:rPr>
      </w:pPr>
      <w:r w:rsidRPr="008D38F6">
        <w:rPr>
          <w:rFonts w:cs="Tahoma"/>
          <w:lang w:val="pt-BR"/>
        </w:rPr>
        <w:t>que ele autentica como um requisito para usar aplicativos enquanto ele está em suas instalações</w:t>
      </w:r>
      <w:r w:rsidR="00F07AD2" w:rsidRPr="008D38F6">
        <w:rPr>
          <w:rFonts w:cs="Tahoma"/>
          <w:lang w:val="pt-BR"/>
        </w:rPr>
        <w:t> </w:t>
      </w:r>
      <w:r w:rsidRPr="008D38F6">
        <w:rPr>
          <w:rFonts w:cs="Tahoma"/>
          <w:lang w:val="pt-BR"/>
        </w:rPr>
        <w:t>OU</w:t>
      </w:r>
    </w:p>
    <w:p w:rsidR="004641FD" w:rsidRPr="008D38F6" w:rsidRDefault="004641FD" w:rsidP="00822871">
      <w:pPr>
        <w:numPr>
          <w:ilvl w:val="0"/>
          <w:numId w:val="19"/>
        </w:numPr>
        <w:spacing w:after="60"/>
        <w:rPr>
          <w:lang w:val="pt-BR"/>
        </w:rPr>
      </w:pPr>
      <w:r w:rsidRPr="008D38F6">
        <w:rPr>
          <w:rFonts w:cs="Tahoma"/>
          <w:lang w:val="pt-BR"/>
        </w:rPr>
        <w:t>no qual que ele instala agentes (por exemplo, antivírus, antimalware ou outros agentes autorizados</w:t>
      </w:r>
      <w:r w:rsidR="00F07AD2" w:rsidRPr="008D38F6">
        <w:rPr>
          <w:rFonts w:cs="Tahoma"/>
          <w:lang w:val="pt-BR"/>
        </w:rPr>
        <w:t> </w:t>
      </w:r>
      <w:r w:rsidRPr="008D38F6">
        <w:rPr>
          <w:rFonts w:cs="Tahoma"/>
          <w:lang w:val="pt-BR"/>
        </w:rPr>
        <w:t>pela política do cliente) OU</w:t>
      </w:r>
    </w:p>
    <w:p w:rsidR="004641FD" w:rsidRPr="008D38F6" w:rsidRDefault="004641FD" w:rsidP="00822871">
      <w:pPr>
        <w:numPr>
          <w:ilvl w:val="0"/>
          <w:numId w:val="19"/>
        </w:numPr>
        <w:spacing w:after="60"/>
        <w:rPr>
          <w:lang w:val="pt-BR"/>
        </w:rPr>
      </w:pPr>
      <w:r w:rsidRPr="008D38F6">
        <w:rPr>
          <w:rFonts w:cs="Tahoma"/>
          <w:lang w:val="pt-BR"/>
        </w:rPr>
        <w:t>ao qual ele se aplica direta ou indiretamente e impõe* políticas de grupo OU</w:t>
      </w:r>
    </w:p>
    <w:p w:rsidR="004641FD" w:rsidRPr="008D38F6" w:rsidRDefault="004641FD" w:rsidP="00822871">
      <w:pPr>
        <w:numPr>
          <w:ilvl w:val="0"/>
          <w:numId w:val="19"/>
        </w:numPr>
        <w:spacing w:after="60"/>
        <w:rPr>
          <w:lang w:val="pt-BR"/>
        </w:rPr>
      </w:pPr>
      <w:r w:rsidRPr="008D38F6">
        <w:rPr>
          <w:rFonts w:cs="Tahoma"/>
          <w:lang w:val="pt-BR"/>
        </w:rPr>
        <w:t>no qual ele solicita ou recebe dados e configura ou fornece instruções sobre o hardware ou</w:t>
      </w:r>
      <w:r w:rsidR="00F07AD2" w:rsidRPr="008D38F6">
        <w:rPr>
          <w:rFonts w:cs="Tahoma"/>
          <w:lang w:val="pt-BR"/>
        </w:rPr>
        <w:t> </w:t>
      </w:r>
      <w:r w:rsidRPr="008D38F6">
        <w:rPr>
          <w:rFonts w:cs="Tahoma"/>
          <w:lang w:val="pt-BR"/>
        </w:rPr>
        <w:t>software direta ou indiretamente associado ao ambiente de sistema operacional OU</w:t>
      </w:r>
    </w:p>
    <w:p w:rsidR="004641FD" w:rsidRPr="008D38F6" w:rsidRDefault="004641FD" w:rsidP="00822871">
      <w:pPr>
        <w:numPr>
          <w:ilvl w:val="0"/>
          <w:numId w:val="19"/>
        </w:numPr>
        <w:spacing w:after="60"/>
        <w:rPr>
          <w:lang w:val="pt-BR"/>
        </w:rPr>
      </w:pPr>
      <w:r w:rsidRPr="008D38F6">
        <w:rPr>
          <w:rFonts w:cs="Tahoma"/>
          <w:lang w:val="pt-BR"/>
        </w:rPr>
        <w:t>que ele permite acessar uma infraestrutura de desktop virtual (VDI) fora do Windows Software Assurance, Windows Intune (Por Dispositivo) ou Direitos de Roaming do Windows Virtual Desktop</w:t>
      </w:r>
      <w:r w:rsidR="00F07AD2" w:rsidRPr="008D38F6">
        <w:rPr>
          <w:rFonts w:cs="Tahoma"/>
          <w:lang w:val="pt-BR"/>
        </w:rPr>
        <w:t> </w:t>
      </w:r>
      <w:r w:rsidRPr="008D38F6">
        <w:rPr>
          <w:rFonts w:cs="Tahoma"/>
          <w:lang w:val="pt-BR"/>
        </w:rPr>
        <w:t>Access.</w:t>
      </w:r>
    </w:p>
    <w:p w:rsidR="00755633" w:rsidRPr="008D38F6" w:rsidRDefault="00755633" w:rsidP="00755633">
      <w:pPr>
        <w:ind w:left="1440"/>
        <w:rPr>
          <w:lang w:val="pt-BR"/>
        </w:rPr>
      </w:pPr>
    </w:p>
    <w:p w:rsidR="004641FD" w:rsidRPr="008D38F6" w:rsidRDefault="004641FD" w:rsidP="004641FD">
      <w:pPr>
        <w:rPr>
          <w:lang w:val="pt-BR"/>
        </w:rPr>
      </w:pPr>
      <w:r w:rsidRPr="008D38F6">
        <w:rPr>
          <w:rFonts w:cs="Tahoma"/>
          <w:lang w:val="pt-BR"/>
        </w:rPr>
        <w:t>Um dispositivo que acessa um VDI sob Direitos de Roaming apenas ou usa o Windows To Go em um Dispositivo Qualificado de Terceiros apenas fora das instalações do cliente, e não é gerenciado para outras finalidades conforme</w:t>
      </w:r>
      <w:r w:rsidR="00F07AD2" w:rsidRPr="008D38F6">
        <w:rPr>
          <w:rFonts w:cs="Tahoma"/>
          <w:lang w:val="pt-BR"/>
        </w:rPr>
        <w:t> </w:t>
      </w:r>
      <w:r w:rsidRPr="008D38F6">
        <w:rPr>
          <w:rFonts w:cs="Tahoma"/>
          <w:lang w:val="pt-BR"/>
        </w:rPr>
        <w:t>descrito aqui, não é considerado “gerenciado” para fins desta definição.</w:t>
      </w:r>
    </w:p>
    <w:p w:rsidR="00755633" w:rsidRPr="008D38F6" w:rsidRDefault="00755633" w:rsidP="004641FD">
      <w:pPr>
        <w:rPr>
          <w:lang w:val="pt-BR"/>
        </w:rPr>
      </w:pPr>
    </w:p>
    <w:p w:rsidR="00371299" w:rsidRPr="008D38F6" w:rsidRDefault="004641FD" w:rsidP="00510F6B">
      <w:pPr>
        <w:rPr>
          <w:lang w:val="pt-BR"/>
        </w:rPr>
      </w:pPr>
      <w:r w:rsidRPr="008D38F6">
        <w:rPr>
          <w:rFonts w:cs="Tahoma"/>
          <w:lang w:val="pt-BR"/>
        </w:rPr>
        <w:t>*Um cliente de Licenciamento por Volume que procura por atualizações de segurança/vírus ou software de sistema operacional atualizado e só notifica o usuário se eles não estiverem atualizados, não é uma “política de grupo imposta” para fins deste exemplo.</w:t>
      </w:r>
    </w:p>
    <w:p w:rsidR="00991DD4" w:rsidRPr="008D38F6" w:rsidRDefault="00991DD4" w:rsidP="00510F6B">
      <w:pPr>
        <w:rPr>
          <w:lang w:val="pt-BR"/>
        </w:rPr>
      </w:pPr>
    </w:p>
    <w:p w:rsidR="00F07AD2" w:rsidRPr="008D38F6" w:rsidRDefault="00F07AD2" w:rsidP="00510F6B">
      <w:pPr>
        <w:rPr>
          <w:lang w:val="pt-BR"/>
        </w:rPr>
      </w:pPr>
    </w:p>
    <w:p w:rsidR="00F07AD2" w:rsidRPr="008D38F6" w:rsidRDefault="00F07AD2" w:rsidP="00510F6B">
      <w:pPr>
        <w:rPr>
          <w:lang w:val="pt-BR"/>
        </w:rPr>
      </w:pPr>
    </w:p>
    <w:p w:rsidR="00406CB0" w:rsidRPr="00416070" w:rsidRDefault="00023FE7" w:rsidP="00406CB0">
      <w:pPr>
        <w:pStyle w:val="Heading3"/>
      </w:pPr>
      <w:bookmarkStart w:id="678" w:name="_Toc243157227"/>
      <w:bookmarkStart w:id="679" w:name="_Toc336338194"/>
      <w:bookmarkStart w:id="680" w:name="_Toc352234262"/>
      <w:r w:rsidRPr="00416070">
        <w:rPr>
          <w:rFonts w:ascii="Tahoma" w:hAnsi="Tahoma"/>
          <w:sz w:val="24"/>
        </w:rPr>
        <w:lastRenderedPageBreak/>
        <w:t>Produtos qualificados para o Desconto de Atualização (UTD)</w:t>
      </w:r>
      <w:bookmarkEnd w:id="678"/>
      <w:bookmarkEnd w:id="679"/>
      <w:bookmarkEnd w:id="680"/>
    </w:p>
    <w:p w:rsidR="00406CB0" w:rsidRPr="00416070" w:rsidRDefault="00406CB0" w:rsidP="00406CB0">
      <w:pPr>
        <w:pStyle w:val="Heading3"/>
        <w:rPr>
          <w:rFonts w:ascii="Tahoma" w:hAnsi="Tahoma" w:cs="Tahoma"/>
          <w:sz w:val="18"/>
          <w:szCs w:val="18"/>
        </w:rPr>
      </w:pPr>
    </w:p>
    <w:p w:rsidR="00023FE7" w:rsidRPr="008D38F6" w:rsidRDefault="00023FE7" w:rsidP="00477B4D">
      <w:pPr>
        <w:rPr>
          <w:lang w:val="pt-BR"/>
        </w:rPr>
      </w:pPr>
      <w:r w:rsidRPr="008D38F6">
        <w:rPr>
          <w:lang w:val="pt-BR"/>
        </w:rPr>
        <w:t>Os clientes Open Value Subscription estão qualificados para o Desconto UTD durante o primeiro ano do contrato da</w:t>
      </w:r>
      <w:r w:rsidR="00F07AD2" w:rsidRPr="008D38F6">
        <w:rPr>
          <w:lang w:val="pt-BR"/>
        </w:rPr>
        <w:t> </w:t>
      </w:r>
      <w:r w:rsidRPr="008D38F6">
        <w:rPr>
          <w:lang w:val="pt-BR"/>
        </w:rPr>
        <w:t>assinatura.</w:t>
      </w:r>
      <w:r w:rsidR="00FB5496" w:rsidRPr="008D38F6">
        <w:rPr>
          <w:lang w:val="pt-BR"/>
        </w:rPr>
        <w:t xml:space="preserve"> </w:t>
      </w:r>
      <w:r w:rsidRPr="008D38F6">
        <w:rPr>
          <w:lang w:val="pt-BR"/>
        </w:rPr>
        <w:t>Os clientes qualificados podem adquirir qualquer Licença UTD identificada abaixo se estiverem licenciados para uma das versões qualificadas correspondentes, anteriores ou atuais, por meio de OEM, FPP ou Licenciamento por Volume.</w:t>
      </w:r>
      <w:r w:rsidR="00FB5496" w:rsidRPr="008D38F6">
        <w:rPr>
          <w:lang w:val="pt-BR"/>
        </w:rPr>
        <w:t xml:space="preserve"> </w:t>
      </w:r>
      <w:r w:rsidRPr="008D38F6">
        <w:rPr>
          <w:color w:val="000000"/>
          <w:lang w:val="pt-BR"/>
        </w:rPr>
        <w:t>Em geral, esse desconto só é dado para a versão atual ou a imediatamente anterior do produto. O Desconto UTD é independente da plataforma, de modo que usuários de Mac também estão qualificados.</w:t>
      </w:r>
    </w:p>
    <w:p w:rsidR="00C353DE" w:rsidRPr="008D38F6" w:rsidRDefault="00C353DE">
      <w:pPr>
        <w:pStyle w:val="FootnoteBulletLevel1"/>
        <w:ind w:left="360" w:right="720" w:firstLine="0"/>
        <w:rPr>
          <w:rFonts w:ascii="Tahoma" w:hAnsi="Tahoma" w:cs="Tahoma"/>
          <w:sz w:val="18"/>
          <w:szCs w:val="18"/>
          <w:lang w:val="pt-B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416070"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416070" w:rsidRDefault="00023FE7">
            <w:pPr>
              <w:ind w:right="720"/>
              <w:jc w:val="center"/>
              <w:rPr>
                <w:rFonts w:eastAsia="Calibri" w:cs="Tahoma"/>
                <w:b/>
                <w:bCs/>
                <w:color w:val="404040"/>
              </w:rPr>
            </w:pPr>
            <w:r w:rsidRPr="00416070">
              <w:rPr>
                <w:rFonts w:cs="Tahoma"/>
                <w:b/>
                <w:bCs/>
              </w:rPr>
              <w:t>Licença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416070" w:rsidRDefault="00023FE7">
            <w:pPr>
              <w:ind w:right="720"/>
              <w:jc w:val="center"/>
              <w:rPr>
                <w:rFonts w:eastAsia="Calibri" w:cs="Tahoma"/>
                <w:b/>
                <w:bCs/>
                <w:color w:val="404040"/>
              </w:rPr>
            </w:pPr>
            <w:r w:rsidRPr="00416070">
              <w:rPr>
                <w:rFonts w:cs="Tahoma"/>
                <w:b/>
                <w:bCs/>
              </w:rPr>
              <w:t>Versão qualificada</w:t>
            </w:r>
          </w:p>
        </w:tc>
      </w:tr>
      <w:tr w:rsidR="00023FE7" w:rsidRPr="00416070" w:rsidTr="0044720D">
        <w:trPr>
          <w:trHeight w:val="576"/>
        </w:trPr>
        <w:tc>
          <w:tcPr>
            <w:tcW w:w="3809" w:type="dxa"/>
            <w:tcBorders>
              <w:top w:val="nil"/>
              <w:left w:val="single" w:sz="8" w:space="0" w:color="auto"/>
              <w:bottom w:val="single" w:sz="8" w:space="0" w:color="auto"/>
              <w:right w:val="single" w:sz="8" w:space="0" w:color="auto"/>
            </w:tcBorders>
          </w:tcPr>
          <w:p w:rsidR="00023FE7" w:rsidRPr="008D38F6" w:rsidRDefault="00023FE7" w:rsidP="00F07AD2">
            <w:pPr>
              <w:spacing w:before="60"/>
              <w:ind w:left="360" w:right="299"/>
              <w:jc w:val="center"/>
              <w:rPr>
                <w:rFonts w:eastAsia="Calibri" w:cs="Tahoma"/>
                <w:szCs w:val="18"/>
                <w:lang w:val="pt-BR"/>
              </w:rPr>
            </w:pPr>
            <w:r w:rsidRPr="008D38F6">
              <w:rPr>
                <w:rFonts w:cs="Tahoma"/>
                <w:szCs w:val="18"/>
                <w:lang w:val="pt-BR"/>
              </w:rPr>
              <w:t>CAL Principal (Dispositivo ou Usuário)</w:t>
            </w:r>
          </w:p>
        </w:tc>
        <w:tc>
          <w:tcPr>
            <w:tcW w:w="4298" w:type="dxa"/>
            <w:tcBorders>
              <w:top w:val="nil"/>
              <w:left w:val="nil"/>
              <w:bottom w:val="single" w:sz="8" w:space="0" w:color="auto"/>
              <w:right w:val="single" w:sz="8" w:space="0" w:color="auto"/>
            </w:tcBorders>
          </w:tcPr>
          <w:p w:rsidR="00023FE7" w:rsidRPr="00AA0B4F" w:rsidRDefault="00023FE7" w:rsidP="00230E01">
            <w:pPr>
              <w:pStyle w:val="Bulletedlistflush"/>
              <w:spacing w:before="60"/>
              <w:ind w:left="576" w:right="720" w:firstLine="0"/>
              <w:jc w:val="center"/>
              <w:rPr>
                <w:rFonts w:ascii="Tahoma" w:hAnsi="Tahoma" w:cs="Tahoma"/>
                <w:sz w:val="18"/>
                <w:szCs w:val="18"/>
              </w:rPr>
            </w:pPr>
            <w:r w:rsidRPr="00AA0B4F">
              <w:rPr>
                <w:rFonts w:ascii="Tahoma" w:hAnsi="Tahoma" w:cs="Tahoma"/>
                <w:sz w:val="18"/>
                <w:szCs w:val="18"/>
              </w:rPr>
              <w:t>Qualquer CAL Principal</w:t>
            </w:r>
          </w:p>
          <w:p w:rsidR="00023FE7" w:rsidRPr="00AA0B4F" w:rsidRDefault="00023FE7" w:rsidP="00230E01">
            <w:pPr>
              <w:pStyle w:val="Bulletedlistflush"/>
              <w:ind w:left="576" w:right="720" w:firstLine="0"/>
              <w:jc w:val="center"/>
              <w:rPr>
                <w:rFonts w:ascii="Tahoma" w:hAnsi="Tahoma" w:cs="Tahoma"/>
                <w:sz w:val="18"/>
                <w:szCs w:val="18"/>
              </w:rPr>
            </w:pPr>
          </w:p>
        </w:tc>
      </w:tr>
      <w:tr w:rsidR="00023FE7" w:rsidRPr="00416070" w:rsidTr="0044720D">
        <w:trPr>
          <w:trHeight w:val="576"/>
        </w:trPr>
        <w:tc>
          <w:tcPr>
            <w:tcW w:w="3809" w:type="dxa"/>
            <w:tcBorders>
              <w:top w:val="nil"/>
              <w:left w:val="single" w:sz="8" w:space="0" w:color="auto"/>
              <w:bottom w:val="single" w:sz="8" w:space="0" w:color="auto"/>
              <w:right w:val="single" w:sz="8" w:space="0" w:color="auto"/>
            </w:tcBorders>
          </w:tcPr>
          <w:p w:rsidR="00023FE7" w:rsidRPr="008D38F6" w:rsidRDefault="00023FE7" w:rsidP="00F07AD2">
            <w:pPr>
              <w:spacing w:before="60"/>
              <w:ind w:left="360" w:right="119"/>
              <w:jc w:val="center"/>
              <w:rPr>
                <w:rFonts w:eastAsia="Calibri" w:cs="Tahoma"/>
                <w:szCs w:val="18"/>
                <w:lang w:val="pt-BR"/>
              </w:rPr>
            </w:pPr>
            <w:r w:rsidRPr="008D38F6">
              <w:rPr>
                <w:rFonts w:cs="Tahoma"/>
                <w:szCs w:val="18"/>
                <w:lang w:val="pt-BR"/>
              </w:rPr>
              <w:t>CAL Empresarial (Dispositivo ou Usuário)</w:t>
            </w:r>
          </w:p>
        </w:tc>
        <w:tc>
          <w:tcPr>
            <w:tcW w:w="4298" w:type="dxa"/>
            <w:tcBorders>
              <w:top w:val="nil"/>
              <w:left w:val="nil"/>
              <w:bottom w:val="single" w:sz="8" w:space="0" w:color="auto"/>
              <w:right w:val="single" w:sz="8" w:space="0" w:color="auto"/>
            </w:tcBorders>
          </w:tcPr>
          <w:p w:rsidR="00023FE7" w:rsidRPr="00AA0B4F" w:rsidRDefault="00023FE7" w:rsidP="00230E01">
            <w:pPr>
              <w:pStyle w:val="Bulletedlistflush"/>
              <w:spacing w:before="60"/>
              <w:ind w:left="576" w:right="720" w:firstLine="0"/>
              <w:jc w:val="center"/>
              <w:rPr>
                <w:rFonts w:ascii="Tahoma" w:hAnsi="Tahoma" w:cs="Tahoma"/>
                <w:sz w:val="18"/>
                <w:szCs w:val="18"/>
              </w:rPr>
            </w:pPr>
            <w:r w:rsidRPr="00AA0B4F">
              <w:rPr>
                <w:rFonts w:ascii="Tahoma" w:hAnsi="Tahoma" w:cs="Tahoma"/>
                <w:sz w:val="18"/>
                <w:szCs w:val="18"/>
              </w:rPr>
              <w:t>Qualquer CAL Empresarial</w:t>
            </w:r>
          </w:p>
        </w:tc>
      </w:tr>
      <w:tr w:rsidR="0000615E" w:rsidRPr="00416070" w:rsidTr="0044720D">
        <w:trPr>
          <w:trHeight w:val="576"/>
        </w:trPr>
        <w:tc>
          <w:tcPr>
            <w:tcW w:w="3809" w:type="dxa"/>
            <w:tcBorders>
              <w:top w:val="nil"/>
              <w:left w:val="single" w:sz="8" w:space="0" w:color="auto"/>
              <w:bottom w:val="single" w:sz="8" w:space="0" w:color="auto"/>
              <w:right w:val="single" w:sz="8" w:space="0" w:color="auto"/>
            </w:tcBorders>
          </w:tcPr>
          <w:p w:rsidR="0000615E" w:rsidRPr="00AA0B4F" w:rsidRDefault="0000615E" w:rsidP="00230E01">
            <w:pPr>
              <w:spacing w:before="60"/>
              <w:ind w:left="360" w:right="720"/>
              <w:jc w:val="center"/>
              <w:rPr>
                <w:rFonts w:eastAsia="Calibri" w:cs="Tahoma"/>
                <w:szCs w:val="18"/>
              </w:rPr>
            </w:pPr>
            <w:r w:rsidRPr="00AA0B4F">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8D38F6" w:rsidRDefault="008B2AA7" w:rsidP="00230E01">
            <w:pPr>
              <w:pStyle w:val="Bulletedlistflush"/>
              <w:spacing w:before="60"/>
              <w:ind w:left="576" w:right="720" w:firstLine="0"/>
              <w:jc w:val="center"/>
              <w:rPr>
                <w:rFonts w:ascii="Tahoma" w:hAnsi="Tahoma" w:cs="Tahoma"/>
                <w:sz w:val="18"/>
                <w:szCs w:val="18"/>
                <w:lang w:val="fr-FR"/>
              </w:rPr>
            </w:pPr>
            <w:r w:rsidRPr="008D38F6">
              <w:rPr>
                <w:rFonts w:ascii="Tahoma" w:hAnsi="Tahoma" w:cs="Tahoma"/>
                <w:sz w:val="18"/>
                <w:szCs w:val="18"/>
                <w:lang w:val="fr-FR"/>
              </w:rPr>
              <w:t>Office Professional Plus 2013</w:t>
            </w:r>
          </w:p>
          <w:p w:rsidR="0000615E" w:rsidRPr="008D38F6" w:rsidRDefault="0000615E" w:rsidP="00230E01">
            <w:pPr>
              <w:pStyle w:val="Bulletedlistflush"/>
              <w:ind w:left="576" w:right="720" w:firstLine="0"/>
              <w:jc w:val="center"/>
              <w:rPr>
                <w:rFonts w:ascii="Tahoma" w:hAnsi="Tahoma" w:cs="Tahoma"/>
                <w:sz w:val="18"/>
                <w:szCs w:val="18"/>
                <w:lang w:val="fr-FR"/>
              </w:rPr>
            </w:pPr>
            <w:r w:rsidRPr="008D38F6">
              <w:rPr>
                <w:rFonts w:ascii="Tahoma" w:hAnsi="Tahoma" w:cs="Tahoma"/>
                <w:sz w:val="18"/>
                <w:szCs w:val="18"/>
                <w:lang w:val="fr-FR"/>
              </w:rPr>
              <w:t>Office Professional Plus 2010</w:t>
            </w:r>
          </w:p>
          <w:p w:rsidR="002D0FAC" w:rsidRPr="00AA0B4F" w:rsidRDefault="002D0FAC" w:rsidP="00230E01">
            <w:pPr>
              <w:pStyle w:val="Bulletedlistflush"/>
              <w:ind w:left="576" w:right="720" w:firstLine="0"/>
              <w:jc w:val="center"/>
              <w:rPr>
                <w:rFonts w:ascii="Tahoma" w:hAnsi="Tahoma" w:cs="Tahoma"/>
                <w:sz w:val="18"/>
                <w:szCs w:val="18"/>
              </w:rPr>
            </w:pPr>
            <w:r w:rsidRPr="00AA0B4F">
              <w:rPr>
                <w:rFonts w:ascii="Tahoma" w:hAnsi="Tahoma" w:cs="Tahoma"/>
                <w:sz w:val="18"/>
                <w:szCs w:val="18"/>
              </w:rPr>
              <w:t>Office 2013 Professional</w:t>
            </w:r>
          </w:p>
          <w:p w:rsidR="0000615E" w:rsidRPr="00AA0B4F" w:rsidRDefault="0000615E" w:rsidP="00230E01">
            <w:pPr>
              <w:pStyle w:val="Bulletedlistflush"/>
              <w:ind w:left="576" w:right="720" w:firstLine="0"/>
              <w:jc w:val="center"/>
              <w:rPr>
                <w:rFonts w:ascii="Tahoma" w:hAnsi="Tahoma" w:cs="Tahoma"/>
                <w:sz w:val="18"/>
                <w:szCs w:val="18"/>
              </w:rPr>
            </w:pPr>
            <w:r w:rsidRPr="00AA0B4F">
              <w:rPr>
                <w:rFonts w:ascii="Tahoma" w:hAnsi="Tahoma" w:cs="Tahoma"/>
                <w:sz w:val="18"/>
                <w:szCs w:val="18"/>
              </w:rPr>
              <w:t>Office 2010 Professional</w:t>
            </w:r>
          </w:p>
          <w:p w:rsidR="0000615E" w:rsidRPr="00AA0B4F" w:rsidRDefault="0000615E" w:rsidP="008B2AA7">
            <w:pPr>
              <w:pStyle w:val="Bulletedlistflush"/>
              <w:ind w:left="576" w:right="720" w:firstLine="0"/>
              <w:jc w:val="center"/>
              <w:rPr>
                <w:rFonts w:ascii="Tahoma" w:hAnsi="Tahoma" w:cs="Tahoma"/>
                <w:sz w:val="18"/>
                <w:szCs w:val="18"/>
              </w:rPr>
            </w:pPr>
          </w:p>
        </w:tc>
      </w:tr>
      <w:tr w:rsidR="00023FE7" w:rsidRPr="00416070" w:rsidTr="0044720D">
        <w:trPr>
          <w:trHeight w:val="576"/>
        </w:trPr>
        <w:tc>
          <w:tcPr>
            <w:tcW w:w="3809" w:type="dxa"/>
            <w:tcBorders>
              <w:top w:val="nil"/>
              <w:left w:val="single" w:sz="8" w:space="0" w:color="auto"/>
              <w:bottom w:val="single" w:sz="8" w:space="0" w:color="auto"/>
              <w:right w:val="single" w:sz="8" w:space="0" w:color="auto"/>
            </w:tcBorders>
          </w:tcPr>
          <w:p w:rsidR="00023FE7" w:rsidRPr="008D38F6" w:rsidRDefault="00023FE7" w:rsidP="00F07AD2">
            <w:pPr>
              <w:spacing w:before="60"/>
              <w:ind w:left="360" w:right="209"/>
              <w:jc w:val="center"/>
              <w:rPr>
                <w:rFonts w:eastAsia="Calibri" w:cs="Tahoma"/>
                <w:color w:val="000000"/>
                <w:szCs w:val="18"/>
                <w:lang w:val="pt-BR"/>
              </w:rPr>
            </w:pPr>
            <w:r w:rsidRPr="008D38F6">
              <w:rPr>
                <w:rFonts w:cs="Tahoma"/>
                <w:color w:val="000000"/>
                <w:szCs w:val="18"/>
                <w:lang w:val="pt-BR"/>
              </w:rPr>
              <w:t>CAL do Small Business Server Standard 2011 (Dispositivo ou Usuário)</w:t>
            </w:r>
          </w:p>
        </w:tc>
        <w:tc>
          <w:tcPr>
            <w:tcW w:w="4298" w:type="dxa"/>
            <w:tcBorders>
              <w:top w:val="nil"/>
              <w:left w:val="nil"/>
              <w:bottom w:val="single" w:sz="8" w:space="0" w:color="auto"/>
              <w:right w:val="single" w:sz="8" w:space="0" w:color="auto"/>
            </w:tcBorders>
          </w:tcPr>
          <w:p w:rsidR="00684C4D" w:rsidRPr="00AA0B4F" w:rsidRDefault="00684C4D" w:rsidP="00230E01">
            <w:pPr>
              <w:spacing w:before="60"/>
              <w:ind w:left="576" w:right="720"/>
              <w:jc w:val="center"/>
              <w:rPr>
                <w:rFonts w:cs="Tahoma"/>
                <w:szCs w:val="18"/>
              </w:rPr>
            </w:pPr>
            <w:r w:rsidRPr="00AA0B4F">
              <w:rPr>
                <w:rFonts w:eastAsia="Calibri" w:cs="Tahoma"/>
                <w:color w:val="000000"/>
                <w:szCs w:val="18"/>
              </w:rPr>
              <w:t>CAL do Windows Small Business Server 2011</w:t>
            </w:r>
          </w:p>
          <w:p w:rsidR="00023FE7" w:rsidRPr="00AA0B4F" w:rsidRDefault="00023FE7">
            <w:pPr>
              <w:pStyle w:val="Bulletedlistflush"/>
              <w:ind w:left="576" w:right="720" w:firstLine="0"/>
              <w:jc w:val="center"/>
              <w:rPr>
                <w:rFonts w:ascii="Tahoma" w:hAnsi="Tahoma" w:cs="Tahoma"/>
                <w:sz w:val="18"/>
                <w:szCs w:val="18"/>
              </w:rPr>
            </w:pPr>
            <w:r w:rsidRPr="00AA0B4F">
              <w:rPr>
                <w:rFonts w:ascii="Tahoma" w:hAnsi="Tahoma" w:cs="Tahoma"/>
                <w:color w:val="000000"/>
                <w:sz w:val="18"/>
                <w:szCs w:val="18"/>
              </w:rPr>
              <w:t>CAL do Windows Small Business Server Standard 2008</w:t>
            </w:r>
          </w:p>
          <w:p w:rsidR="00023FE7" w:rsidRPr="00AA0B4F" w:rsidRDefault="00023FE7" w:rsidP="00230E01">
            <w:pPr>
              <w:pStyle w:val="Bulletedlistflush"/>
              <w:ind w:left="576" w:right="720" w:firstLine="0"/>
              <w:jc w:val="center"/>
              <w:rPr>
                <w:rFonts w:ascii="Tahoma" w:hAnsi="Tahoma" w:cs="Tahoma"/>
                <w:color w:val="000000"/>
                <w:sz w:val="18"/>
                <w:szCs w:val="18"/>
              </w:rPr>
            </w:pPr>
          </w:p>
        </w:tc>
      </w:tr>
      <w:tr w:rsidR="00023FE7" w:rsidRPr="00416070" w:rsidTr="0044720D">
        <w:trPr>
          <w:trHeight w:val="576"/>
        </w:trPr>
        <w:tc>
          <w:tcPr>
            <w:tcW w:w="3809" w:type="dxa"/>
            <w:tcBorders>
              <w:top w:val="nil"/>
              <w:left w:val="single" w:sz="8" w:space="0" w:color="auto"/>
              <w:bottom w:val="single" w:sz="8" w:space="0" w:color="auto"/>
              <w:right w:val="single" w:sz="8" w:space="0" w:color="auto"/>
            </w:tcBorders>
          </w:tcPr>
          <w:p w:rsidR="00023FE7" w:rsidRPr="008D38F6" w:rsidRDefault="00023FE7" w:rsidP="00F07AD2">
            <w:pPr>
              <w:spacing w:before="60"/>
              <w:ind w:left="360" w:right="119"/>
              <w:jc w:val="center"/>
              <w:rPr>
                <w:rFonts w:eastAsia="Calibri" w:cs="Tahoma"/>
                <w:szCs w:val="18"/>
                <w:lang w:val="pt-BR"/>
              </w:rPr>
            </w:pPr>
            <w:r w:rsidRPr="008D38F6">
              <w:rPr>
                <w:rFonts w:cs="Tahoma"/>
                <w:szCs w:val="18"/>
                <w:lang w:val="pt-BR"/>
              </w:rPr>
              <w:t>CAL do Small Business Server Premium 2011 (Dispositivo ou Usuário)</w:t>
            </w:r>
          </w:p>
        </w:tc>
        <w:tc>
          <w:tcPr>
            <w:tcW w:w="4298" w:type="dxa"/>
            <w:tcBorders>
              <w:top w:val="nil"/>
              <w:left w:val="nil"/>
              <w:bottom w:val="single" w:sz="8" w:space="0" w:color="auto"/>
              <w:right w:val="single" w:sz="8" w:space="0" w:color="auto"/>
            </w:tcBorders>
          </w:tcPr>
          <w:p w:rsidR="00684C4D" w:rsidRPr="00AA0B4F" w:rsidRDefault="00684C4D" w:rsidP="00230E01">
            <w:pPr>
              <w:spacing w:before="60"/>
              <w:ind w:left="576" w:right="720"/>
              <w:jc w:val="center"/>
              <w:rPr>
                <w:rFonts w:cs="Tahoma"/>
                <w:szCs w:val="18"/>
              </w:rPr>
            </w:pPr>
            <w:r w:rsidRPr="00AA0B4F">
              <w:rPr>
                <w:rFonts w:eastAsia="Calibri" w:cs="Tahoma"/>
                <w:color w:val="000000"/>
                <w:szCs w:val="18"/>
              </w:rPr>
              <w:t>CAL do Windows Small Business Server Premium 2011</w:t>
            </w:r>
          </w:p>
          <w:p w:rsidR="00023FE7" w:rsidRPr="00AA0B4F" w:rsidRDefault="00023FE7">
            <w:pPr>
              <w:pStyle w:val="Bulletedlistflush"/>
              <w:ind w:left="576" w:right="720" w:firstLine="0"/>
              <w:jc w:val="center"/>
              <w:rPr>
                <w:rFonts w:ascii="Tahoma" w:hAnsi="Tahoma" w:cs="Tahoma"/>
                <w:sz w:val="18"/>
                <w:szCs w:val="18"/>
              </w:rPr>
            </w:pPr>
            <w:r w:rsidRPr="00AA0B4F">
              <w:rPr>
                <w:rFonts w:ascii="Tahoma" w:hAnsi="Tahoma" w:cs="Tahoma"/>
                <w:color w:val="000000"/>
                <w:sz w:val="18"/>
                <w:szCs w:val="18"/>
              </w:rPr>
              <w:t>CAL do Windows Small Business Server Premium 2008</w:t>
            </w:r>
          </w:p>
          <w:p w:rsidR="00023FE7" w:rsidRPr="00AA0B4F" w:rsidRDefault="00023FE7" w:rsidP="00230E01">
            <w:pPr>
              <w:pStyle w:val="Bulletedlistflush"/>
              <w:ind w:left="576" w:right="720" w:firstLine="0"/>
              <w:jc w:val="center"/>
              <w:rPr>
                <w:rFonts w:ascii="Tahoma" w:hAnsi="Tahoma" w:cs="Tahoma"/>
                <w:sz w:val="18"/>
                <w:szCs w:val="18"/>
              </w:rPr>
            </w:pPr>
          </w:p>
        </w:tc>
      </w:tr>
      <w:tr w:rsidR="00023FE7" w:rsidRPr="00416070" w:rsidTr="0044720D">
        <w:trPr>
          <w:trHeight w:val="576"/>
        </w:trPr>
        <w:tc>
          <w:tcPr>
            <w:tcW w:w="3809" w:type="dxa"/>
            <w:tcBorders>
              <w:top w:val="nil"/>
              <w:left w:val="single" w:sz="8" w:space="0" w:color="auto"/>
              <w:bottom w:val="single" w:sz="8" w:space="0" w:color="auto"/>
              <w:right w:val="single" w:sz="8" w:space="0" w:color="auto"/>
            </w:tcBorders>
          </w:tcPr>
          <w:p w:rsidR="00023FE7" w:rsidRPr="008D38F6" w:rsidRDefault="00023FE7" w:rsidP="00F07AD2">
            <w:pPr>
              <w:spacing w:before="60"/>
              <w:ind w:left="360" w:right="299"/>
              <w:jc w:val="center"/>
              <w:rPr>
                <w:rFonts w:cs="Tahoma"/>
                <w:szCs w:val="18"/>
                <w:lang w:val="pt-BR"/>
              </w:rPr>
            </w:pPr>
            <w:r w:rsidRPr="008D38F6">
              <w:rPr>
                <w:rFonts w:cs="Tahoma"/>
                <w:szCs w:val="18"/>
                <w:lang w:val="pt-BR"/>
              </w:rPr>
              <w:t>CAL do Essential Business Server Standard 2008 (Dispositivo ou Usuário)</w:t>
            </w:r>
          </w:p>
          <w:p w:rsidR="00230E01" w:rsidRPr="008D38F6"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AA0B4F" w:rsidRDefault="00023FE7" w:rsidP="00230E01">
            <w:pPr>
              <w:pStyle w:val="Bulletedlistflush"/>
              <w:spacing w:before="60"/>
              <w:ind w:left="576" w:right="720" w:firstLine="0"/>
              <w:jc w:val="center"/>
              <w:rPr>
                <w:rFonts w:ascii="Tahoma" w:hAnsi="Tahoma" w:cs="Tahoma"/>
                <w:sz w:val="18"/>
                <w:szCs w:val="18"/>
              </w:rPr>
            </w:pPr>
            <w:r w:rsidRPr="00AA0B4F">
              <w:rPr>
                <w:rFonts w:ascii="Tahoma" w:hAnsi="Tahoma" w:cs="Tahoma"/>
                <w:sz w:val="18"/>
                <w:szCs w:val="18"/>
              </w:rPr>
              <w:t>CAL do Windows Essential Business Server Standard 2008</w:t>
            </w:r>
          </w:p>
        </w:tc>
      </w:tr>
      <w:tr w:rsidR="00023FE7" w:rsidRPr="00416070" w:rsidTr="0044720D">
        <w:trPr>
          <w:trHeight w:val="576"/>
        </w:trPr>
        <w:tc>
          <w:tcPr>
            <w:tcW w:w="3809" w:type="dxa"/>
            <w:tcBorders>
              <w:top w:val="nil"/>
              <w:left w:val="single" w:sz="8" w:space="0" w:color="auto"/>
              <w:bottom w:val="single" w:sz="8" w:space="0" w:color="auto"/>
              <w:right w:val="single" w:sz="8" w:space="0" w:color="auto"/>
            </w:tcBorders>
          </w:tcPr>
          <w:p w:rsidR="00023FE7" w:rsidRPr="008D38F6" w:rsidRDefault="00023FE7" w:rsidP="00F07AD2">
            <w:pPr>
              <w:spacing w:before="60"/>
              <w:ind w:left="360" w:right="299"/>
              <w:jc w:val="center"/>
              <w:rPr>
                <w:rFonts w:cs="Tahoma"/>
                <w:szCs w:val="18"/>
                <w:lang w:val="pt-BR"/>
              </w:rPr>
            </w:pPr>
            <w:r w:rsidRPr="008D38F6">
              <w:rPr>
                <w:rFonts w:cs="Tahoma"/>
                <w:szCs w:val="18"/>
                <w:lang w:val="pt-BR"/>
              </w:rPr>
              <w:t>CAL do Essential Business Server Premium 2008 (Dispositivo ou Usuário)</w:t>
            </w:r>
          </w:p>
          <w:p w:rsidR="00230E01" w:rsidRPr="008D38F6"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AA0B4F" w:rsidRDefault="00023FE7" w:rsidP="00230E01">
            <w:pPr>
              <w:pStyle w:val="Bulletedlistflush"/>
              <w:spacing w:before="60"/>
              <w:ind w:left="576" w:right="720" w:firstLine="0"/>
              <w:jc w:val="center"/>
              <w:rPr>
                <w:rFonts w:ascii="Tahoma" w:hAnsi="Tahoma" w:cs="Tahoma"/>
                <w:sz w:val="18"/>
                <w:szCs w:val="18"/>
              </w:rPr>
            </w:pPr>
            <w:r w:rsidRPr="00AA0B4F">
              <w:rPr>
                <w:rFonts w:ascii="Tahoma" w:hAnsi="Tahoma" w:cs="Tahoma"/>
                <w:sz w:val="18"/>
                <w:szCs w:val="18"/>
              </w:rPr>
              <w:t>CAL do Windows Essential Business Server Premium 2008</w:t>
            </w:r>
          </w:p>
        </w:tc>
      </w:tr>
      <w:tr w:rsidR="00023FE7" w:rsidRPr="00416070" w:rsidTr="0044720D">
        <w:trPr>
          <w:trHeight w:val="576"/>
        </w:trPr>
        <w:tc>
          <w:tcPr>
            <w:tcW w:w="3809" w:type="dxa"/>
            <w:tcBorders>
              <w:top w:val="nil"/>
              <w:left w:val="single" w:sz="8" w:space="0" w:color="auto"/>
              <w:bottom w:val="single" w:sz="8" w:space="0" w:color="auto"/>
              <w:right w:val="single" w:sz="8" w:space="0" w:color="auto"/>
            </w:tcBorders>
          </w:tcPr>
          <w:p w:rsidR="00023FE7" w:rsidRPr="00AA0B4F" w:rsidRDefault="00023FE7" w:rsidP="00230E01">
            <w:pPr>
              <w:spacing w:before="60"/>
              <w:ind w:left="360" w:right="720"/>
              <w:jc w:val="center"/>
              <w:rPr>
                <w:rFonts w:eastAsia="Calibri" w:cs="Tahoma"/>
                <w:szCs w:val="18"/>
              </w:rPr>
            </w:pPr>
            <w:r w:rsidRPr="00AA0B4F">
              <w:rPr>
                <w:rFonts w:cs="Tahoma"/>
                <w:szCs w:val="18"/>
              </w:rPr>
              <w:t>Atualização do Windows 8 Pro</w:t>
            </w:r>
          </w:p>
        </w:tc>
        <w:tc>
          <w:tcPr>
            <w:tcW w:w="4298" w:type="dxa"/>
            <w:tcBorders>
              <w:top w:val="nil"/>
              <w:left w:val="nil"/>
              <w:bottom w:val="single" w:sz="8" w:space="0" w:color="auto"/>
              <w:right w:val="single" w:sz="8" w:space="0" w:color="auto"/>
            </w:tcBorders>
          </w:tcPr>
          <w:p w:rsidR="008B6EDD" w:rsidRPr="00AA0B4F" w:rsidRDefault="008B6EDD" w:rsidP="00230E01">
            <w:pPr>
              <w:pStyle w:val="Bulletedlistflush"/>
              <w:spacing w:before="60"/>
              <w:ind w:left="576" w:right="720" w:firstLine="0"/>
              <w:jc w:val="center"/>
              <w:rPr>
                <w:rFonts w:ascii="Tahoma" w:hAnsi="Tahoma" w:cs="Tahoma"/>
                <w:sz w:val="18"/>
                <w:szCs w:val="18"/>
              </w:rPr>
            </w:pPr>
            <w:r w:rsidRPr="00AA0B4F">
              <w:rPr>
                <w:rFonts w:ascii="Tahoma" w:hAnsi="Tahoma" w:cs="Tahoma"/>
                <w:sz w:val="18"/>
                <w:szCs w:val="18"/>
              </w:rPr>
              <w:t>Windows 8 Pro</w:t>
            </w:r>
          </w:p>
          <w:p w:rsidR="00023FE7" w:rsidRPr="00AA0B4F" w:rsidRDefault="00023FE7" w:rsidP="008B6EDD">
            <w:pPr>
              <w:pStyle w:val="Bulletedlistflush"/>
              <w:ind w:left="576" w:right="720" w:firstLine="0"/>
              <w:jc w:val="center"/>
              <w:rPr>
                <w:rFonts w:ascii="Tahoma" w:hAnsi="Tahoma" w:cs="Tahoma"/>
                <w:sz w:val="18"/>
                <w:szCs w:val="18"/>
              </w:rPr>
            </w:pPr>
            <w:r w:rsidRPr="00AA0B4F">
              <w:rPr>
                <w:rFonts w:ascii="Tahoma" w:hAnsi="Tahoma" w:cs="Tahoma"/>
                <w:sz w:val="18"/>
                <w:szCs w:val="18"/>
              </w:rPr>
              <w:t>Windows 7 Professional</w:t>
            </w:r>
          </w:p>
        </w:tc>
      </w:tr>
    </w:tbl>
    <w:p w:rsidR="00991DD4" w:rsidRPr="00416070" w:rsidRDefault="00991DD4"/>
    <w:p w:rsidR="00456002" w:rsidRPr="00416070" w:rsidRDefault="00456002" w:rsidP="00456002">
      <w:pPr>
        <w:pStyle w:val="Heading2"/>
        <w:ind w:left="0"/>
      </w:pPr>
      <w:bookmarkStart w:id="681" w:name="_Toc336338195"/>
      <w:bookmarkStart w:id="682" w:name="_Toc352234263"/>
      <w:r w:rsidRPr="00416070">
        <w:rPr>
          <w:rFonts w:ascii="Tahoma" w:hAnsi="Tahoma" w:cs="Tahoma"/>
        </w:rPr>
        <w:t>Termos de Programa Atualizados dos Contratos Enterprise e Subscription</w:t>
      </w:r>
      <w:bookmarkEnd w:id="681"/>
      <w:bookmarkEnd w:id="682"/>
    </w:p>
    <w:p w:rsidR="00456002" w:rsidRPr="008D38F6" w:rsidRDefault="00456002" w:rsidP="00456002">
      <w:pPr>
        <w:tabs>
          <w:tab w:val="left" w:pos="360"/>
        </w:tabs>
        <w:rPr>
          <w:lang w:val="pt-BR"/>
        </w:rPr>
      </w:pPr>
    </w:p>
    <w:p w:rsidR="00456002" w:rsidRPr="008D38F6" w:rsidRDefault="00456002" w:rsidP="00F06EC5">
      <w:pPr>
        <w:keepNext/>
        <w:spacing w:after="60"/>
        <w:outlineLvl w:val="3"/>
        <w:rPr>
          <w:lang w:val="pt-BR"/>
        </w:rPr>
      </w:pPr>
      <w:r w:rsidRPr="008D38F6">
        <w:rPr>
          <w:rFonts w:cs="Tahoma"/>
          <w:b/>
          <w:szCs w:val="20"/>
          <w:lang w:val="pt-BR"/>
        </w:rPr>
        <w:t>Serviços Online Enterprise que satisfazem os requisitos do Produto Enterprise</w:t>
      </w:r>
    </w:p>
    <w:p w:rsidR="00456002" w:rsidRPr="008D38F6" w:rsidRDefault="00456002" w:rsidP="00366502">
      <w:pPr>
        <w:tabs>
          <w:tab w:val="left" w:pos="360"/>
        </w:tabs>
        <w:rPr>
          <w:lang w:val="pt-BR"/>
        </w:rPr>
      </w:pPr>
      <w:r w:rsidRPr="008D38F6">
        <w:rPr>
          <w:rFonts w:cs="Tahoma"/>
          <w:b/>
          <w:szCs w:val="20"/>
          <w:lang w:val="pt-BR"/>
        </w:rPr>
        <w:t>Observação:</w:t>
      </w:r>
      <w:r w:rsidRPr="008D38F6">
        <w:rPr>
          <w:rFonts w:cs="Tahoma"/>
          <w:szCs w:val="20"/>
          <w:lang w:val="pt-BR"/>
        </w:rPr>
        <w:t xml:space="preserve"> O seguinte se aplica aos clientes do Registro Enterprise e Enterprise Subscription qualificados para comprar os Serviços Online Enterprise.</w:t>
      </w:r>
      <w:r w:rsidR="00FB5496" w:rsidRPr="008D38F6">
        <w:rPr>
          <w:rFonts w:cs="Tahoma"/>
          <w:szCs w:val="20"/>
          <w:lang w:val="pt-BR"/>
        </w:rPr>
        <w:t xml:space="preserve"> </w:t>
      </w:r>
      <w:r w:rsidRPr="008D38F6">
        <w:rPr>
          <w:rFonts w:cs="Tahoma"/>
          <w:szCs w:val="20"/>
          <w:lang w:val="pt-BR"/>
        </w:rPr>
        <w:t>Os clientes que tiverem dúvidas sobre sua qualificação para comprar os Serviços Online Enterprise devem entrar em contato com o Consultor de Software, Revendedor ou Gerente de Conta</w:t>
      </w:r>
      <w:r w:rsidR="00F07AD2" w:rsidRPr="008D38F6">
        <w:rPr>
          <w:rFonts w:cs="Tahoma"/>
          <w:szCs w:val="20"/>
          <w:lang w:val="pt-BR"/>
        </w:rPr>
        <w:t> </w:t>
      </w:r>
      <w:r w:rsidRPr="008D38F6">
        <w:rPr>
          <w:rFonts w:cs="Tahoma"/>
          <w:szCs w:val="20"/>
          <w:lang w:val="pt-BR"/>
        </w:rPr>
        <w:t>Microsoft para obter mais informações.</w:t>
      </w:r>
    </w:p>
    <w:p w:rsidR="00456002" w:rsidRPr="008D38F6" w:rsidRDefault="00456002" w:rsidP="00366502">
      <w:pPr>
        <w:tabs>
          <w:tab w:val="left" w:pos="360"/>
        </w:tabs>
        <w:rPr>
          <w:lang w:val="pt-BR"/>
        </w:rPr>
      </w:pPr>
    </w:p>
    <w:p w:rsidR="00456002" w:rsidRPr="008D38F6" w:rsidRDefault="00456002" w:rsidP="00366502">
      <w:pPr>
        <w:tabs>
          <w:tab w:val="left" w:pos="360"/>
        </w:tabs>
        <w:rPr>
          <w:lang w:val="pt-BR"/>
        </w:rPr>
      </w:pPr>
      <w:r w:rsidRPr="008D38F6">
        <w:rPr>
          <w:rFonts w:cs="Tahoma"/>
          <w:szCs w:val="20"/>
          <w:lang w:val="pt-BR"/>
        </w:rPr>
        <w:t>Uma combinação dos Produtos Enterprise e dos Serviços Online Enterprise pode ser usada para atender aos requisitos de toda a Empresa em um Registro Enterprise ou Enterprise Subscription.</w:t>
      </w:r>
    </w:p>
    <w:p w:rsidR="00456002" w:rsidRPr="008D38F6" w:rsidRDefault="0045600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456002" w:rsidRPr="008D38F6" w:rsidRDefault="00456002" w:rsidP="00366502">
      <w:pPr>
        <w:tabs>
          <w:tab w:val="left" w:pos="360"/>
        </w:tabs>
        <w:rPr>
          <w:lang w:val="pt-BR"/>
        </w:rPr>
      </w:pPr>
      <w:r w:rsidRPr="008D38F6">
        <w:rPr>
          <w:rFonts w:cs="Tahoma"/>
          <w:szCs w:val="20"/>
          <w:lang w:val="pt-BR"/>
        </w:rPr>
        <w:lastRenderedPageBreak/>
        <w:t>A tabela a seguir identifica os Serviços Online Enterprise e as CALs necessárias (se aplicável) que atendem aos requisitos de toda a Empresa para Produtos Enterprise.</w:t>
      </w:r>
    </w:p>
    <w:p w:rsidR="00456002" w:rsidRPr="008D38F6" w:rsidRDefault="00456002" w:rsidP="0055442E">
      <w:pPr>
        <w:ind w:left="720"/>
        <w:rPr>
          <w:lang w:val="pt-B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16070"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16070" w:rsidRDefault="00456002" w:rsidP="005C647E">
            <w:pPr>
              <w:keepNext/>
              <w:jc w:val="center"/>
              <w:rPr>
                <w:rFonts w:cs="Tahoma"/>
                <w:b/>
              </w:rPr>
            </w:pPr>
            <w:r w:rsidRPr="00416070">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416070" w:rsidRDefault="00456002" w:rsidP="005C647E">
            <w:pPr>
              <w:keepNext/>
              <w:jc w:val="center"/>
              <w:rPr>
                <w:rFonts w:cs="Tahoma"/>
                <w:b/>
              </w:rPr>
            </w:pPr>
            <w:r w:rsidRPr="00416070">
              <w:rPr>
                <w:rFonts w:cs="Tahoma"/>
                <w:b/>
                <w:bCs/>
              </w:rPr>
              <w:t>Serviços Online Enterprise***</w:t>
            </w:r>
          </w:p>
        </w:tc>
      </w:tr>
      <w:tr w:rsidR="00E71EB9" w:rsidRPr="00416070"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416070" w:rsidRDefault="00E71EB9" w:rsidP="005C647E">
            <w:pPr>
              <w:ind w:left="144"/>
              <w:rPr>
                <w:rFonts w:cs="Tahoma"/>
                <w:szCs w:val="18"/>
              </w:rPr>
            </w:pPr>
            <w:r w:rsidRPr="00416070">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416070" w:rsidRDefault="00E71EB9" w:rsidP="00F06EC5">
            <w:pPr>
              <w:numPr>
                <w:ilvl w:val="0"/>
                <w:numId w:val="47"/>
              </w:numPr>
              <w:spacing w:before="60" w:after="60"/>
              <w:ind w:left="907"/>
            </w:pPr>
            <w:r w:rsidRPr="00416070">
              <w:rPr>
                <w:rFonts w:cs="Tahoma"/>
                <w:color w:val="000000"/>
                <w:szCs w:val="18"/>
              </w:rPr>
              <w:t>Office 365 (Enterprise E2)</w:t>
            </w:r>
          </w:p>
          <w:p w:rsidR="00E71EB9" w:rsidRPr="00416070" w:rsidRDefault="00E71EB9" w:rsidP="00822871">
            <w:pPr>
              <w:numPr>
                <w:ilvl w:val="0"/>
                <w:numId w:val="47"/>
              </w:numPr>
              <w:spacing w:after="60"/>
              <w:ind w:left="907"/>
            </w:pPr>
            <w:r w:rsidRPr="00416070">
              <w:rPr>
                <w:rFonts w:cs="Tahoma"/>
                <w:color w:val="000000"/>
                <w:szCs w:val="18"/>
              </w:rPr>
              <w:t>Office 365 (Enterprise E3)</w:t>
            </w:r>
          </w:p>
          <w:p w:rsidR="00E71EB9" w:rsidRPr="00416070" w:rsidRDefault="00E71EB9" w:rsidP="00822871">
            <w:pPr>
              <w:numPr>
                <w:ilvl w:val="0"/>
                <w:numId w:val="47"/>
              </w:numPr>
              <w:spacing w:after="60"/>
              <w:ind w:left="907"/>
            </w:pPr>
            <w:r w:rsidRPr="00416070">
              <w:rPr>
                <w:rFonts w:cs="Tahoma"/>
                <w:color w:val="000000"/>
                <w:szCs w:val="18"/>
              </w:rPr>
              <w:t xml:space="preserve">Office 365 (Enterprise E4) </w:t>
            </w:r>
          </w:p>
          <w:p w:rsidR="00E71EB9" w:rsidRPr="00416070" w:rsidRDefault="00E71EB9" w:rsidP="00822871">
            <w:pPr>
              <w:numPr>
                <w:ilvl w:val="0"/>
                <w:numId w:val="47"/>
              </w:numPr>
              <w:spacing w:after="60"/>
              <w:ind w:left="907"/>
            </w:pPr>
            <w:r w:rsidRPr="00416070">
              <w:rPr>
                <w:rFonts w:cs="Tahoma"/>
                <w:color w:val="000000"/>
                <w:szCs w:val="18"/>
              </w:rPr>
              <w:t>Office 365 (Government G2)</w:t>
            </w:r>
          </w:p>
          <w:p w:rsidR="00E71EB9" w:rsidRPr="00416070" w:rsidRDefault="00E71EB9" w:rsidP="00822871">
            <w:pPr>
              <w:numPr>
                <w:ilvl w:val="0"/>
                <w:numId w:val="47"/>
              </w:numPr>
              <w:spacing w:after="60"/>
              <w:ind w:left="907"/>
            </w:pPr>
            <w:r w:rsidRPr="00416070">
              <w:rPr>
                <w:rFonts w:cs="Tahoma"/>
                <w:color w:val="000000"/>
                <w:szCs w:val="18"/>
              </w:rPr>
              <w:t>Office 365 (Government G3)</w:t>
            </w:r>
          </w:p>
          <w:p w:rsidR="00E71EB9" w:rsidRPr="00416070" w:rsidRDefault="00E71EB9" w:rsidP="00822871">
            <w:pPr>
              <w:numPr>
                <w:ilvl w:val="0"/>
                <w:numId w:val="47"/>
              </w:numPr>
              <w:spacing w:after="60"/>
              <w:ind w:left="907"/>
            </w:pPr>
            <w:r w:rsidRPr="00416070">
              <w:rPr>
                <w:rFonts w:cs="Tahoma"/>
                <w:color w:val="000000"/>
                <w:szCs w:val="18"/>
              </w:rPr>
              <w:t>Office 365 (Government G4)</w:t>
            </w:r>
          </w:p>
          <w:p w:rsidR="00C571BD" w:rsidRPr="00416070" w:rsidRDefault="00C571BD" w:rsidP="00F06EC5">
            <w:pPr>
              <w:ind w:left="907"/>
              <w:rPr>
                <w:rFonts w:cs="Tahoma"/>
                <w:color w:val="000000"/>
                <w:szCs w:val="18"/>
              </w:rPr>
            </w:pPr>
          </w:p>
        </w:tc>
      </w:tr>
      <w:tr w:rsidR="00E71EB9" w:rsidRPr="00416070"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416070" w:rsidRDefault="00E71EB9" w:rsidP="005C647E">
            <w:pPr>
              <w:ind w:left="144"/>
              <w:rPr>
                <w:rFonts w:cs="Tahoma"/>
                <w:szCs w:val="18"/>
              </w:rPr>
            </w:pPr>
            <w:r w:rsidRPr="00416070">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416070" w:rsidRDefault="008368B4" w:rsidP="008368B4">
            <w:pPr>
              <w:numPr>
                <w:ilvl w:val="0"/>
                <w:numId w:val="47"/>
              </w:numPr>
              <w:spacing w:before="60" w:after="60"/>
              <w:ind w:left="907"/>
            </w:pPr>
            <w:r w:rsidRPr="00416070">
              <w:rPr>
                <w:rFonts w:cs="Tahoma"/>
                <w:color w:val="000000"/>
                <w:szCs w:val="18"/>
              </w:rPr>
              <w:t>Office 365 (Enterprise E1)*</w:t>
            </w:r>
          </w:p>
          <w:p w:rsidR="008368B4" w:rsidRPr="00416070" w:rsidRDefault="008368B4" w:rsidP="008368B4">
            <w:pPr>
              <w:numPr>
                <w:ilvl w:val="0"/>
                <w:numId w:val="47"/>
              </w:numPr>
              <w:spacing w:after="60"/>
            </w:pPr>
            <w:r w:rsidRPr="00416070">
              <w:rPr>
                <w:rFonts w:cs="Tahoma"/>
                <w:color w:val="000000"/>
                <w:szCs w:val="18"/>
              </w:rPr>
              <w:t>Office 365 (Enterprise E2)*</w:t>
            </w:r>
          </w:p>
          <w:p w:rsidR="008368B4" w:rsidRPr="00416070" w:rsidRDefault="008368B4" w:rsidP="008368B4">
            <w:pPr>
              <w:numPr>
                <w:ilvl w:val="0"/>
                <w:numId w:val="47"/>
              </w:numPr>
              <w:spacing w:after="60"/>
            </w:pPr>
            <w:r w:rsidRPr="00416070">
              <w:rPr>
                <w:rFonts w:cs="Tahoma"/>
                <w:color w:val="000000"/>
                <w:szCs w:val="18"/>
              </w:rPr>
              <w:t>Office 365 (Enterprise E3)*</w:t>
            </w:r>
          </w:p>
          <w:p w:rsidR="008368B4" w:rsidRPr="00416070" w:rsidRDefault="008368B4" w:rsidP="008368B4">
            <w:pPr>
              <w:numPr>
                <w:ilvl w:val="0"/>
                <w:numId w:val="47"/>
              </w:numPr>
              <w:spacing w:after="60"/>
            </w:pPr>
            <w:r w:rsidRPr="00416070">
              <w:rPr>
                <w:rFonts w:cs="Tahoma"/>
                <w:color w:val="000000"/>
                <w:szCs w:val="18"/>
              </w:rPr>
              <w:t>Office 365 (Enterprise E4)*</w:t>
            </w:r>
          </w:p>
          <w:p w:rsidR="008368B4" w:rsidRPr="00416070" w:rsidRDefault="008368B4" w:rsidP="008368B4">
            <w:pPr>
              <w:numPr>
                <w:ilvl w:val="0"/>
                <w:numId w:val="47"/>
              </w:numPr>
              <w:spacing w:after="60"/>
            </w:pPr>
            <w:r w:rsidRPr="00416070">
              <w:rPr>
                <w:rFonts w:cs="Tahoma"/>
                <w:color w:val="000000"/>
                <w:szCs w:val="18"/>
              </w:rPr>
              <w:t>Office 365 (Government G1)*</w:t>
            </w:r>
          </w:p>
          <w:p w:rsidR="008368B4" w:rsidRPr="00416070" w:rsidRDefault="008368B4" w:rsidP="008368B4">
            <w:pPr>
              <w:numPr>
                <w:ilvl w:val="0"/>
                <w:numId w:val="47"/>
              </w:numPr>
              <w:spacing w:after="60"/>
            </w:pPr>
            <w:r w:rsidRPr="00416070">
              <w:rPr>
                <w:rFonts w:cs="Tahoma"/>
                <w:color w:val="000000"/>
                <w:szCs w:val="18"/>
              </w:rPr>
              <w:t>Office 365 (Government G2)*</w:t>
            </w:r>
          </w:p>
          <w:p w:rsidR="008368B4" w:rsidRPr="00416070" w:rsidRDefault="004D2744" w:rsidP="008368B4">
            <w:pPr>
              <w:numPr>
                <w:ilvl w:val="0"/>
                <w:numId w:val="47"/>
              </w:numPr>
              <w:spacing w:after="60"/>
            </w:pPr>
            <w:r w:rsidRPr="00416070">
              <w:rPr>
                <w:rFonts w:cs="Tahoma"/>
                <w:color w:val="000000"/>
                <w:szCs w:val="18"/>
              </w:rPr>
              <w:t>Office 365 (Government G3)*</w:t>
            </w:r>
          </w:p>
          <w:p w:rsidR="008368B4" w:rsidRPr="00416070" w:rsidRDefault="008368B4" w:rsidP="008368B4">
            <w:pPr>
              <w:numPr>
                <w:ilvl w:val="0"/>
                <w:numId w:val="47"/>
              </w:numPr>
              <w:spacing w:after="60"/>
            </w:pPr>
            <w:r w:rsidRPr="00416070">
              <w:rPr>
                <w:rFonts w:cs="Tahoma"/>
                <w:color w:val="000000"/>
                <w:szCs w:val="18"/>
              </w:rPr>
              <w:t>Office 365 (Government G4)*</w:t>
            </w:r>
          </w:p>
          <w:p w:rsidR="00822871" w:rsidRPr="00416070" w:rsidRDefault="00E71EB9" w:rsidP="00822871">
            <w:pPr>
              <w:numPr>
                <w:ilvl w:val="0"/>
                <w:numId w:val="47"/>
              </w:numPr>
              <w:spacing w:after="60"/>
            </w:pPr>
            <w:r w:rsidRPr="00416070">
              <w:rPr>
                <w:rFonts w:cs="Tahoma"/>
                <w:color w:val="000000"/>
                <w:szCs w:val="18"/>
              </w:rPr>
              <w:t xml:space="preserve">Windows Intune* </w:t>
            </w:r>
          </w:p>
          <w:p w:rsidR="00822871" w:rsidRPr="00416070" w:rsidRDefault="00822871" w:rsidP="00F06EC5">
            <w:pPr>
              <w:ind w:left="907"/>
              <w:rPr>
                <w:rFonts w:cs="Tahoma"/>
                <w:color w:val="000000"/>
                <w:szCs w:val="18"/>
              </w:rPr>
            </w:pPr>
          </w:p>
        </w:tc>
      </w:tr>
      <w:tr w:rsidR="00E71EB9" w:rsidRPr="00416070"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416070" w:rsidRDefault="00E71EB9" w:rsidP="005C647E">
            <w:pPr>
              <w:ind w:left="144"/>
              <w:rPr>
                <w:rFonts w:cs="Tahoma"/>
                <w:szCs w:val="18"/>
              </w:rPr>
            </w:pPr>
            <w:r w:rsidRPr="00416070">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416070" w:rsidRDefault="008368B4" w:rsidP="008368B4">
            <w:pPr>
              <w:numPr>
                <w:ilvl w:val="0"/>
                <w:numId w:val="48"/>
              </w:numPr>
              <w:spacing w:before="60" w:after="60"/>
              <w:ind w:left="907"/>
            </w:pPr>
            <w:r w:rsidRPr="00416070">
              <w:rPr>
                <w:rFonts w:eastAsia="Calibri" w:cs="Tahoma"/>
                <w:color w:val="000000"/>
                <w:szCs w:val="18"/>
              </w:rPr>
              <w:t xml:space="preserve">Office 365 </w:t>
            </w:r>
            <w:r w:rsidRPr="00416070">
              <w:rPr>
                <w:rFonts w:cs="Tahoma"/>
                <w:color w:val="000000"/>
                <w:szCs w:val="18"/>
              </w:rPr>
              <w:t>(Enterprise E3)*</w:t>
            </w:r>
          </w:p>
          <w:p w:rsidR="008368B4" w:rsidRPr="00416070" w:rsidRDefault="008368B4" w:rsidP="008368B4">
            <w:pPr>
              <w:numPr>
                <w:ilvl w:val="0"/>
                <w:numId w:val="48"/>
              </w:numPr>
              <w:spacing w:after="60"/>
            </w:pPr>
            <w:r w:rsidRPr="00416070">
              <w:rPr>
                <w:rFonts w:eastAsia="Calibri" w:cs="Tahoma"/>
                <w:color w:val="000000"/>
                <w:szCs w:val="18"/>
              </w:rPr>
              <w:t xml:space="preserve">Office 365 </w:t>
            </w:r>
            <w:r w:rsidRPr="00416070">
              <w:rPr>
                <w:rFonts w:cs="Tahoma"/>
                <w:color w:val="000000"/>
                <w:szCs w:val="18"/>
              </w:rPr>
              <w:t>(Enterprise E4)*</w:t>
            </w:r>
          </w:p>
          <w:p w:rsidR="008368B4" w:rsidRPr="00416070" w:rsidRDefault="008368B4" w:rsidP="008368B4">
            <w:pPr>
              <w:numPr>
                <w:ilvl w:val="0"/>
                <w:numId w:val="48"/>
              </w:numPr>
              <w:spacing w:after="60"/>
            </w:pPr>
            <w:r w:rsidRPr="00416070">
              <w:rPr>
                <w:rFonts w:eastAsia="Calibri" w:cs="Tahoma"/>
                <w:color w:val="000000"/>
                <w:szCs w:val="18"/>
              </w:rPr>
              <w:t xml:space="preserve">Office 365 </w:t>
            </w:r>
            <w:r w:rsidRPr="00416070">
              <w:rPr>
                <w:rFonts w:cs="Tahoma"/>
                <w:color w:val="000000"/>
                <w:szCs w:val="18"/>
              </w:rPr>
              <w:t>(Government G3)*</w:t>
            </w:r>
          </w:p>
          <w:p w:rsidR="008368B4" w:rsidRPr="00416070" w:rsidRDefault="008368B4" w:rsidP="008368B4">
            <w:pPr>
              <w:numPr>
                <w:ilvl w:val="0"/>
                <w:numId w:val="48"/>
              </w:numPr>
              <w:spacing w:after="60"/>
            </w:pPr>
            <w:r w:rsidRPr="00416070">
              <w:rPr>
                <w:rFonts w:eastAsia="Calibri" w:cs="Tahoma"/>
                <w:color w:val="000000"/>
                <w:szCs w:val="18"/>
              </w:rPr>
              <w:t xml:space="preserve">Office 365 </w:t>
            </w:r>
            <w:r w:rsidRPr="00416070">
              <w:rPr>
                <w:rFonts w:cs="Tahoma"/>
                <w:color w:val="000000"/>
                <w:szCs w:val="18"/>
              </w:rPr>
              <w:t>(Government G4)*</w:t>
            </w:r>
          </w:p>
          <w:p w:rsidR="00822871" w:rsidRPr="00416070" w:rsidRDefault="00E71EB9" w:rsidP="00822871">
            <w:pPr>
              <w:numPr>
                <w:ilvl w:val="0"/>
                <w:numId w:val="48"/>
              </w:numPr>
              <w:spacing w:after="60"/>
            </w:pPr>
            <w:r w:rsidRPr="00416070">
              <w:rPr>
                <w:rFonts w:cs="Tahoma"/>
                <w:color w:val="000000"/>
                <w:szCs w:val="18"/>
              </w:rPr>
              <w:t>Windows Intune*</w:t>
            </w:r>
          </w:p>
          <w:p w:rsidR="00E71EB9" w:rsidRPr="00416070" w:rsidRDefault="00E71EB9" w:rsidP="0038120B">
            <w:pPr>
              <w:ind w:left="907"/>
              <w:rPr>
                <w:rFonts w:cs="Tahoma"/>
                <w:color w:val="000000"/>
                <w:szCs w:val="18"/>
              </w:rPr>
            </w:pPr>
            <w:r w:rsidRPr="00416070">
              <w:rPr>
                <w:rFonts w:cs="Tahoma"/>
                <w:color w:val="000000"/>
                <w:szCs w:val="18"/>
              </w:rPr>
              <w:t xml:space="preserve"> </w:t>
            </w:r>
          </w:p>
        </w:tc>
      </w:tr>
    </w:tbl>
    <w:p w:rsidR="00456002" w:rsidRPr="008D38F6" w:rsidRDefault="00456002" w:rsidP="00456002">
      <w:pPr>
        <w:tabs>
          <w:tab w:val="left" w:pos="360"/>
        </w:tabs>
        <w:ind w:left="720"/>
        <w:rPr>
          <w:sz w:val="16"/>
          <w:szCs w:val="16"/>
          <w:lang w:val="pt-BR"/>
        </w:rPr>
      </w:pPr>
      <w:r w:rsidRPr="008D38F6">
        <w:rPr>
          <w:rFonts w:cs="Tahoma"/>
          <w:i/>
          <w:sz w:val="16"/>
          <w:szCs w:val="16"/>
          <w:lang w:val="pt-BR"/>
        </w:rPr>
        <w:t>* Requer Bridge do Pacote de CALs adequado. Para obter mais informações sobre o Bridge do Pacote de CALs, consulte a</w:t>
      </w:r>
      <w:r w:rsidR="00F07AD2" w:rsidRPr="008D38F6">
        <w:rPr>
          <w:rFonts w:cs="Tahoma"/>
          <w:i/>
          <w:sz w:val="16"/>
          <w:szCs w:val="16"/>
          <w:lang w:val="pt-BR"/>
        </w:rPr>
        <w:t> </w:t>
      </w:r>
      <w:r w:rsidRPr="008D38F6">
        <w:rPr>
          <w:rFonts w:cs="Tahoma"/>
          <w:i/>
          <w:sz w:val="16"/>
          <w:szCs w:val="16"/>
          <w:lang w:val="pt-BR"/>
        </w:rPr>
        <w:t>seção de notas do produto neste documento.</w:t>
      </w:r>
    </w:p>
    <w:p w:rsidR="00456002" w:rsidRPr="008D38F6" w:rsidRDefault="00456002" w:rsidP="00456002">
      <w:pPr>
        <w:tabs>
          <w:tab w:val="left" w:pos="360"/>
        </w:tabs>
        <w:ind w:left="720"/>
        <w:rPr>
          <w:sz w:val="16"/>
          <w:szCs w:val="16"/>
          <w:lang w:val="pt-BR"/>
        </w:rPr>
      </w:pPr>
      <w:r w:rsidRPr="008D38F6">
        <w:rPr>
          <w:rFonts w:cs="Tahoma"/>
          <w:i/>
          <w:sz w:val="16"/>
          <w:szCs w:val="16"/>
          <w:lang w:val="pt-BR"/>
        </w:rPr>
        <w:t>**O Office Professional Plus no Office 365 e o Windows VDA são Produtos Empresariais e também podem atender aos requisitos para toda a Empresa.</w:t>
      </w:r>
    </w:p>
    <w:p w:rsidR="00456002" w:rsidRPr="008D38F6" w:rsidRDefault="00456002" w:rsidP="00366502">
      <w:pPr>
        <w:tabs>
          <w:tab w:val="left" w:pos="360"/>
        </w:tabs>
        <w:ind w:left="720"/>
        <w:rPr>
          <w:sz w:val="16"/>
          <w:szCs w:val="16"/>
          <w:lang w:val="pt-BR"/>
        </w:rPr>
      </w:pPr>
      <w:r w:rsidRPr="008D38F6">
        <w:rPr>
          <w:rFonts w:cs="Tahoma"/>
          <w:i/>
          <w:sz w:val="16"/>
          <w:szCs w:val="16"/>
          <w:lang w:val="pt-BR"/>
        </w:rPr>
        <w:t>*** Os Serviços Online Enterprise incluem somente USLs completas.</w:t>
      </w:r>
      <w:r w:rsidR="00FB5496" w:rsidRPr="008D38F6">
        <w:rPr>
          <w:rFonts w:cs="Tahoma"/>
          <w:i/>
          <w:sz w:val="16"/>
          <w:szCs w:val="16"/>
          <w:lang w:val="pt-BR"/>
        </w:rPr>
        <w:t xml:space="preserve"> </w:t>
      </w:r>
      <w:r w:rsidRPr="008D38F6">
        <w:rPr>
          <w:rFonts w:cs="Tahoma"/>
          <w:i/>
          <w:sz w:val="16"/>
          <w:szCs w:val="16"/>
          <w:lang w:val="pt-BR"/>
        </w:rPr>
        <w:t>As USLs do Software Assurance, que requerem CAL</w:t>
      </w:r>
      <w:r w:rsidR="00F07AD2" w:rsidRPr="008D38F6">
        <w:rPr>
          <w:rFonts w:cs="Tahoma"/>
          <w:i/>
          <w:sz w:val="16"/>
          <w:szCs w:val="16"/>
          <w:lang w:val="pt-BR"/>
        </w:rPr>
        <w:t> </w:t>
      </w:r>
      <w:r w:rsidRPr="008D38F6">
        <w:rPr>
          <w:rFonts w:cs="Tahoma"/>
          <w:i/>
          <w:sz w:val="16"/>
          <w:szCs w:val="16"/>
          <w:lang w:val="pt-BR"/>
        </w:rPr>
        <w:t>Principal ou CAL Empresarial para compra, não são Serviços Online Enterprise.</w:t>
      </w:r>
    </w:p>
    <w:p w:rsidR="00366502" w:rsidRPr="008D38F6" w:rsidRDefault="00366502" w:rsidP="00456002">
      <w:pPr>
        <w:tabs>
          <w:tab w:val="left" w:pos="360"/>
        </w:tabs>
        <w:ind w:left="720"/>
        <w:rPr>
          <w:sz w:val="16"/>
          <w:szCs w:val="16"/>
          <w:lang w:val="pt-BR"/>
        </w:rPr>
      </w:pPr>
    </w:p>
    <w:p w:rsidR="00456002" w:rsidRPr="008D38F6" w:rsidRDefault="00456002" w:rsidP="0055442E">
      <w:pPr>
        <w:tabs>
          <w:tab w:val="left" w:pos="360"/>
        </w:tabs>
        <w:spacing w:after="60"/>
        <w:rPr>
          <w:lang w:val="pt-BR"/>
        </w:rPr>
      </w:pPr>
      <w:r w:rsidRPr="008D38F6">
        <w:rPr>
          <w:rFonts w:cs="Tahoma"/>
          <w:b/>
          <w:szCs w:val="18"/>
          <w:lang w:val="pt-BR"/>
        </w:rPr>
        <w:t>Transições Permitidas</w:t>
      </w:r>
    </w:p>
    <w:p w:rsidR="00456002" w:rsidRPr="008D38F6" w:rsidRDefault="0014632E" w:rsidP="00366502">
      <w:pPr>
        <w:tabs>
          <w:tab w:val="left" w:pos="360"/>
        </w:tabs>
        <w:rPr>
          <w:lang w:val="pt-BR"/>
        </w:rPr>
      </w:pPr>
      <w:r w:rsidRPr="008D38F6">
        <w:rPr>
          <w:rFonts w:cs="Tahoma"/>
          <w:b/>
          <w:szCs w:val="20"/>
          <w:lang w:val="pt-BR"/>
        </w:rPr>
        <w:t xml:space="preserve">Observação: </w:t>
      </w:r>
      <w:r w:rsidRPr="008D38F6">
        <w:rPr>
          <w:rFonts w:cs="Tahoma"/>
          <w:szCs w:val="20"/>
          <w:lang w:val="pt-BR"/>
        </w:rPr>
        <w:t>O seguinte se aplica aos clientes do Registro Enterprise e Enterprise Subscription que tenham direitos de Transição.</w:t>
      </w:r>
      <w:r w:rsidR="00FB5496" w:rsidRPr="008D38F6">
        <w:rPr>
          <w:rFonts w:cs="Tahoma"/>
          <w:szCs w:val="20"/>
          <w:lang w:val="pt-BR"/>
        </w:rPr>
        <w:t xml:space="preserve"> </w:t>
      </w:r>
      <w:r w:rsidRPr="008D38F6">
        <w:rPr>
          <w:rFonts w:cs="Tahoma"/>
          <w:szCs w:val="20"/>
          <w:lang w:val="pt-BR"/>
        </w:rPr>
        <w:t>Os clientes que tiverem dúvidas sobre os direitos de Transição do seu registro devem entrar em contato com o Consultor de Software, Revendedor ou Gerente de Conta Microsoft para obter mais informações.</w:t>
      </w:r>
    </w:p>
    <w:p w:rsidR="00456002" w:rsidRPr="008D38F6" w:rsidRDefault="0045600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F07AD2" w:rsidRPr="008D38F6" w:rsidRDefault="00F07AD2" w:rsidP="00366502">
      <w:pPr>
        <w:tabs>
          <w:tab w:val="left" w:pos="360"/>
        </w:tabs>
        <w:rPr>
          <w:lang w:val="pt-BR"/>
        </w:rPr>
      </w:pPr>
    </w:p>
    <w:p w:rsidR="00456002" w:rsidRPr="008D38F6" w:rsidRDefault="00456002" w:rsidP="00366502">
      <w:pPr>
        <w:tabs>
          <w:tab w:val="left" w:pos="360"/>
        </w:tabs>
        <w:rPr>
          <w:lang w:val="pt-BR"/>
        </w:rPr>
      </w:pPr>
      <w:r w:rsidRPr="008D38F6">
        <w:rPr>
          <w:rFonts w:cs="Tahoma"/>
          <w:szCs w:val="20"/>
          <w:lang w:val="pt-BR"/>
        </w:rPr>
        <w:lastRenderedPageBreak/>
        <w:t>A tabela a seguir identifica os produtos qualificados para a Transição e as Transições permitidas.</w:t>
      </w:r>
      <w:r w:rsidR="00FB5496" w:rsidRPr="008D38F6">
        <w:rPr>
          <w:rFonts w:cs="Tahoma"/>
          <w:szCs w:val="20"/>
          <w:lang w:val="pt-BR"/>
        </w:rPr>
        <w:t xml:space="preserve"> </w:t>
      </w:r>
      <w:r w:rsidRPr="008D38F6">
        <w:rPr>
          <w:rFonts w:cs="Tahoma"/>
          <w:szCs w:val="20"/>
          <w:lang w:val="pt-BR"/>
        </w:rPr>
        <w:t>Ela inclui produtos submetidos a transição quando comprados como parte de uma plataforma de desktop.</w:t>
      </w:r>
    </w:p>
    <w:p w:rsidR="00456002" w:rsidRPr="008D38F6" w:rsidRDefault="00456002" w:rsidP="00456002">
      <w:pPr>
        <w:tabs>
          <w:tab w:val="left" w:pos="360"/>
        </w:tabs>
        <w:ind w:left="720"/>
        <w:rPr>
          <w:lang w:val="pt-B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16070"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8D38F6" w:rsidRDefault="00456002" w:rsidP="005C647E">
            <w:pPr>
              <w:keepNext/>
              <w:jc w:val="center"/>
              <w:rPr>
                <w:rFonts w:cs="Tahoma"/>
                <w:b/>
                <w:lang w:val="pt-BR"/>
              </w:rPr>
            </w:pPr>
            <w:r w:rsidRPr="008D38F6">
              <w:rPr>
                <w:rFonts w:cs="Tahoma"/>
                <w:b/>
                <w:lang w:val="pt-BR"/>
              </w:rPr>
              <w:t>Produtos Enterprise qualificados para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416070" w:rsidRDefault="00456002" w:rsidP="005C647E">
            <w:pPr>
              <w:keepNext/>
              <w:jc w:val="center"/>
              <w:rPr>
                <w:rFonts w:cs="Tahoma"/>
                <w:b/>
              </w:rPr>
            </w:pPr>
            <w:r w:rsidRPr="00416070">
              <w:rPr>
                <w:rFonts w:cs="Tahoma"/>
                <w:b/>
              </w:rPr>
              <w:t>Opções de Transições Válidas</w:t>
            </w:r>
          </w:p>
        </w:tc>
      </w:tr>
      <w:tr w:rsidR="00A32052" w:rsidRPr="00416070"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416070" w:rsidRDefault="00A32052" w:rsidP="005C647E">
            <w:pPr>
              <w:spacing w:before="60" w:after="60"/>
              <w:ind w:left="144"/>
              <w:rPr>
                <w:rFonts w:cs="Tahoma"/>
              </w:rPr>
            </w:pPr>
            <w:r w:rsidRPr="00416070">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rsidR="008368B4" w:rsidRPr="00416070" w:rsidRDefault="008368B4" w:rsidP="008368B4">
            <w:pPr>
              <w:numPr>
                <w:ilvl w:val="0"/>
                <w:numId w:val="49"/>
              </w:numPr>
              <w:spacing w:before="60" w:after="60"/>
            </w:pPr>
            <w:r w:rsidRPr="00416070">
              <w:rPr>
                <w:rFonts w:cs="Tahoma"/>
                <w:color w:val="000000"/>
                <w:szCs w:val="18"/>
              </w:rPr>
              <w:t>Office 365 (Enterprise E1)*</w:t>
            </w:r>
          </w:p>
          <w:p w:rsidR="008368B4" w:rsidRPr="00416070" w:rsidRDefault="008368B4" w:rsidP="008368B4">
            <w:pPr>
              <w:numPr>
                <w:ilvl w:val="0"/>
                <w:numId w:val="49"/>
              </w:numPr>
              <w:spacing w:after="60"/>
            </w:pPr>
            <w:r w:rsidRPr="00416070">
              <w:rPr>
                <w:rFonts w:cs="Tahoma"/>
                <w:color w:val="000000"/>
                <w:szCs w:val="18"/>
              </w:rPr>
              <w:t>Office 365 (Enterprise E2)*</w:t>
            </w:r>
          </w:p>
          <w:p w:rsidR="008368B4" w:rsidRPr="00416070" w:rsidRDefault="008368B4" w:rsidP="008368B4">
            <w:pPr>
              <w:numPr>
                <w:ilvl w:val="0"/>
                <w:numId w:val="49"/>
              </w:numPr>
              <w:spacing w:after="60"/>
            </w:pPr>
            <w:r w:rsidRPr="00416070">
              <w:rPr>
                <w:rFonts w:cs="Tahoma"/>
                <w:color w:val="000000"/>
                <w:szCs w:val="18"/>
              </w:rPr>
              <w:t>Office 365 (Enterprise E3)*</w:t>
            </w:r>
          </w:p>
          <w:p w:rsidR="008368B4" w:rsidRPr="00416070" w:rsidRDefault="008368B4" w:rsidP="008368B4">
            <w:pPr>
              <w:numPr>
                <w:ilvl w:val="0"/>
                <w:numId w:val="49"/>
              </w:numPr>
              <w:spacing w:after="60"/>
            </w:pPr>
            <w:r w:rsidRPr="00416070">
              <w:rPr>
                <w:rFonts w:cs="Tahoma"/>
                <w:color w:val="000000"/>
                <w:szCs w:val="18"/>
              </w:rPr>
              <w:t>Office 365 (Enterprise E4)*</w:t>
            </w:r>
          </w:p>
          <w:p w:rsidR="008368B4" w:rsidRPr="00416070" w:rsidRDefault="008368B4" w:rsidP="008368B4">
            <w:pPr>
              <w:numPr>
                <w:ilvl w:val="0"/>
                <w:numId w:val="49"/>
              </w:numPr>
              <w:spacing w:after="60"/>
            </w:pPr>
            <w:r w:rsidRPr="00416070">
              <w:rPr>
                <w:rFonts w:cs="Tahoma"/>
                <w:color w:val="000000"/>
                <w:szCs w:val="18"/>
              </w:rPr>
              <w:t>Office 365 (Government G1)*</w:t>
            </w:r>
          </w:p>
          <w:p w:rsidR="008368B4" w:rsidRPr="00416070" w:rsidRDefault="008368B4" w:rsidP="008368B4">
            <w:pPr>
              <w:numPr>
                <w:ilvl w:val="0"/>
                <w:numId w:val="49"/>
              </w:numPr>
              <w:spacing w:after="60"/>
            </w:pPr>
            <w:r w:rsidRPr="00416070">
              <w:rPr>
                <w:rFonts w:cs="Tahoma"/>
                <w:color w:val="000000"/>
                <w:szCs w:val="18"/>
              </w:rPr>
              <w:t>Office 365 (Government G2)*</w:t>
            </w:r>
          </w:p>
          <w:p w:rsidR="008368B4" w:rsidRPr="00416070" w:rsidRDefault="008368B4" w:rsidP="008368B4">
            <w:pPr>
              <w:numPr>
                <w:ilvl w:val="0"/>
                <w:numId w:val="49"/>
              </w:numPr>
              <w:spacing w:after="60"/>
            </w:pPr>
            <w:r w:rsidRPr="00416070">
              <w:rPr>
                <w:rFonts w:cs="Tahoma"/>
                <w:color w:val="000000"/>
                <w:szCs w:val="18"/>
              </w:rPr>
              <w:t>Office 365 (Government G3)*</w:t>
            </w:r>
          </w:p>
          <w:p w:rsidR="008368B4" w:rsidRPr="00416070" w:rsidRDefault="008368B4" w:rsidP="008368B4">
            <w:pPr>
              <w:numPr>
                <w:ilvl w:val="0"/>
                <w:numId w:val="49"/>
              </w:numPr>
              <w:spacing w:after="60"/>
            </w:pPr>
            <w:r w:rsidRPr="00416070">
              <w:rPr>
                <w:rFonts w:cs="Tahoma"/>
                <w:color w:val="000000"/>
                <w:szCs w:val="18"/>
              </w:rPr>
              <w:t>Office 365 (Government G4)*</w:t>
            </w:r>
          </w:p>
          <w:p w:rsidR="00A32052" w:rsidRPr="00416070" w:rsidRDefault="00A32052" w:rsidP="00024C3C">
            <w:pPr>
              <w:numPr>
                <w:ilvl w:val="0"/>
                <w:numId w:val="49"/>
              </w:numPr>
              <w:ind w:right="144"/>
            </w:pPr>
            <w:r w:rsidRPr="00416070">
              <w:rPr>
                <w:rFonts w:cs="Tahoma"/>
                <w:color w:val="000000"/>
              </w:rPr>
              <w:t>Windows Intune*</w:t>
            </w:r>
          </w:p>
          <w:p w:rsidR="00A32052" w:rsidRPr="00416070" w:rsidRDefault="00A32052" w:rsidP="0055442E">
            <w:pPr>
              <w:ind w:left="720" w:right="144"/>
              <w:rPr>
                <w:rFonts w:cs="Tahoma"/>
                <w:color w:val="000000"/>
              </w:rPr>
            </w:pPr>
          </w:p>
        </w:tc>
      </w:tr>
      <w:tr w:rsidR="00A32052" w:rsidRPr="00416070"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416070" w:rsidRDefault="00A32052" w:rsidP="005C647E">
            <w:pPr>
              <w:spacing w:before="60" w:after="60"/>
              <w:ind w:left="144"/>
              <w:rPr>
                <w:rFonts w:cs="Tahoma"/>
              </w:rPr>
            </w:pPr>
            <w:r w:rsidRPr="00416070">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416070" w:rsidRDefault="00A32052" w:rsidP="0055442E">
            <w:pPr>
              <w:numPr>
                <w:ilvl w:val="0"/>
                <w:numId w:val="49"/>
              </w:numPr>
              <w:spacing w:before="60" w:after="60"/>
            </w:pPr>
            <w:r w:rsidRPr="00416070">
              <w:rPr>
                <w:rFonts w:cs="Tahoma"/>
                <w:color w:val="000000"/>
                <w:szCs w:val="18"/>
              </w:rPr>
              <w:t>Office 365 (Enterprise E3)*</w:t>
            </w:r>
          </w:p>
          <w:p w:rsidR="00A32052" w:rsidRPr="00416070" w:rsidRDefault="00A32052" w:rsidP="00024C3C">
            <w:pPr>
              <w:numPr>
                <w:ilvl w:val="0"/>
                <w:numId w:val="49"/>
              </w:numPr>
              <w:spacing w:after="60"/>
            </w:pPr>
            <w:r w:rsidRPr="00416070">
              <w:rPr>
                <w:rFonts w:cs="Tahoma"/>
                <w:color w:val="000000"/>
                <w:szCs w:val="18"/>
              </w:rPr>
              <w:t>Office 365 (Enterprise E4)*</w:t>
            </w:r>
          </w:p>
          <w:p w:rsidR="004D2744" w:rsidRPr="00416070" w:rsidRDefault="004D2744" w:rsidP="004D2744">
            <w:pPr>
              <w:numPr>
                <w:ilvl w:val="0"/>
                <w:numId w:val="49"/>
              </w:numPr>
              <w:spacing w:after="60"/>
            </w:pPr>
            <w:r w:rsidRPr="00416070">
              <w:rPr>
                <w:rFonts w:cs="Tahoma"/>
                <w:color w:val="000000"/>
                <w:szCs w:val="18"/>
              </w:rPr>
              <w:t>Office 365 (Enterprise G3)*</w:t>
            </w:r>
          </w:p>
          <w:p w:rsidR="004D2744" w:rsidRPr="00416070" w:rsidRDefault="004D2744" w:rsidP="004D2744">
            <w:pPr>
              <w:numPr>
                <w:ilvl w:val="0"/>
                <w:numId w:val="49"/>
              </w:numPr>
              <w:spacing w:after="60"/>
            </w:pPr>
            <w:r w:rsidRPr="00416070">
              <w:rPr>
                <w:rFonts w:cs="Tahoma"/>
                <w:color w:val="000000"/>
                <w:szCs w:val="18"/>
              </w:rPr>
              <w:t>Office 365 (Enterprise G4)*</w:t>
            </w:r>
          </w:p>
          <w:p w:rsidR="00A32052" w:rsidRPr="00416070" w:rsidRDefault="00A32052" w:rsidP="00024C3C">
            <w:pPr>
              <w:numPr>
                <w:ilvl w:val="0"/>
                <w:numId w:val="49"/>
              </w:numPr>
              <w:ind w:right="144"/>
            </w:pPr>
            <w:r w:rsidRPr="00416070">
              <w:rPr>
                <w:rFonts w:cs="Tahoma"/>
                <w:color w:val="000000"/>
              </w:rPr>
              <w:t>Windows</w:t>
            </w:r>
            <w:r w:rsidR="00510A6E" w:rsidRPr="00416070">
              <w:rPr>
                <w:rFonts w:cs="Tahoma"/>
                <w:color w:val="000000"/>
                <w:vertAlign w:val="superscript"/>
              </w:rPr>
              <w:t>®</w:t>
            </w:r>
            <w:r w:rsidRPr="00416070">
              <w:rPr>
                <w:rFonts w:cs="Tahoma"/>
                <w:color w:val="000000"/>
              </w:rPr>
              <w:t xml:space="preserve"> Intune*</w:t>
            </w:r>
          </w:p>
          <w:p w:rsidR="00A32052" w:rsidRPr="00416070" w:rsidRDefault="00A32052" w:rsidP="00BD6C2C">
            <w:pPr>
              <w:ind w:right="144"/>
              <w:rPr>
                <w:rFonts w:cs="Tahoma"/>
                <w:color w:val="000000"/>
              </w:rPr>
            </w:pPr>
          </w:p>
        </w:tc>
      </w:tr>
      <w:tr w:rsidR="00A32052" w:rsidRPr="00B06414"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416070" w:rsidRDefault="00A32052" w:rsidP="005C647E">
            <w:pPr>
              <w:spacing w:before="60" w:after="60"/>
              <w:ind w:left="144"/>
              <w:rPr>
                <w:rFonts w:cs="Tahoma"/>
              </w:rPr>
            </w:pPr>
            <w:r w:rsidRPr="00416070">
              <w:rPr>
                <w:rFonts w:cs="Tahoma"/>
              </w:rPr>
              <w:t>Office Professional Plus</w:t>
            </w:r>
          </w:p>
        </w:tc>
        <w:tc>
          <w:tcPr>
            <w:tcW w:w="4334" w:type="dxa"/>
            <w:tcBorders>
              <w:top w:val="single" w:sz="8" w:space="0" w:color="auto"/>
              <w:left w:val="nil"/>
              <w:bottom w:val="nil"/>
              <w:right w:val="single" w:sz="8" w:space="0" w:color="auto"/>
            </w:tcBorders>
            <w:vAlign w:val="center"/>
          </w:tcPr>
          <w:p w:rsidR="004D2744" w:rsidRPr="00416070" w:rsidRDefault="00A32052" w:rsidP="008368B4">
            <w:pPr>
              <w:numPr>
                <w:ilvl w:val="0"/>
                <w:numId w:val="49"/>
              </w:numPr>
              <w:spacing w:after="60"/>
            </w:pPr>
            <w:r w:rsidRPr="00416070">
              <w:rPr>
                <w:rFonts w:cs="Tahoma"/>
                <w:color w:val="000000"/>
                <w:szCs w:val="18"/>
              </w:rPr>
              <w:t>Office 365 (Enterprise E2)*</w:t>
            </w:r>
          </w:p>
          <w:p w:rsidR="00A32052" w:rsidRPr="00416070" w:rsidRDefault="00A32052" w:rsidP="008368B4">
            <w:pPr>
              <w:numPr>
                <w:ilvl w:val="0"/>
                <w:numId w:val="49"/>
              </w:numPr>
              <w:spacing w:after="60"/>
            </w:pPr>
            <w:r w:rsidRPr="00416070">
              <w:rPr>
                <w:rFonts w:cs="Tahoma"/>
                <w:color w:val="000000"/>
                <w:szCs w:val="18"/>
              </w:rPr>
              <w:t>Office 365 (Enterprise E3)*</w:t>
            </w:r>
          </w:p>
          <w:p w:rsidR="00A32052" w:rsidRPr="00416070" w:rsidRDefault="00A32052" w:rsidP="00366502">
            <w:pPr>
              <w:numPr>
                <w:ilvl w:val="0"/>
                <w:numId w:val="49"/>
              </w:numPr>
              <w:spacing w:after="60"/>
            </w:pPr>
            <w:r w:rsidRPr="00416070">
              <w:rPr>
                <w:rFonts w:cs="Tahoma"/>
                <w:color w:val="000000"/>
                <w:szCs w:val="18"/>
              </w:rPr>
              <w:t>Office 365 (Enterprise E4)*</w:t>
            </w:r>
          </w:p>
          <w:p w:rsidR="00A32052" w:rsidRPr="00416070" w:rsidRDefault="00A32052" w:rsidP="00024C3C">
            <w:pPr>
              <w:numPr>
                <w:ilvl w:val="0"/>
                <w:numId w:val="49"/>
              </w:numPr>
              <w:spacing w:after="60"/>
            </w:pPr>
            <w:r w:rsidRPr="00416070">
              <w:rPr>
                <w:rFonts w:cs="Tahoma"/>
                <w:color w:val="000000"/>
                <w:szCs w:val="18"/>
              </w:rPr>
              <w:t xml:space="preserve">Office 365 (Government G2) </w:t>
            </w:r>
          </w:p>
          <w:p w:rsidR="00A32052" w:rsidRPr="00416070" w:rsidRDefault="00A32052" w:rsidP="00024C3C">
            <w:pPr>
              <w:numPr>
                <w:ilvl w:val="0"/>
                <w:numId w:val="49"/>
              </w:numPr>
              <w:spacing w:after="60"/>
            </w:pPr>
            <w:r w:rsidRPr="00416070">
              <w:rPr>
                <w:rFonts w:cs="Tahoma"/>
                <w:color w:val="000000"/>
                <w:szCs w:val="18"/>
              </w:rPr>
              <w:t>Office 365 (Government G3)</w:t>
            </w:r>
          </w:p>
          <w:p w:rsidR="00A32052" w:rsidRPr="00416070" w:rsidRDefault="00A32052" w:rsidP="00366502">
            <w:pPr>
              <w:numPr>
                <w:ilvl w:val="0"/>
                <w:numId w:val="49"/>
              </w:numPr>
              <w:spacing w:after="60"/>
            </w:pPr>
            <w:r w:rsidRPr="00416070">
              <w:rPr>
                <w:rFonts w:cs="Tahoma"/>
                <w:color w:val="000000"/>
                <w:szCs w:val="18"/>
              </w:rPr>
              <w:t>Office 365 (Government G4)</w:t>
            </w:r>
          </w:p>
          <w:p w:rsidR="00A32052" w:rsidRPr="008D38F6" w:rsidRDefault="00A32052" w:rsidP="00366502">
            <w:pPr>
              <w:numPr>
                <w:ilvl w:val="0"/>
                <w:numId w:val="49"/>
              </w:numPr>
              <w:spacing w:after="60"/>
              <w:rPr>
                <w:lang w:val="fr-FR"/>
              </w:rPr>
            </w:pPr>
            <w:r w:rsidRPr="008D38F6">
              <w:rPr>
                <w:rFonts w:cs="Tahoma"/>
                <w:color w:val="000000"/>
                <w:szCs w:val="18"/>
                <w:lang w:val="fr-FR"/>
              </w:rPr>
              <w:t>Office Professional Plus para Office 365</w:t>
            </w:r>
          </w:p>
          <w:p w:rsidR="002D25C8" w:rsidRPr="008D38F6" w:rsidRDefault="002D25C8" w:rsidP="0055442E">
            <w:pPr>
              <w:ind w:left="720"/>
              <w:rPr>
                <w:rFonts w:cs="Tahoma"/>
                <w:color w:val="000000"/>
                <w:lang w:val="fr-FR"/>
              </w:rPr>
            </w:pPr>
          </w:p>
        </w:tc>
      </w:tr>
      <w:tr w:rsidR="00A32052" w:rsidRPr="00416070"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416070" w:rsidRDefault="00A32052" w:rsidP="005C647E">
            <w:pPr>
              <w:spacing w:before="60" w:after="60"/>
              <w:ind w:left="144"/>
              <w:rPr>
                <w:rFonts w:cs="Tahoma"/>
              </w:rPr>
            </w:pPr>
            <w:r w:rsidRPr="00416070">
              <w:rPr>
                <w:rFonts w:cs="Tahoma"/>
              </w:rPr>
              <w:t>Office Professional Plus e Pacote de CALs Principais</w:t>
            </w:r>
          </w:p>
        </w:tc>
        <w:tc>
          <w:tcPr>
            <w:tcW w:w="4334" w:type="dxa"/>
            <w:tcBorders>
              <w:top w:val="single" w:sz="8" w:space="0" w:color="auto"/>
              <w:left w:val="nil"/>
              <w:bottom w:val="nil"/>
              <w:right w:val="single" w:sz="8" w:space="0" w:color="auto"/>
            </w:tcBorders>
            <w:vAlign w:val="center"/>
          </w:tcPr>
          <w:p w:rsidR="008368B4" w:rsidRPr="00416070" w:rsidRDefault="008368B4" w:rsidP="008368B4">
            <w:pPr>
              <w:numPr>
                <w:ilvl w:val="0"/>
                <w:numId w:val="49"/>
              </w:numPr>
              <w:spacing w:before="60" w:after="60"/>
            </w:pPr>
            <w:r w:rsidRPr="00416070">
              <w:rPr>
                <w:rFonts w:cs="Tahoma"/>
                <w:color w:val="000000"/>
                <w:szCs w:val="18"/>
              </w:rPr>
              <w:t>Office 365 (Enterprise E2)*</w:t>
            </w:r>
          </w:p>
          <w:p w:rsidR="008368B4" w:rsidRPr="00416070" w:rsidRDefault="008368B4" w:rsidP="008368B4">
            <w:pPr>
              <w:numPr>
                <w:ilvl w:val="0"/>
                <w:numId w:val="49"/>
              </w:numPr>
              <w:spacing w:after="60"/>
            </w:pPr>
            <w:r w:rsidRPr="00416070">
              <w:rPr>
                <w:rFonts w:cs="Tahoma"/>
                <w:color w:val="000000"/>
                <w:szCs w:val="18"/>
              </w:rPr>
              <w:t>Office 365 (Enterprise E3)*</w:t>
            </w:r>
          </w:p>
          <w:p w:rsidR="008368B4" w:rsidRPr="00416070" w:rsidRDefault="008368B4" w:rsidP="008368B4">
            <w:pPr>
              <w:numPr>
                <w:ilvl w:val="0"/>
                <w:numId w:val="49"/>
              </w:numPr>
              <w:spacing w:after="60"/>
            </w:pPr>
            <w:r w:rsidRPr="00416070">
              <w:rPr>
                <w:rFonts w:cs="Tahoma"/>
                <w:color w:val="000000"/>
                <w:szCs w:val="18"/>
              </w:rPr>
              <w:t>Office 365 (Enterprise E4)*</w:t>
            </w:r>
          </w:p>
          <w:p w:rsidR="008368B4" w:rsidRPr="00416070" w:rsidRDefault="008368B4" w:rsidP="008368B4">
            <w:pPr>
              <w:numPr>
                <w:ilvl w:val="0"/>
                <w:numId w:val="49"/>
              </w:numPr>
              <w:spacing w:after="60"/>
            </w:pPr>
            <w:r w:rsidRPr="00416070">
              <w:rPr>
                <w:rFonts w:cs="Tahoma"/>
                <w:color w:val="000000"/>
                <w:szCs w:val="18"/>
              </w:rPr>
              <w:t>Office 365 (Government G2)*</w:t>
            </w:r>
          </w:p>
          <w:p w:rsidR="008368B4" w:rsidRPr="00416070" w:rsidRDefault="008368B4" w:rsidP="008368B4">
            <w:pPr>
              <w:numPr>
                <w:ilvl w:val="0"/>
                <w:numId w:val="49"/>
              </w:numPr>
              <w:spacing w:after="60"/>
            </w:pPr>
            <w:r w:rsidRPr="00416070">
              <w:rPr>
                <w:rFonts w:cs="Tahoma"/>
                <w:color w:val="000000"/>
                <w:szCs w:val="18"/>
              </w:rPr>
              <w:t>Office 365 (Government G3)*</w:t>
            </w:r>
          </w:p>
          <w:p w:rsidR="008368B4" w:rsidRPr="00416070" w:rsidRDefault="008368B4" w:rsidP="008368B4">
            <w:pPr>
              <w:numPr>
                <w:ilvl w:val="0"/>
                <w:numId w:val="49"/>
              </w:numPr>
              <w:spacing w:after="60"/>
            </w:pPr>
            <w:r w:rsidRPr="00416070">
              <w:rPr>
                <w:rFonts w:cs="Tahoma"/>
                <w:color w:val="000000"/>
                <w:szCs w:val="18"/>
              </w:rPr>
              <w:t>Office 365 (Government G4)*</w:t>
            </w:r>
          </w:p>
          <w:p w:rsidR="002D25C8" w:rsidRPr="00416070" w:rsidRDefault="002D25C8" w:rsidP="0055442E">
            <w:pPr>
              <w:ind w:left="720"/>
              <w:rPr>
                <w:rFonts w:cs="Tahoma"/>
                <w:color w:val="000000"/>
              </w:rPr>
            </w:pPr>
          </w:p>
        </w:tc>
      </w:tr>
      <w:tr w:rsidR="00A32052" w:rsidRPr="0041607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416070" w:rsidRDefault="00A32052" w:rsidP="005C647E">
            <w:pPr>
              <w:spacing w:before="60" w:after="60"/>
              <w:ind w:left="144"/>
              <w:rPr>
                <w:rFonts w:cs="Tahoma"/>
              </w:rPr>
            </w:pPr>
            <w:r w:rsidRPr="00416070">
              <w:rPr>
                <w:rFonts w:cs="Tahoma"/>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rsidR="008368B4" w:rsidRPr="00416070" w:rsidRDefault="008368B4" w:rsidP="008368B4">
            <w:pPr>
              <w:numPr>
                <w:ilvl w:val="0"/>
                <w:numId w:val="49"/>
              </w:numPr>
              <w:spacing w:before="60" w:after="60"/>
            </w:pPr>
            <w:r w:rsidRPr="00416070">
              <w:rPr>
                <w:rFonts w:cs="Tahoma"/>
                <w:color w:val="000000"/>
                <w:szCs w:val="18"/>
              </w:rPr>
              <w:t>Office 365 (Enterprise E3)*</w:t>
            </w:r>
          </w:p>
          <w:p w:rsidR="008368B4" w:rsidRPr="00416070" w:rsidRDefault="008368B4" w:rsidP="00C562C9">
            <w:pPr>
              <w:numPr>
                <w:ilvl w:val="0"/>
                <w:numId w:val="49"/>
              </w:numPr>
              <w:spacing w:after="60"/>
            </w:pPr>
            <w:r w:rsidRPr="00416070">
              <w:rPr>
                <w:rFonts w:cs="Tahoma"/>
                <w:color w:val="000000"/>
                <w:szCs w:val="18"/>
              </w:rPr>
              <w:t>Office 365 (Enterprise E4)*</w:t>
            </w:r>
          </w:p>
          <w:p w:rsidR="008368B4" w:rsidRPr="00416070" w:rsidRDefault="008368B4" w:rsidP="00C562C9">
            <w:pPr>
              <w:numPr>
                <w:ilvl w:val="0"/>
                <w:numId w:val="49"/>
              </w:numPr>
              <w:spacing w:after="60"/>
            </w:pPr>
            <w:r w:rsidRPr="00416070">
              <w:rPr>
                <w:rFonts w:cs="Tahoma"/>
                <w:color w:val="000000"/>
                <w:szCs w:val="18"/>
              </w:rPr>
              <w:t>Office 365 (Government G3)*</w:t>
            </w:r>
          </w:p>
          <w:p w:rsidR="008368B4" w:rsidRPr="00416070" w:rsidRDefault="008368B4" w:rsidP="008368B4">
            <w:pPr>
              <w:numPr>
                <w:ilvl w:val="0"/>
                <w:numId w:val="49"/>
              </w:numPr>
              <w:spacing w:after="60"/>
            </w:pPr>
            <w:r w:rsidRPr="00416070">
              <w:rPr>
                <w:rFonts w:cs="Tahoma"/>
                <w:color w:val="000000"/>
                <w:szCs w:val="18"/>
              </w:rPr>
              <w:t>Office 365 (Government G4)*</w:t>
            </w:r>
          </w:p>
          <w:p w:rsidR="002D25C8" w:rsidRPr="00416070" w:rsidRDefault="002D25C8" w:rsidP="0055442E">
            <w:pPr>
              <w:ind w:left="720"/>
              <w:rPr>
                <w:rFonts w:cs="Tahoma"/>
                <w:color w:val="000000"/>
              </w:rPr>
            </w:pPr>
          </w:p>
        </w:tc>
      </w:tr>
    </w:tbl>
    <w:p w:rsidR="00456002" w:rsidRPr="008D38F6" w:rsidRDefault="00456002" w:rsidP="00456002">
      <w:pPr>
        <w:tabs>
          <w:tab w:val="left" w:pos="360"/>
        </w:tabs>
        <w:ind w:left="720"/>
        <w:rPr>
          <w:lang w:val="pt-BR"/>
        </w:rPr>
      </w:pPr>
      <w:r w:rsidRPr="008D38F6">
        <w:rPr>
          <w:rFonts w:cs="Tahoma"/>
          <w:i/>
          <w:sz w:val="16"/>
          <w:szCs w:val="20"/>
          <w:lang w:val="pt-BR"/>
        </w:rPr>
        <w:t>* Requer Bridge do Pacote de CALs adequado. Para obter mais informações sobre o Bridge do Pacote de CALs, consulte a</w:t>
      </w:r>
      <w:r w:rsidR="00F07AD2" w:rsidRPr="008D38F6">
        <w:rPr>
          <w:rFonts w:cs="Tahoma"/>
          <w:i/>
          <w:sz w:val="16"/>
          <w:szCs w:val="20"/>
          <w:lang w:val="pt-BR"/>
        </w:rPr>
        <w:t> </w:t>
      </w:r>
      <w:r w:rsidRPr="008D38F6">
        <w:rPr>
          <w:rFonts w:cs="Tahoma"/>
          <w:i/>
          <w:sz w:val="16"/>
          <w:szCs w:val="20"/>
          <w:lang w:val="pt-BR"/>
        </w:rPr>
        <w:t>seção de notas do produto neste documento.</w:t>
      </w:r>
    </w:p>
    <w:p w:rsidR="00456002" w:rsidRPr="008D38F6" w:rsidRDefault="00456002" w:rsidP="00456002">
      <w:pPr>
        <w:tabs>
          <w:tab w:val="left" w:pos="360"/>
        </w:tabs>
        <w:ind w:left="720"/>
        <w:rPr>
          <w:lang w:val="pt-BR"/>
        </w:rPr>
      </w:pPr>
    </w:p>
    <w:p w:rsidR="00456002" w:rsidRPr="008D38F6" w:rsidRDefault="00456002" w:rsidP="00AA0B4F">
      <w:pPr>
        <w:rPr>
          <w:lang w:val="pt-BR"/>
        </w:rPr>
      </w:pPr>
      <w:r w:rsidRPr="008D38F6">
        <w:rPr>
          <w:rFonts w:cs="Tahoma"/>
          <w:szCs w:val="20"/>
          <w:lang w:val="pt-BR"/>
        </w:rPr>
        <w:t>Outras Transições podem ser adicionadas a critério da Microsoft.</w:t>
      </w:r>
      <w:r w:rsidR="00FB5496" w:rsidRPr="008D38F6">
        <w:rPr>
          <w:rFonts w:cs="Tahoma"/>
          <w:szCs w:val="20"/>
          <w:lang w:val="pt-BR"/>
        </w:rPr>
        <w:t xml:space="preserve"> </w:t>
      </w:r>
      <w:r w:rsidRPr="008D38F6">
        <w:rPr>
          <w:rFonts w:cs="Tahoma"/>
          <w:szCs w:val="20"/>
          <w:lang w:val="pt-BR"/>
        </w:rPr>
        <w:t>Valores adicionais e requisitos de licença podem ser</w:t>
      </w:r>
      <w:r w:rsidR="00AA0B4F" w:rsidRPr="008D38F6">
        <w:rPr>
          <w:rFonts w:cs="Tahoma"/>
          <w:szCs w:val="20"/>
          <w:lang w:val="pt-BR"/>
        </w:rPr>
        <w:t> </w:t>
      </w:r>
      <w:r w:rsidRPr="008D38F6">
        <w:rPr>
          <w:rFonts w:cs="Tahoma"/>
          <w:szCs w:val="20"/>
          <w:lang w:val="pt-BR"/>
        </w:rPr>
        <w:t>aplicáveis.</w:t>
      </w:r>
    </w:p>
    <w:p w:rsidR="00456002" w:rsidRPr="008D38F6" w:rsidRDefault="00456002" w:rsidP="00366502">
      <w:pPr>
        <w:outlineLvl w:val="2"/>
        <w:rPr>
          <w:lang w:val="pt-BR"/>
        </w:rPr>
      </w:pPr>
    </w:p>
    <w:p w:rsidR="00456002" w:rsidRPr="008D38F6" w:rsidRDefault="00456002" w:rsidP="0055442E">
      <w:pPr>
        <w:keepNext/>
        <w:tabs>
          <w:tab w:val="num" w:pos="720"/>
        </w:tabs>
        <w:spacing w:after="60"/>
        <w:outlineLvl w:val="3"/>
        <w:rPr>
          <w:lang w:val="pt-BR"/>
        </w:rPr>
      </w:pPr>
      <w:r w:rsidRPr="008D38F6">
        <w:rPr>
          <w:rFonts w:cs="Tahoma"/>
          <w:b/>
          <w:szCs w:val="20"/>
          <w:lang w:val="pt-BR"/>
        </w:rPr>
        <w:lastRenderedPageBreak/>
        <w:t>Pedidos de adequação (“true-up”) ou anuais dos Serviços Online</w:t>
      </w:r>
      <w:r w:rsidRPr="008D38F6">
        <w:rPr>
          <w:rFonts w:eastAsia="Times New Roman" w:cs="Tahoma"/>
          <w:b/>
          <w:sz w:val="22"/>
          <w:szCs w:val="20"/>
          <w:lang w:val="pt-BR"/>
        </w:rPr>
        <w:t xml:space="preserve"> </w:t>
      </w:r>
    </w:p>
    <w:p w:rsidR="00456002" w:rsidRPr="008D38F6" w:rsidRDefault="00456002" w:rsidP="00366502">
      <w:pPr>
        <w:rPr>
          <w:lang w:val="pt-BR"/>
        </w:rPr>
      </w:pPr>
      <w:r w:rsidRPr="008D38F6">
        <w:rPr>
          <w:rFonts w:cs="Tahoma"/>
          <w:b/>
          <w:szCs w:val="20"/>
          <w:lang w:val="pt-BR"/>
        </w:rPr>
        <w:t>Observação:</w:t>
      </w:r>
      <w:r w:rsidRPr="008D38F6">
        <w:rPr>
          <w:rFonts w:cs="Tahoma"/>
          <w:szCs w:val="20"/>
          <w:lang w:val="pt-BR"/>
        </w:rPr>
        <w:t xml:space="preserve"> O seguinte se aplica aos clientes do Registro Enterprise e Enterprise Subscription qualificados para fazerem pedidos de adequação (“true-up”) ou anuais dos serviços online.</w:t>
      </w:r>
      <w:r w:rsidR="00FB5496" w:rsidRPr="008D38F6">
        <w:rPr>
          <w:rFonts w:cs="Tahoma"/>
          <w:szCs w:val="20"/>
          <w:lang w:val="pt-BR"/>
        </w:rPr>
        <w:t xml:space="preserve"> </w:t>
      </w:r>
      <w:r w:rsidRPr="008D38F6">
        <w:rPr>
          <w:rFonts w:cs="Tahoma"/>
          <w:szCs w:val="20"/>
          <w:lang w:val="pt-BR"/>
        </w:rPr>
        <w:t>Os clientes que tiverem dúvidas sobre sua</w:t>
      </w:r>
      <w:r w:rsidR="00F07AD2" w:rsidRPr="008D38F6">
        <w:rPr>
          <w:rFonts w:cs="Tahoma"/>
          <w:szCs w:val="20"/>
          <w:lang w:val="pt-BR"/>
        </w:rPr>
        <w:t> </w:t>
      </w:r>
      <w:r w:rsidRPr="008D38F6">
        <w:rPr>
          <w:rFonts w:cs="Tahoma"/>
          <w:szCs w:val="20"/>
          <w:lang w:val="pt-BR"/>
        </w:rPr>
        <w:t>qualificação para fazer pedidos de adequação (“true-up”) ou anuais dos serviços online devem entrar em contato</w:t>
      </w:r>
      <w:r w:rsidR="00F07AD2" w:rsidRPr="008D38F6">
        <w:rPr>
          <w:rFonts w:cs="Tahoma"/>
          <w:szCs w:val="20"/>
          <w:lang w:val="pt-BR"/>
        </w:rPr>
        <w:t> </w:t>
      </w:r>
      <w:r w:rsidRPr="008D38F6">
        <w:rPr>
          <w:rFonts w:cs="Tahoma"/>
          <w:szCs w:val="20"/>
          <w:lang w:val="pt-BR"/>
        </w:rPr>
        <w:t>com o Consultor de Software, Revendedor ou Gerente de Conta Microsoft para obter mais informações.</w:t>
      </w:r>
    </w:p>
    <w:p w:rsidR="00456002" w:rsidRPr="008D38F6" w:rsidRDefault="00456002" w:rsidP="00366502">
      <w:pPr>
        <w:rPr>
          <w:lang w:val="pt-BR"/>
        </w:rPr>
      </w:pPr>
    </w:p>
    <w:p w:rsidR="00456002" w:rsidRPr="008D38F6" w:rsidRDefault="00456002" w:rsidP="00366502">
      <w:pPr>
        <w:rPr>
          <w:lang w:val="pt-BR"/>
        </w:rPr>
      </w:pPr>
      <w:r w:rsidRPr="008D38F6">
        <w:rPr>
          <w:rFonts w:cs="Tahoma"/>
          <w:szCs w:val="20"/>
          <w:lang w:val="pt-BR"/>
        </w:rPr>
        <w:t xml:space="preserve">Os seguintes Serviços Online estão qualificados para pedido de adequação (“true-up”) ou anual de Serviços Online: </w:t>
      </w:r>
    </w:p>
    <w:p w:rsidR="00456002" w:rsidRPr="008D38F6" w:rsidRDefault="00456002" w:rsidP="0055442E">
      <w:pPr>
        <w:ind w:left="720"/>
        <w:rPr>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416070" w:rsidTr="005C647E">
        <w:trPr>
          <w:trHeight w:val="80"/>
          <w:tblHeader/>
        </w:trPr>
        <w:tc>
          <w:tcPr>
            <w:tcW w:w="5000" w:type="pct"/>
            <w:gridSpan w:val="2"/>
            <w:shd w:val="clear" w:color="auto" w:fill="FABF8F"/>
          </w:tcPr>
          <w:p w:rsidR="00456002" w:rsidRPr="00416070" w:rsidRDefault="00456002" w:rsidP="005C647E">
            <w:pPr>
              <w:jc w:val="center"/>
              <w:rPr>
                <w:rFonts w:cs="Tahoma"/>
                <w:b/>
              </w:rPr>
            </w:pPr>
            <w:r w:rsidRPr="00416070">
              <w:rPr>
                <w:rFonts w:cs="Tahoma"/>
                <w:b/>
              </w:rPr>
              <w:t>Serviços Online</w:t>
            </w:r>
          </w:p>
        </w:tc>
      </w:tr>
      <w:tr w:rsidR="00456002" w:rsidRPr="00416070" w:rsidTr="005C647E">
        <w:trPr>
          <w:trHeight w:val="219"/>
        </w:trPr>
        <w:tc>
          <w:tcPr>
            <w:tcW w:w="2603" w:type="pct"/>
          </w:tcPr>
          <w:p w:rsidR="00456002" w:rsidRPr="00416070" w:rsidRDefault="00456002" w:rsidP="00AA0B4F">
            <w:pPr>
              <w:numPr>
                <w:ilvl w:val="0"/>
                <w:numId w:val="50"/>
              </w:numPr>
              <w:spacing w:before="80"/>
              <w:ind w:left="725" w:hanging="445"/>
              <w:jc w:val="both"/>
            </w:pPr>
            <w:r w:rsidRPr="00416070">
              <w:rPr>
                <w:rFonts w:cs="Tahoma"/>
              </w:rPr>
              <w:t>Quiosque do Exchange Online*</w:t>
            </w:r>
          </w:p>
          <w:p w:rsidR="00456002" w:rsidRPr="00416070" w:rsidRDefault="00456002" w:rsidP="00AA0B4F">
            <w:pPr>
              <w:numPr>
                <w:ilvl w:val="0"/>
                <w:numId w:val="50"/>
              </w:numPr>
              <w:spacing w:before="80"/>
              <w:ind w:left="725" w:hanging="445"/>
              <w:jc w:val="both"/>
            </w:pPr>
            <w:r w:rsidRPr="00416070">
              <w:rPr>
                <w:rFonts w:cs="Tahoma"/>
              </w:rPr>
              <w:t>Exchange Online Plano 1*</w:t>
            </w:r>
          </w:p>
          <w:p w:rsidR="00456002" w:rsidRPr="00416070" w:rsidRDefault="00456002" w:rsidP="00AA0B4F">
            <w:pPr>
              <w:numPr>
                <w:ilvl w:val="0"/>
                <w:numId w:val="50"/>
              </w:numPr>
              <w:spacing w:before="80"/>
              <w:ind w:left="725" w:hanging="445"/>
              <w:jc w:val="both"/>
            </w:pPr>
            <w:r w:rsidRPr="00416070">
              <w:rPr>
                <w:rFonts w:cs="Tahoma"/>
              </w:rPr>
              <w:t>Exchange Online Plano 2*</w:t>
            </w:r>
          </w:p>
          <w:p w:rsidR="00456002" w:rsidRPr="00416070" w:rsidRDefault="00456002" w:rsidP="00AA0B4F">
            <w:pPr>
              <w:numPr>
                <w:ilvl w:val="0"/>
                <w:numId w:val="50"/>
              </w:numPr>
              <w:spacing w:before="80"/>
              <w:ind w:left="725" w:hanging="445"/>
              <w:jc w:val="both"/>
            </w:pPr>
            <w:r w:rsidRPr="00416070">
              <w:rPr>
                <w:rFonts w:cs="Tahoma"/>
              </w:rPr>
              <w:t>Lync Online Plano 1*</w:t>
            </w:r>
          </w:p>
          <w:p w:rsidR="00456002" w:rsidRPr="00416070" w:rsidRDefault="00456002" w:rsidP="00AA0B4F">
            <w:pPr>
              <w:numPr>
                <w:ilvl w:val="0"/>
                <w:numId w:val="50"/>
              </w:numPr>
              <w:spacing w:before="80"/>
              <w:ind w:left="725" w:hanging="445"/>
              <w:jc w:val="both"/>
            </w:pPr>
            <w:r w:rsidRPr="00416070">
              <w:rPr>
                <w:rFonts w:cs="Tahoma"/>
              </w:rPr>
              <w:t>Lync Online Plano 2*</w:t>
            </w:r>
          </w:p>
          <w:p w:rsidR="00E77288" w:rsidRPr="00416070" w:rsidRDefault="00E77288" w:rsidP="00AA0B4F">
            <w:pPr>
              <w:numPr>
                <w:ilvl w:val="0"/>
                <w:numId w:val="50"/>
              </w:numPr>
              <w:spacing w:before="80"/>
              <w:ind w:left="725" w:hanging="445"/>
              <w:jc w:val="both"/>
            </w:pPr>
            <w:r w:rsidRPr="00416070">
              <w:rPr>
                <w:rFonts w:cs="Tahoma"/>
              </w:rPr>
              <w:t>Lync Online Plano 3*</w:t>
            </w:r>
          </w:p>
          <w:p w:rsidR="00456002" w:rsidRPr="00416070" w:rsidRDefault="00456002" w:rsidP="00AA0B4F">
            <w:pPr>
              <w:numPr>
                <w:ilvl w:val="0"/>
                <w:numId w:val="50"/>
              </w:numPr>
              <w:spacing w:before="80"/>
              <w:ind w:left="725" w:hanging="445"/>
              <w:jc w:val="both"/>
            </w:pPr>
            <w:r w:rsidRPr="00416070">
              <w:rPr>
                <w:rFonts w:cs="Tahoma"/>
              </w:rPr>
              <w:t>Office 365 (Enterprise K1)*</w:t>
            </w:r>
          </w:p>
          <w:p w:rsidR="00456002" w:rsidRPr="00416070" w:rsidRDefault="00456002" w:rsidP="00AA0B4F">
            <w:pPr>
              <w:numPr>
                <w:ilvl w:val="0"/>
                <w:numId w:val="50"/>
              </w:numPr>
              <w:spacing w:before="80"/>
              <w:ind w:left="725" w:hanging="445"/>
              <w:jc w:val="both"/>
            </w:pPr>
            <w:r w:rsidRPr="00416070">
              <w:rPr>
                <w:rFonts w:cs="Tahoma"/>
              </w:rPr>
              <w:t>Office 365 (Enterprise K2)*</w:t>
            </w:r>
          </w:p>
          <w:p w:rsidR="00456002" w:rsidRPr="00416070" w:rsidRDefault="00456002" w:rsidP="00AA0B4F">
            <w:pPr>
              <w:numPr>
                <w:ilvl w:val="0"/>
                <w:numId w:val="50"/>
              </w:numPr>
              <w:spacing w:before="80"/>
              <w:ind w:left="725" w:hanging="445"/>
              <w:jc w:val="both"/>
            </w:pPr>
            <w:r w:rsidRPr="00416070">
              <w:rPr>
                <w:rFonts w:cs="Tahoma"/>
              </w:rPr>
              <w:t>Office 365 (Enterprise E1)</w:t>
            </w:r>
          </w:p>
          <w:p w:rsidR="00456002" w:rsidRPr="00416070" w:rsidRDefault="00456002" w:rsidP="00AA0B4F">
            <w:pPr>
              <w:numPr>
                <w:ilvl w:val="0"/>
                <w:numId w:val="50"/>
              </w:numPr>
              <w:spacing w:before="80"/>
              <w:ind w:left="725" w:hanging="445"/>
              <w:jc w:val="both"/>
            </w:pPr>
            <w:r w:rsidRPr="00416070">
              <w:rPr>
                <w:rFonts w:cs="Tahoma"/>
              </w:rPr>
              <w:t>Office 365 (Enterprise E2)</w:t>
            </w:r>
          </w:p>
          <w:p w:rsidR="00456002" w:rsidRPr="00416070" w:rsidRDefault="00456002" w:rsidP="00AA0B4F">
            <w:pPr>
              <w:numPr>
                <w:ilvl w:val="0"/>
                <w:numId w:val="50"/>
              </w:numPr>
              <w:spacing w:before="80"/>
              <w:ind w:left="725" w:hanging="445"/>
              <w:jc w:val="both"/>
            </w:pPr>
            <w:r w:rsidRPr="00416070">
              <w:rPr>
                <w:rFonts w:cs="Tahoma"/>
              </w:rPr>
              <w:t>Office 365 (Enterprise E3)</w:t>
            </w:r>
          </w:p>
          <w:p w:rsidR="00456002" w:rsidRPr="00416070" w:rsidRDefault="00456002" w:rsidP="00AA0B4F">
            <w:pPr>
              <w:numPr>
                <w:ilvl w:val="0"/>
                <w:numId w:val="50"/>
              </w:numPr>
              <w:spacing w:before="80"/>
              <w:ind w:left="725" w:hanging="445"/>
              <w:jc w:val="both"/>
              <w:rPr>
                <w:rFonts w:cs="Tahoma"/>
              </w:rPr>
            </w:pPr>
            <w:r w:rsidRPr="00416070">
              <w:rPr>
                <w:rFonts w:cs="Tahoma"/>
              </w:rPr>
              <w:t>Office 365 (Enterprise E4)</w:t>
            </w:r>
          </w:p>
        </w:tc>
        <w:tc>
          <w:tcPr>
            <w:tcW w:w="2397" w:type="pct"/>
          </w:tcPr>
          <w:p w:rsidR="00A32052" w:rsidRPr="00416070" w:rsidRDefault="00A32052" w:rsidP="002C1048">
            <w:pPr>
              <w:numPr>
                <w:ilvl w:val="0"/>
                <w:numId w:val="50"/>
              </w:numPr>
              <w:spacing w:before="80"/>
              <w:ind w:left="692"/>
              <w:jc w:val="both"/>
            </w:pPr>
            <w:r w:rsidRPr="00416070">
              <w:rPr>
                <w:rFonts w:cs="Tahoma"/>
                <w:color w:val="000000"/>
              </w:rPr>
              <w:t>Office 365 (Government G1)</w:t>
            </w:r>
          </w:p>
          <w:p w:rsidR="00A32052" w:rsidRPr="00416070" w:rsidRDefault="00A32052" w:rsidP="002C1048">
            <w:pPr>
              <w:numPr>
                <w:ilvl w:val="0"/>
                <w:numId w:val="50"/>
              </w:numPr>
              <w:spacing w:before="80"/>
              <w:ind w:left="692"/>
              <w:jc w:val="both"/>
            </w:pPr>
            <w:r w:rsidRPr="00416070">
              <w:rPr>
                <w:rFonts w:cs="Tahoma"/>
                <w:color w:val="000000"/>
              </w:rPr>
              <w:t>Office 365 (Government G2)</w:t>
            </w:r>
          </w:p>
          <w:p w:rsidR="00A32052" w:rsidRPr="00416070" w:rsidRDefault="00A32052" w:rsidP="002C1048">
            <w:pPr>
              <w:numPr>
                <w:ilvl w:val="0"/>
                <w:numId w:val="50"/>
              </w:numPr>
              <w:spacing w:before="80"/>
              <w:ind w:left="692"/>
              <w:jc w:val="both"/>
            </w:pPr>
            <w:r w:rsidRPr="00416070">
              <w:rPr>
                <w:rFonts w:cs="Tahoma"/>
                <w:color w:val="000000"/>
              </w:rPr>
              <w:t>Office 365 (Government G3)</w:t>
            </w:r>
          </w:p>
          <w:p w:rsidR="00A32052" w:rsidRPr="00416070" w:rsidRDefault="00A32052" w:rsidP="002C1048">
            <w:pPr>
              <w:numPr>
                <w:ilvl w:val="0"/>
                <w:numId w:val="50"/>
              </w:numPr>
              <w:spacing w:before="80"/>
              <w:ind w:left="692"/>
              <w:jc w:val="both"/>
            </w:pPr>
            <w:r w:rsidRPr="00416070">
              <w:rPr>
                <w:rFonts w:cs="Tahoma"/>
                <w:color w:val="000000"/>
              </w:rPr>
              <w:t>Office 365 (Government G4)</w:t>
            </w:r>
          </w:p>
          <w:p w:rsidR="00456002" w:rsidRPr="00416070" w:rsidRDefault="00456002" w:rsidP="002C1048">
            <w:pPr>
              <w:numPr>
                <w:ilvl w:val="0"/>
                <w:numId w:val="50"/>
              </w:numPr>
              <w:spacing w:before="80"/>
              <w:ind w:left="692"/>
              <w:jc w:val="both"/>
            </w:pPr>
            <w:r w:rsidRPr="00416070">
              <w:rPr>
                <w:rFonts w:cs="Tahoma"/>
                <w:color w:val="000000"/>
              </w:rPr>
              <w:t>Office Web Applications*</w:t>
            </w:r>
          </w:p>
          <w:p w:rsidR="00456002" w:rsidRPr="00416070" w:rsidRDefault="00456002" w:rsidP="002C1048">
            <w:pPr>
              <w:numPr>
                <w:ilvl w:val="0"/>
                <w:numId w:val="50"/>
              </w:numPr>
              <w:spacing w:before="80"/>
              <w:ind w:left="692"/>
              <w:jc w:val="both"/>
            </w:pPr>
            <w:r w:rsidRPr="00416070">
              <w:rPr>
                <w:rFonts w:cs="Tahoma"/>
                <w:color w:val="000000"/>
              </w:rPr>
              <w:t>SharePoint Online Plano 1*</w:t>
            </w:r>
          </w:p>
          <w:p w:rsidR="00456002" w:rsidRPr="00416070" w:rsidRDefault="00456002" w:rsidP="002C1048">
            <w:pPr>
              <w:numPr>
                <w:ilvl w:val="0"/>
                <w:numId w:val="50"/>
              </w:numPr>
              <w:spacing w:before="80"/>
              <w:ind w:left="692"/>
              <w:jc w:val="both"/>
            </w:pPr>
            <w:r w:rsidRPr="00416070">
              <w:rPr>
                <w:rFonts w:cs="Tahoma"/>
                <w:color w:val="000000"/>
              </w:rPr>
              <w:t>SharePoint Online Plano 2*</w:t>
            </w:r>
          </w:p>
          <w:p w:rsidR="00456002" w:rsidRPr="008D38F6" w:rsidRDefault="00456002" w:rsidP="002C1048">
            <w:pPr>
              <w:numPr>
                <w:ilvl w:val="0"/>
                <w:numId w:val="50"/>
              </w:numPr>
              <w:spacing w:before="80"/>
              <w:ind w:left="692"/>
              <w:jc w:val="both"/>
              <w:rPr>
                <w:lang w:val="pt-BR"/>
              </w:rPr>
            </w:pPr>
            <w:r w:rsidRPr="008D38F6">
              <w:rPr>
                <w:rFonts w:cs="Tahoma"/>
                <w:color w:val="000000"/>
                <w:lang w:val="pt-BR"/>
              </w:rPr>
              <w:t>Acesso para Parceiros do SharePoint Online*</w:t>
            </w:r>
          </w:p>
          <w:p w:rsidR="00456002" w:rsidRPr="00416070" w:rsidRDefault="00456002" w:rsidP="002C1048">
            <w:pPr>
              <w:numPr>
                <w:ilvl w:val="0"/>
                <w:numId w:val="50"/>
              </w:numPr>
              <w:spacing w:before="80"/>
              <w:ind w:left="692"/>
              <w:jc w:val="both"/>
            </w:pPr>
            <w:r w:rsidRPr="00416070">
              <w:rPr>
                <w:rFonts w:cs="Tahoma"/>
                <w:color w:val="000000"/>
              </w:rPr>
              <w:t>Windows Intune</w:t>
            </w:r>
          </w:p>
          <w:p w:rsidR="00456002" w:rsidRPr="00416070" w:rsidRDefault="00BD6C2C" w:rsidP="002C1048">
            <w:pPr>
              <w:numPr>
                <w:ilvl w:val="0"/>
                <w:numId w:val="50"/>
              </w:numPr>
              <w:spacing w:before="80"/>
              <w:ind w:left="692"/>
              <w:jc w:val="both"/>
            </w:pPr>
            <w:r w:rsidRPr="00416070">
              <w:rPr>
                <w:rFonts w:cs="Tahoma"/>
                <w:color w:val="000000"/>
              </w:rPr>
              <w:t>Complemento do Windows Intune*, **</w:t>
            </w:r>
          </w:p>
          <w:p w:rsidR="00F27B29" w:rsidRPr="00416070" w:rsidRDefault="00F27B29" w:rsidP="002C1048">
            <w:pPr>
              <w:numPr>
                <w:ilvl w:val="0"/>
                <w:numId w:val="50"/>
              </w:numPr>
              <w:spacing w:before="80"/>
              <w:ind w:left="692"/>
              <w:jc w:val="both"/>
              <w:rPr>
                <w:rFonts w:cs="Tahoma"/>
              </w:rPr>
            </w:pPr>
            <w:r w:rsidRPr="00416070">
              <w:rPr>
                <w:rFonts w:cs="Tahoma"/>
                <w:color w:val="000000"/>
              </w:rPr>
              <w:t>Yammer Enterprise*</w:t>
            </w:r>
          </w:p>
        </w:tc>
      </w:tr>
    </w:tbl>
    <w:p w:rsidR="00456002" w:rsidRPr="00416070" w:rsidRDefault="00456002" w:rsidP="00456002">
      <w:pPr>
        <w:tabs>
          <w:tab w:val="left" w:pos="360"/>
        </w:tabs>
        <w:ind w:left="720"/>
      </w:pPr>
      <w:r w:rsidRPr="00416070">
        <w:rPr>
          <w:rFonts w:cs="Tahoma"/>
          <w:i/>
          <w:sz w:val="16"/>
          <w:szCs w:val="20"/>
        </w:rPr>
        <w:t>* Produto Adicional</w:t>
      </w:r>
    </w:p>
    <w:p w:rsidR="00456002" w:rsidRPr="008D38F6" w:rsidRDefault="003929D1" w:rsidP="00456002">
      <w:pPr>
        <w:tabs>
          <w:tab w:val="left" w:pos="360"/>
        </w:tabs>
        <w:ind w:left="720"/>
        <w:rPr>
          <w:lang w:val="pt-BR"/>
        </w:rPr>
      </w:pPr>
      <w:r w:rsidRPr="008D38F6">
        <w:rPr>
          <w:rFonts w:cs="Tahoma"/>
          <w:i/>
          <w:sz w:val="16"/>
          <w:szCs w:val="20"/>
          <w:lang w:val="pt-BR"/>
        </w:rPr>
        <w:t>** “Complemento do Windows Intune” é uma abreviação para Complemento do Windows Intune para System Center Configuration Manager e System Center Endpoint Protection (Por Usuário)</w:t>
      </w:r>
    </w:p>
    <w:p w:rsidR="003929D1" w:rsidRPr="008D38F6" w:rsidRDefault="003929D1" w:rsidP="00A12176">
      <w:pPr>
        <w:tabs>
          <w:tab w:val="left" w:pos="360"/>
        </w:tabs>
        <w:rPr>
          <w:lang w:val="pt-BR"/>
        </w:rPr>
      </w:pPr>
    </w:p>
    <w:p w:rsidR="00456002" w:rsidRPr="008D38F6" w:rsidRDefault="00456002" w:rsidP="001E7C5F">
      <w:pPr>
        <w:tabs>
          <w:tab w:val="left" w:pos="360"/>
        </w:tabs>
        <w:spacing w:after="60"/>
        <w:rPr>
          <w:lang w:val="pt-BR"/>
        </w:rPr>
      </w:pPr>
      <w:r w:rsidRPr="008D38F6">
        <w:rPr>
          <w:rFonts w:cs="Tahoma"/>
          <w:b/>
          <w:szCs w:val="20"/>
          <w:lang w:val="pt-BR"/>
        </w:rPr>
        <w:t>Reduções de Licença de Assinatura</w:t>
      </w:r>
    </w:p>
    <w:p w:rsidR="00456002" w:rsidRPr="008D38F6" w:rsidRDefault="00456002" w:rsidP="00366502">
      <w:pPr>
        <w:tabs>
          <w:tab w:val="left" w:pos="360"/>
        </w:tabs>
        <w:rPr>
          <w:lang w:val="pt-BR"/>
        </w:rPr>
      </w:pPr>
      <w:r w:rsidRPr="008D38F6">
        <w:rPr>
          <w:rFonts w:cs="Tahoma"/>
          <w:b/>
          <w:szCs w:val="20"/>
          <w:lang w:val="pt-BR"/>
        </w:rPr>
        <w:t>Observação:</w:t>
      </w:r>
      <w:r w:rsidRPr="008D38F6">
        <w:rPr>
          <w:rFonts w:cs="Tahoma"/>
          <w:szCs w:val="20"/>
          <w:lang w:val="pt-BR"/>
        </w:rPr>
        <w:t xml:space="preserve"> O seguinte se aplica aos clientes do Enterprise qualificados para informar reduções nas Licenças de</w:t>
      </w:r>
      <w:r w:rsidR="00F07AD2" w:rsidRPr="008D38F6">
        <w:rPr>
          <w:rFonts w:cs="Tahoma"/>
          <w:szCs w:val="20"/>
          <w:lang w:val="pt-BR"/>
        </w:rPr>
        <w:t> </w:t>
      </w:r>
      <w:r w:rsidRPr="008D38F6">
        <w:rPr>
          <w:rFonts w:cs="Tahoma"/>
          <w:szCs w:val="20"/>
          <w:lang w:val="pt-BR"/>
        </w:rPr>
        <w:t>assinatura.</w:t>
      </w:r>
      <w:r w:rsidR="00FB5496" w:rsidRPr="008D38F6">
        <w:rPr>
          <w:rFonts w:cs="Tahoma"/>
          <w:szCs w:val="20"/>
          <w:lang w:val="pt-BR"/>
        </w:rPr>
        <w:t xml:space="preserve"> </w:t>
      </w:r>
      <w:r w:rsidRPr="008D38F6">
        <w:rPr>
          <w:rFonts w:cs="Tahoma"/>
          <w:szCs w:val="20"/>
          <w:lang w:val="pt-BR"/>
        </w:rPr>
        <w:t>Os clientes que tiverem dúvidas sobre sua qualificação para informar reduções nas Licenças de assinatura devem entrar em contato com o Consultor de Software, Revendedor ou Gerente de Conta Microsoft para</w:t>
      </w:r>
      <w:r w:rsidR="00F07AD2" w:rsidRPr="008D38F6">
        <w:rPr>
          <w:rFonts w:cs="Tahoma"/>
          <w:szCs w:val="20"/>
          <w:lang w:val="pt-BR"/>
        </w:rPr>
        <w:t> </w:t>
      </w:r>
      <w:r w:rsidRPr="008D38F6">
        <w:rPr>
          <w:rFonts w:cs="Tahoma"/>
          <w:szCs w:val="20"/>
          <w:lang w:val="pt-BR"/>
        </w:rPr>
        <w:t>obter mais informações.</w:t>
      </w:r>
    </w:p>
    <w:p w:rsidR="00456002" w:rsidRPr="008D38F6" w:rsidRDefault="00456002" w:rsidP="00366502">
      <w:pPr>
        <w:tabs>
          <w:tab w:val="left" w:pos="360"/>
        </w:tabs>
        <w:rPr>
          <w:lang w:val="pt-BR"/>
        </w:rPr>
      </w:pPr>
    </w:p>
    <w:p w:rsidR="00456002" w:rsidRPr="008D38F6" w:rsidRDefault="00456002" w:rsidP="00366502">
      <w:pPr>
        <w:tabs>
          <w:tab w:val="left" w:pos="360"/>
        </w:tabs>
        <w:rPr>
          <w:lang w:val="pt-BR"/>
        </w:rPr>
      </w:pPr>
      <w:r w:rsidRPr="008D38F6">
        <w:rPr>
          <w:rFonts w:cs="Tahoma"/>
          <w:szCs w:val="20"/>
          <w:lang w:val="pt-BR"/>
        </w:rPr>
        <w:t>As seguintes Licenças de assinatura estão qualificadas para ajustes nas quantidades de Licença:</w:t>
      </w:r>
    </w:p>
    <w:p w:rsidR="00456002" w:rsidRPr="008D38F6" w:rsidRDefault="00456002" w:rsidP="00456002">
      <w:pPr>
        <w:tabs>
          <w:tab w:val="left" w:pos="360"/>
        </w:tabs>
        <w:ind w:left="720"/>
        <w:rPr>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416070" w:rsidTr="0020393F">
        <w:trPr>
          <w:trHeight w:val="80"/>
          <w:tblHeader/>
        </w:trPr>
        <w:tc>
          <w:tcPr>
            <w:tcW w:w="5000" w:type="pct"/>
            <w:gridSpan w:val="2"/>
            <w:shd w:val="clear" w:color="auto" w:fill="FABF8F"/>
          </w:tcPr>
          <w:p w:rsidR="00456002" w:rsidRPr="00416070" w:rsidRDefault="00456002" w:rsidP="005C647E">
            <w:pPr>
              <w:jc w:val="center"/>
              <w:rPr>
                <w:rFonts w:cs="Tahoma"/>
                <w:b/>
              </w:rPr>
            </w:pPr>
            <w:r w:rsidRPr="00416070">
              <w:rPr>
                <w:rFonts w:cs="Tahoma"/>
                <w:b/>
              </w:rPr>
              <w:t>Serviços Online</w:t>
            </w:r>
          </w:p>
        </w:tc>
      </w:tr>
      <w:tr w:rsidR="00456002" w:rsidRPr="00416070" w:rsidTr="007E466C">
        <w:trPr>
          <w:trHeight w:val="219"/>
        </w:trPr>
        <w:tc>
          <w:tcPr>
            <w:tcW w:w="2500" w:type="pct"/>
          </w:tcPr>
          <w:p w:rsidR="00456002" w:rsidRPr="00416070" w:rsidRDefault="00456002" w:rsidP="007E466C">
            <w:pPr>
              <w:numPr>
                <w:ilvl w:val="0"/>
                <w:numId w:val="50"/>
              </w:numPr>
              <w:spacing w:before="80"/>
            </w:pPr>
            <w:r w:rsidRPr="00416070">
              <w:rPr>
                <w:rFonts w:cs="Tahoma"/>
              </w:rPr>
              <w:t>Quiosque do Exchange Online*</w:t>
            </w:r>
          </w:p>
          <w:p w:rsidR="00456002" w:rsidRPr="00416070" w:rsidRDefault="00456002" w:rsidP="007E466C">
            <w:pPr>
              <w:numPr>
                <w:ilvl w:val="0"/>
                <w:numId w:val="50"/>
              </w:numPr>
              <w:spacing w:before="80"/>
            </w:pPr>
            <w:r w:rsidRPr="00416070">
              <w:rPr>
                <w:rFonts w:cs="Tahoma"/>
              </w:rPr>
              <w:t>Exchange Online Plano 1*</w:t>
            </w:r>
          </w:p>
          <w:p w:rsidR="00456002" w:rsidRPr="00416070" w:rsidRDefault="00456002" w:rsidP="007E466C">
            <w:pPr>
              <w:numPr>
                <w:ilvl w:val="0"/>
                <w:numId w:val="50"/>
              </w:numPr>
              <w:spacing w:before="80"/>
            </w:pPr>
            <w:r w:rsidRPr="00416070">
              <w:rPr>
                <w:rFonts w:cs="Tahoma"/>
              </w:rPr>
              <w:t>Exchange Online Plano 2*</w:t>
            </w:r>
          </w:p>
          <w:p w:rsidR="00456002" w:rsidRPr="00416070" w:rsidRDefault="00456002" w:rsidP="007E466C">
            <w:pPr>
              <w:numPr>
                <w:ilvl w:val="0"/>
                <w:numId w:val="50"/>
              </w:numPr>
              <w:spacing w:before="80"/>
            </w:pPr>
            <w:r w:rsidRPr="00416070">
              <w:rPr>
                <w:rFonts w:cs="Tahoma"/>
              </w:rPr>
              <w:t>Lync Online Plano 1*</w:t>
            </w:r>
          </w:p>
          <w:p w:rsidR="00456002" w:rsidRPr="00416070" w:rsidRDefault="00456002" w:rsidP="007E466C">
            <w:pPr>
              <w:numPr>
                <w:ilvl w:val="0"/>
                <w:numId w:val="50"/>
              </w:numPr>
              <w:spacing w:before="80"/>
            </w:pPr>
            <w:r w:rsidRPr="00416070">
              <w:rPr>
                <w:rFonts w:cs="Tahoma"/>
              </w:rPr>
              <w:t>Lync Online Plano 2*</w:t>
            </w:r>
          </w:p>
          <w:p w:rsidR="00E77288" w:rsidRPr="00416070" w:rsidRDefault="00E77288" w:rsidP="007E466C">
            <w:pPr>
              <w:numPr>
                <w:ilvl w:val="0"/>
                <w:numId w:val="50"/>
              </w:numPr>
              <w:spacing w:before="80"/>
            </w:pPr>
            <w:r w:rsidRPr="00416070">
              <w:rPr>
                <w:rFonts w:cs="Tahoma"/>
              </w:rPr>
              <w:t>Lync Online Plano 3*</w:t>
            </w:r>
          </w:p>
          <w:p w:rsidR="00456002" w:rsidRPr="00416070" w:rsidRDefault="00456002" w:rsidP="007E466C">
            <w:pPr>
              <w:numPr>
                <w:ilvl w:val="0"/>
                <w:numId w:val="50"/>
              </w:numPr>
              <w:spacing w:before="80"/>
            </w:pPr>
            <w:r w:rsidRPr="00416070">
              <w:rPr>
                <w:rFonts w:cs="Tahoma"/>
              </w:rPr>
              <w:t>Office 365 (Enterprise K1)*</w:t>
            </w:r>
          </w:p>
          <w:p w:rsidR="00456002" w:rsidRPr="00416070" w:rsidRDefault="00456002" w:rsidP="007E466C">
            <w:pPr>
              <w:numPr>
                <w:ilvl w:val="0"/>
                <w:numId w:val="50"/>
              </w:numPr>
              <w:spacing w:before="80"/>
            </w:pPr>
            <w:r w:rsidRPr="00416070">
              <w:rPr>
                <w:rFonts w:cs="Tahoma"/>
              </w:rPr>
              <w:t>Office 365 (Enterprise K2)*</w:t>
            </w:r>
          </w:p>
          <w:p w:rsidR="00456002" w:rsidRPr="00416070" w:rsidRDefault="00456002" w:rsidP="007E466C">
            <w:pPr>
              <w:numPr>
                <w:ilvl w:val="0"/>
                <w:numId w:val="50"/>
              </w:numPr>
              <w:spacing w:before="80"/>
            </w:pPr>
            <w:r w:rsidRPr="00416070">
              <w:rPr>
                <w:rFonts w:cs="Tahoma"/>
              </w:rPr>
              <w:t>Office 365 (Enterprise E1)</w:t>
            </w:r>
          </w:p>
          <w:p w:rsidR="00456002" w:rsidRPr="00416070" w:rsidRDefault="00456002" w:rsidP="007E466C">
            <w:pPr>
              <w:numPr>
                <w:ilvl w:val="0"/>
                <w:numId w:val="50"/>
              </w:numPr>
              <w:spacing w:before="80"/>
            </w:pPr>
            <w:r w:rsidRPr="00416070">
              <w:rPr>
                <w:rFonts w:cs="Tahoma"/>
              </w:rPr>
              <w:t>Office 365 (Enterprise E2)</w:t>
            </w:r>
          </w:p>
          <w:p w:rsidR="00456002" w:rsidRPr="00416070" w:rsidRDefault="00456002" w:rsidP="007E466C">
            <w:pPr>
              <w:numPr>
                <w:ilvl w:val="0"/>
                <w:numId w:val="50"/>
              </w:numPr>
              <w:spacing w:before="80"/>
            </w:pPr>
            <w:r w:rsidRPr="00416070">
              <w:rPr>
                <w:rFonts w:cs="Tahoma"/>
              </w:rPr>
              <w:t>Office 365 (Enterprise E3)</w:t>
            </w:r>
          </w:p>
          <w:p w:rsidR="00F07AD2" w:rsidRPr="00416070" w:rsidRDefault="00F07AD2" w:rsidP="00F07AD2">
            <w:pPr>
              <w:spacing w:before="80"/>
              <w:rPr>
                <w:rFonts w:cs="Tahoma"/>
              </w:rPr>
            </w:pPr>
          </w:p>
          <w:p w:rsidR="00F07AD2" w:rsidRPr="00416070" w:rsidRDefault="00F07AD2" w:rsidP="00F07AD2">
            <w:pPr>
              <w:spacing w:before="80"/>
              <w:rPr>
                <w:rFonts w:cs="Tahoma"/>
              </w:rPr>
            </w:pPr>
          </w:p>
          <w:p w:rsidR="00F07AD2" w:rsidRPr="00416070" w:rsidRDefault="00F07AD2" w:rsidP="00F07AD2">
            <w:pPr>
              <w:spacing w:before="80"/>
            </w:pPr>
          </w:p>
          <w:p w:rsidR="00456002" w:rsidRPr="00416070" w:rsidRDefault="00456002" w:rsidP="007E466C">
            <w:pPr>
              <w:numPr>
                <w:ilvl w:val="0"/>
                <w:numId w:val="50"/>
              </w:numPr>
              <w:spacing w:before="80"/>
            </w:pPr>
            <w:r w:rsidRPr="00416070">
              <w:rPr>
                <w:rFonts w:cs="Tahoma"/>
              </w:rPr>
              <w:lastRenderedPageBreak/>
              <w:t>Office 365 (Enterprise E4)</w:t>
            </w:r>
          </w:p>
          <w:p w:rsidR="005272FA" w:rsidRPr="00416070" w:rsidRDefault="005272FA" w:rsidP="005272FA">
            <w:pPr>
              <w:numPr>
                <w:ilvl w:val="0"/>
                <w:numId w:val="50"/>
              </w:numPr>
              <w:spacing w:before="80"/>
              <w:jc w:val="both"/>
            </w:pPr>
            <w:r w:rsidRPr="00416070">
              <w:rPr>
                <w:rFonts w:cs="Tahoma"/>
                <w:color w:val="000000"/>
              </w:rPr>
              <w:t>Office 365 (Government G1)</w:t>
            </w:r>
          </w:p>
          <w:p w:rsidR="005272FA" w:rsidRPr="00416070" w:rsidRDefault="005272FA" w:rsidP="005272FA">
            <w:pPr>
              <w:numPr>
                <w:ilvl w:val="0"/>
                <w:numId w:val="50"/>
              </w:numPr>
              <w:spacing w:before="80"/>
              <w:jc w:val="both"/>
            </w:pPr>
            <w:r w:rsidRPr="00416070">
              <w:rPr>
                <w:rFonts w:cs="Tahoma"/>
                <w:color w:val="000000"/>
              </w:rPr>
              <w:t>Office 365 (Government G2)</w:t>
            </w:r>
          </w:p>
          <w:p w:rsidR="005272FA" w:rsidRPr="00416070" w:rsidRDefault="005272FA" w:rsidP="005272FA">
            <w:pPr>
              <w:numPr>
                <w:ilvl w:val="0"/>
                <w:numId w:val="50"/>
              </w:numPr>
              <w:spacing w:before="80"/>
              <w:jc w:val="both"/>
            </w:pPr>
            <w:r w:rsidRPr="00416070">
              <w:rPr>
                <w:rFonts w:cs="Tahoma"/>
                <w:color w:val="000000"/>
              </w:rPr>
              <w:t>Office 365 (Government G3)</w:t>
            </w:r>
          </w:p>
          <w:p w:rsidR="005272FA" w:rsidRPr="00416070" w:rsidRDefault="005272FA" w:rsidP="005272FA">
            <w:pPr>
              <w:numPr>
                <w:ilvl w:val="0"/>
                <w:numId w:val="50"/>
              </w:numPr>
              <w:spacing w:before="80"/>
              <w:jc w:val="both"/>
            </w:pPr>
            <w:r w:rsidRPr="00416070">
              <w:rPr>
                <w:rFonts w:cs="Tahoma"/>
                <w:color w:val="000000"/>
              </w:rPr>
              <w:t>Office 365 (Government G4)</w:t>
            </w:r>
          </w:p>
          <w:p w:rsidR="005272FA" w:rsidRPr="00416070" w:rsidRDefault="005272FA" w:rsidP="007E466C">
            <w:pPr>
              <w:spacing w:before="80"/>
              <w:ind w:left="522"/>
              <w:rPr>
                <w:rFonts w:cs="Tahoma"/>
              </w:rPr>
            </w:pPr>
          </w:p>
        </w:tc>
        <w:tc>
          <w:tcPr>
            <w:tcW w:w="2500" w:type="pct"/>
          </w:tcPr>
          <w:p w:rsidR="00456002" w:rsidRPr="00416070" w:rsidRDefault="00456002" w:rsidP="007E466C">
            <w:pPr>
              <w:numPr>
                <w:ilvl w:val="0"/>
                <w:numId w:val="50"/>
              </w:numPr>
              <w:spacing w:before="80"/>
              <w:jc w:val="both"/>
            </w:pPr>
            <w:r w:rsidRPr="00416070">
              <w:rPr>
                <w:rFonts w:cs="Tahoma"/>
                <w:color w:val="000000"/>
              </w:rPr>
              <w:lastRenderedPageBreak/>
              <w:t>Office Web Applications*</w:t>
            </w:r>
          </w:p>
          <w:p w:rsidR="00CE1716" w:rsidRPr="00416070" w:rsidRDefault="00CE1716" w:rsidP="007E466C">
            <w:pPr>
              <w:numPr>
                <w:ilvl w:val="0"/>
                <w:numId w:val="50"/>
              </w:numPr>
              <w:spacing w:before="80"/>
              <w:jc w:val="both"/>
            </w:pPr>
            <w:r w:rsidRPr="00416070">
              <w:rPr>
                <w:rFonts w:cs="Tahoma"/>
                <w:color w:val="000000"/>
              </w:rPr>
              <w:t>Project Online</w:t>
            </w:r>
          </w:p>
          <w:p w:rsidR="005272FA" w:rsidRPr="00416070" w:rsidRDefault="005272FA" w:rsidP="007E466C">
            <w:pPr>
              <w:numPr>
                <w:ilvl w:val="0"/>
                <w:numId w:val="50"/>
              </w:numPr>
              <w:spacing w:before="80"/>
              <w:jc w:val="both"/>
            </w:pPr>
            <w:r w:rsidRPr="00416070">
              <w:rPr>
                <w:rFonts w:cs="Tahoma"/>
                <w:color w:val="000000"/>
              </w:rPr>
              <w:t>Project Pro para Office 365*</w:t>
            </w:r>
          </w:p>
          <w:p w:rsidR="00456002" w:rsidRPr="00416070" w:rsidRDefault="00456002" w:rsidP="007E466C">
            <w:pPr>
              <w:numPr>
                <w:ilvl w:val="0"/>
                <w:numId w:val="50"/>
              </w:numPr>
              <w:spacing w:before="80"/>
              <w:jc w:val="both"/>
            </w:pPr>
            <w:r w:rsidRPr="00416070">
              <w:rPr>
                <w:rFonts w:cs="Tahoma"/>
                <w:color w:val="000000"/>
              </w:rPr>
              <w:t>SharePoint Online Plano 1*</w:t>
            </w:r>
          </w:p>
          <w:p w:rsidR="00456002" w:rsidRPr="00416070" w:rsidRDefault="00456002" w:rsidP="007E466C">
            <w:pPr>
              <w:numPr>
                <w:ilvl w:val="0"/>
                <w:numId w:val="50"/>
              </w:numPr>
              <w:spacing w:before="80"/>
              <w:jc w:val="both"/>
            </w:pPr>
            <w:r w:rsidRPr="00416070">
              <w:rPr>
                <w:rFonts w:cs="Tahoma"/>
                <w:color w:val="000000"/>
              </w:rPr>
              <w:t>SharePoint Online Plano 2*</w:t>
            </w:r>
          </w:p>
          <w:p w:rsidR="00456002" w:rsidRPr="008D38F6" w:rsidRDefault="00456002" w:rsidP="007E466C">
            <w:pPr>
              <w:numPr>
                <w:ilvl w:val="0"/>
                <w:numId w:val="50"/>
              </w:numPr>
              <w:spacing w:before="80"/>
              <w:ind w:right="270"/>
              <w:jc w:val="both"/>
              <w:rPr>
                <w:lang w:val="pt-BR"/>
              </w:rPr>
            </w:pPr>
            <w:r w:rsidRPr="008D38F6">
              <w:rPr>
                <w:rFonts w:cs="Tahoma"/>
                <w:color w:val="000000"/>
                <w:lang w:val="pt-BR"/>
              </w:rPr>
              <w:t>Acesso para Parceiros do SharePoint Online*</w:t>
            </w:r>
          </w:p>
          <w:p w:rsidR="00456002" w:rsidRPr="00416070" w:rsidRDefault="00456002" w:rsidP="007E466C">
            <w:pPr>
              <w:numPr>
                <w:ilvl w:val="0"/>
                <w:numId w:val="50"/>
              </w:numPr>
              <w:spacing w:before="80"/>
              <w:jc w:val="both"/>
            </w:pPr>
            <w:r w:rsidRPr="00416070">
              <w:rPr>
                <w:rFonts w:cs="Tahoma"/>
                <w:color w:val="000000"/>
              </w:rPr>
              <w:t>Windows Intune</w:t>
            </w:r>
          </w:p>
          <w:p w:rsidR="00456002" w:rsidRPr="00416070" w:rsidRDefault="00456002" w:rsidP="007E466C">
            <w:pPr>
              <w:numPr>
                <w:ilvl w:val="0"/>
                <w:numId w:val="50"/>
              </w:numPr>
              <w:spacing w:before="80"/>
              <w:jc w:val="both"/>
            </w:pPr>
            <w:r w:rsidRPr="00416070">
              <w:rPr>
                <w:rFonts w:cs="Tahoma"/>
                <w:color w:val="000000"/>
              </w:rPr>
              <w:t>Windows Intune Complementar*</w:t>
            </w:r>
          </w:p>
          <w:p w:rsidR="00A2058E" w:rsidRPr="00416070" w:rsidRDefault="00A2058E" w:rsidP="007E466C">
            <w:pPr>
              <w:numPr>
                <w:ilvl w:val="0"/>
                <w:numId w:val="50"/>
              </w:numPr>
              <w:spacing w:before="80"/>
              <w:jc w:val="both"/>
            </w:pPr>
            <w:r w:rsidRPr="00416070">
              <w:rPr>
                <w:rFonts w:cs="Tahoma"/>
                <w:color w:val="000000"/>
              </w:rPr>
              <w:t>Microsoft Dynamics CRM Online*</w:t>
            </w:r>
          </w:p>
          <w:p w:rsidR="005272FA" w:rsidRPr="00416070" w:rsidRDefault="005272FA" w:rsidP="007E466C">
            <w:pPr>
              <w:numPr>
                <w:ilvl w:val="0"/>
                <w:numId w:val="50"/>
              </w:numPr>
              <w:spacing w:before="80"/>
              <w:jc w:val="both"/>
            </w:pPr>
            <w:r w:rsidRPr="00416070">
              <w:rPr>
                <w:rFonts w:cs="Tahoma"/>
                <w:color w:val="000000"/>
              </w:rPr>
              <w:t>Visio Pro para Office 365*</w:t>
            </w:r>
          </w:p>
          <w:p w:rsidR="00F27B29" w:rsidRPr="00416070" w:rsidRDefault="00F27B29" w:rsidP="007E466C">
            <w:pPr>
              <w:numPr>
                <w:ilvl w:val="0"/>
                <w:numId w:val="50"/>
              </w:numPr>
              <w:spacing w:before="80" w:after="120"/>
              <w:jc w:val="both"/>
              <w:rPr>
                <w:rFonts w:cs="Tahoma"/>
              </w:rPr>
            </w:pPr>
            <w:r w:rsidRPr="00416070">
              <w:rPr>
                <w:rFonts w:cs="Tahoma"/>
                <w:color w:val="000000"/>
              </w:rPr>
              <w:t>Yammer Enterprise</w:t>
            </w:r>
          </w:p>
        </w:tc>
      </w:tr>
    </w:tbl>
    <w:p w:rsidR="00A12176" w:rsidRPr="00416070" w:rsidRDefault="00456002" w:rsidP="001E7C5F">
      <w:pPr>
        <w:tabs>
          <w:tab w:val="left" w:pos="360"/>
        </w:tabs>
        <w:ind w:left="720"/>
      </w:pPr>
      <w:r w:rsidRPr="00416070">
        <w:rPr>
          <w:rFonts w:cs="Tahoma"/>
          <w:i/>
          <w:sz w:val="16"/>
          <w:szCs w:val="20"/>
        </w:rPr>
        <w:lastRenderedPageBreak/>
        <w:t>* Produto Adicional</w:t>
      </w:r>
      <w:bookmarkStart w:id="683" w:name="_Toc336338196"/>
    </w:p>
    <w:p w:rsidR="00A12176" w:rsidRPr="00416070" w:rsidRDefault="00A12176" w:rsidP="00366502">
      <w:pPr>
        <w:pStyle w:val="Heading2"/>
        <w:ind w:left="0"/>
        <w:rPr>
          <w:rFonts w:ascii="Tahoma" w:hAnsi="Tahoma" w:cs="Tahoma"/>
          <w:sz w:val="18"/>
          <w:szCs w:val="18"/>
        </w:rPr>
      </w:pPr>
    </w:p>
    <w:p w:rsidR="00456002" w:rsidRPr="00416070" w:rsidRDefault="00456002" w:rsidP="00366502">
      <w:pPr>
        <w:pStyle w:val="Heading2"/>
        <w:ind w:left="0"/>
      </w:pPr>
      <w:bookmarkStart w:id="684" w:name="_Toc352234264"/>
      <w:r w:rsidRPr="00416070">
        <w:rPr>
          <w:rFonts w:ascii="Tahoma" w:hAnsi="Tahoma" w:cs="Tahoma"/>
        </w:rPr>
        <w:t>Continuidade do Serviço por meio de Prazo Estendido</w:t>
      </w:r>
      <w:bookmarkEnd w:id="683"/>
      <w:bookmarkEnd w:id="684"/>
      <w:r w:rsidRPr="00416070">
        <w:rPr>
          <w:rFonts w:ascii="Tahoma" w:eastAsia="Times New Roman" w:hAnsi="Tahoma" w:cs="Tahoma"/>
          <w:sz w:val="20"/>
        </w:rPr>
        <w:t xml:space="preserve"> </w:t>
      </w:r>
    </w:p>
    <w:p w:rsidR="00456002" w:rsidRPr="008D38F6" w:rsidRDefault="00456002" w:rsidP="00366502">
      <w:pPr>
        <w:tabs>
          <w:tab w:val="left" w:pos="360"/>
        </w:tabs>
        <w:rPr>
          <w:lang w:val="pt-BR"/>
        </w:rPr>
      </w:pPr>
    </w:p>
    <w:p w:rsidR="00456002" w:rsidRPr="008D38F6" w:rsidRDefault="00456002" w:rsidP="00366502">
      <w:pPr>
        <w:tabs>
          <w:tab w:val="left" w:pos="360"/>
        </w:tabs>
        <w:rPr>
          <w:lang w:val="pt-BR"/>
        </w:rPr>
      </w:pPr>
      <w:r w:rsidRPr="008D38F6">
        <w:rPr>
          <w:rFonts w:cs="Tahoma"/>
          <w:b/>
          <w:szCs w:val="20"/>
          <w:lang w:val="pt-BR"/>
        </w:rPr>
        <w:t>Observação:</w:t>
      </w:r>
      <w:r w:rsidRPr="008D38F6">
        <w:rPr>
          <w:rFonts w:cs="Tahoma"/>
          <w:szCs w:val="20"/>
          <w:lang w:val="pt-BR"/>
        </w:rPr>
        <w:t xml:space="preserve"> O seguinte se aplica aos clientes do Registro Enterprise e Enterprise Subscription qualificados para continuidade do serviço por meio de Prazo Estendido.</w:t>
      </w:r>
      <w:r w:rsidR="00FB5496" w:rsidRPr="008D38F6">
        <w:rPr>
          <w:rFonts w:cs="Tahoma"/>
          <w:szCs w:val="20"/>
          <w:lang w:val="pt-BR"/>
        </w:rPr>
        <w:t xml:space="preserve"> </w:t>
      </w:r>
      <w:r w:rsidRPr="008D38F6">
        <w:rPr>
          <w:rFonts w:cs="Tahoma"/>
          <w:szCs w:val="20"/>
          <w:lang w:val="pt-BR"/>
        </w:rPr>
        <w:t>Os clientes que tiverem dúvidas sobre sua qualificação para continuidade do serviço por meio do Prazo Estendido devem entrar em contato com o Consultor de Software, Revendedor ou Gerente de Conta Microsoft para obter mais informações.</w:t>
      </w:r>
    </w:p>
    <w:p w:rsidR="00456002" w:rsidRPr="008D38F6" w:rsidRDefault="00456002" w:rsidP="00366502">
      <w:pPr>
        <w:tabs>
          <w:tab w:val="left" w:pos="360"/>
        </w:tabs>
        <w:rPr>
          <w:lang w:val="pt-BR"/>
        </w:rPr>
      </w:pPr>
    </w:p>
    <w:p w:rsidR="00456002" w:rsidRPr="008D38F6" w:rsidRDefault="00456002" w:rsidP="00AA0B4F">
      <w:pPr>
        <w:tabs>
          <w:tab w:val="left" w:pos="360"/>
        </w:tabs>
        <w:rPr>
          <w:lang w:val="pt-BR"/>
        </w:rPr>
      </w:pPr>
      <w:r w:rsidRPr="008D38F6">
        <w:rPr>
          <w:rFonts w:cs="Tahoma"/>
          <w:szCs w:val="20"/>
          <w:lang w:val="pt-BR"/>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(“coextensiva”) para obter a qualificação para a Continuidade do</w:t>
      </w:r>
      <w:r w:rsidR="00AA0B4F" w:rsidRPr="008D38F6">
        <w:rPr>
          <w:rFonts w:cs="Tahoma"/>
          <w:szCs w:val="20"/>
          <w:lang w:val="pt-BR"/>
        </w:rPr>
        <w:t> </w:t>
      </w:r>
      <w:r w:rsidRPr="008D38F6">
        <w:rPr>
          <w:rFonts w:cs="Tahoma"/>
          <w:szCs w:val="20"/>
          <w:lang w:val="pt-BR"/>
        </w:rPr>
        <w:t>Serviço por meio do Prazo Estendido:</w:t>
      </w:r>
    </w:p>
    <w:p w:rsidR="00456002" w:rsidRPr="008D38F6" w:rsidRDefault="00456002" w:rsidP="0014632E">
      <w:pPr>
        <w:ind w:left="720"/>
        <w:rPr>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416070" w:rsidTr="005C647E">
        <w:trPr>
          <w:trHeight w:val="80"/>
          <w:tblHeader/>
        </w:trPr>
        <w:tc>
          <w:tcPr>
            <w:tcW w:w="5000" w:type="pct"/>
            <w:gridSpan w:val="2"/>
            <w:shd w:val="clear" w:color="auto" w:fill="FABF8F"/>
          </w:tcPr>
          <w:p w:rsidR="00456002" w:rsidRPr="00416070" w:rsidRDefault="00456002" w:rsidP="005C647E">
            <w:pPr>
              <w:jc w:val="center"/>
              <w:rPr>
                <w:rFonts w:cs="Tahoma"/>
                <w:b/>
                <w:sz w:val="20"/>
              </w:rPr>
            </w:pPr>
            <w:r w:rsidRPr="00416070">
              <w:rPr>
                <w:rFonts w:cs="Tahoma"/>
                <w:b/>
                <w:sz w:val="20"/>
              </w:rPr>
              <w:t>Serviços Online</w:t>
            </w:r>
          </w:p>
        </w:tc>
      </w:tr>
      <w:tr w:rsidR="00456002" w:rsidRPr="00416070" w:rsidTr="005C647E">
        <w:trPr>
          <w:trHeight w:val="219"/>
        </w:trPr>
        <w:tc>
          <w:tcPr>
            <w:tcW w:w="2603" w:type="pct"/>
          </w:tcPr>
          <w:p w:rsidR="00456002" w:rsidRPr="00416070" w:rsidRDefault="00456002" w:rsidP="007E466C">
            <w:pPr>
              <w:keepNext/>
              <w:numPr>
                <w:ilvl w:val="0"/>
                <w:numId w:val="50"/>
              </w:numPr>
              <w:spacing w:before="80"/>
              <w:ind w:left="905" w:hanging="540"/>
              <w:jc w:val="both"/>
            </w:pPr>
            <w:r w:rsidRPr="00416070">
              <w:rPr>
                <w:rFonts w:cs="Tahoma"/>
              </w:rPr>
              <w:t>Quiosque do Exchange Online*</w:t>
            </w:r>
          </w:p>
          <w:p w:rsidR="00456002" w:rsidRPr="00416070" w:rsidRDefault="00456002" w:rsidP="007E466C">
            <w:pPr>
              <w:keepNext/>
              <w:numPr>
                <w:ilvl w:val="0"/>
                <w:numId w:val="50"/>
              </w:numPr>
              <w:spacing w:before="80"/>
              <w:ind w:left="905" w:hanging="540"/>
              <w:jc w:val="both"/>
            </w:pPr>
            <w:r w:rsidRPr="00416070">
              <w:rPr>
                <w:rFonts w:cs="Tahoma"/>
              </w:rPr>
              <w:t>Exchange Online Plano 1*</w:t>
            </w:r>
          </w:p>
          <w:p w:rsidR="00456002" w:rsidRPr="00416070" w:rsidRDefault="00456002" w:rsidP="007E466C">
            <w:pPr>
              <w:keepNext/>
              <w:numPr>
                <w:ilvl w:val="0"/>
                <w:numId w:val="50"/>
              </w:numPr>
              <w:spacing w:before="80"/>
              <w:ind w:left="905" w:hanging="540"/>
              <w:jc w:val="both"/>
            </w:pPr>
            <w:r w:rsidRPr="00416070">
              <w:rPr>
                <w:rFonts w:cs="Tahoma"/>
              </w:rPr>
              <w:t>Exchange Online Plano 2*</w:t>
            </w:r>
          </w:p>
          <w:p w:rsidR="00456002" w:rsidRPr="00416070" w:rsidRDefault="00456002" w:rsidP="007E466C">
            <w:pPr>
              <w:keepNext/>
              <w:numPr>
                <w:ilvl w:val="0"/>
                <w:numId w:val="50"/>
              </w:numPr>
              <w:spacing w:before="80"/>
              <w:ind w:left="905" w:hanging="540"/>
              <w:jc w:val="both"/>
            </w:pPr>
            <w:r w:rsidRPr="00416070">
              <w:rPr>
                <w:rFonts w:cs="Tahoma"/>
              </w:rPr>
              <w:t>Lync Online Plano 1*</w:t>
            </w:r>
          </w:p>
          <w:p w:rsidR="00456002" w:rsidRPr="00416070" w:rsidRDefault="00456002" w:rsidP="007E466C">
            <w:pPr>
              <w:keepNext/>
              <w:numPr>
                <w:ilvl w:val="0"/>
                <w:numId w:val="50"/>
              </w:numPr>
              <w:spacing w:before="80"/>
              <w:ind w:left="905" w:hanging="540"/>
              <w:jc w:val="both"/>
            </w:pPr>
            <w:r w:rsidRPr="00416070">
              <w:rPr>
                <w:rFonts w:cs="Tahoma"/>
              </w:rPr>
              <w:t>Lync Online Plano 2*</w:t>
            </w:r>
          </w:p>
          <w:p w:rsidR="00E77288" w:rsidRPr="00416070" w:rsidRDefault="00E77288" w:rsidP="007E466C">
            <w:pPr>
              <w:keepNext/>
              <w:numPr>
                <w:ilvl w:val="0"/>
                <w:numId w:val="50"/>
              </w:numPr>
              <w:spacing w:before="80"/>
              <w:ind w:left="905" w:hanging="540"/>
              <w:jc w:val="both"/>
            </w:pPr>
            <w:r w:rsidRPr="00416070">
              <w:rPr>
                <w:rFonts w:cs="Tahoma"/>
              </w:rPr>
              <w:t>Lync Online Plano 3*</w:t>
            </w:r>
          </w:p>
          <w:p w:rsidR="00456002" w:rsidRPr="00416070" w:rsidRDefault="00456002" w:rsidP="007E466C">
            <w:pPr>
              <w:keepNext/>
              <w:numPr>
                <w:ilvl w:val="0"/>
                <w:numId w:val="50"/>
              </w:numPr>
              <w:spacing w:before="80"/>
              <w:ind w:left="905" w:hanging="540"/>
              <w:jc w:val="both"/>
            </w:pPr>
            <w:r w:rsidRPr="00416070">
              <w:rPr>
                <w:rFonts w:cs="Tahoma"/>
              </w:rPr>
              <w:t>Office 365 (Enterprise K1)*</w:t>
            </w:r>
          </w:p>
          <w:p w:rsidR="00456002" w:rsidRPr="00416070" w:rsidRDefault="00456002" w:rsidP="007E466C">
            <w:pPr>
              <w:keepNext/>
              <w:numPr>
                <w:ilvl w:val="0"/>
                <w:numId w:val="50"/>
              </w:numPr>
              <w:spacing w:before="80"/>
              <w:ind w:left="905" w:hanging="540"/>
              <w:jc w:val="both"/>
            </w:pPr>
            <w:r w:rsidRPr="00416070">
              <w:rPr>
                <w:rFonts w:cs="Tahoma"/>
              </w:rPr>
              <w:t>Office 365 (Enterprise K2)*</w:t>
            </w:r>
          </w:p>
          <w:p w:rsidR="00456002" w:rsidRPr="00416070" w:rsidRDefault="00456002" w:rsidP="007E466C">
            <w:pPr>
              <w:keepNext/>
              <w:numPr>
                <w:ilvl w:val="0"/>
                <w:numId w:val="50"/>
              </w:numPr>
              <w:spacing w:before="80"/>
              <w:ind w:left="905" w:hanging="540"/>
              <w:jc w:val="both"/>
            </w:pPr>
            <w:r w:rsidRPr="00416070">
              <w:rPr>
                <w:rFonts w:cs="Tahoma"/>
              </w:rPr>
              <w:t>Office 365 (Enterprise E1)</w:t>
            </w:r>
          </w:p>
          <w:p w:rsidR="00456002" w:rsidRPr="00416070" w:rsidRDefault="00456002" w:rsidP="007E466C">
            <w:pPr>
              <w:keepNext/>
              <w:numPr>
                <w:ilvl w:val="0"/>
                <w:numId w:val="50"/>
              </w:numPr>
              <w:spacing w:before="80"/>
              <w:ind w:left="905" w:hanging="540"/>
              <w:jc w:val="both"/>
            </w:pPr>
            <w:r w:rsidRPr="00416070">
              <w:rPr>
                <w:rFonts w:cs="Tahoma"/>
              </w:rPr>
              <w:t>Office 365 (Enterprise E2)</w:t>
            </w:r>
          </w:p>
          <w:p w:rsidR="00456002" w:rsidRPr="00416070" w:rsidRDefault="00456002" w:rsidP="007E466C">
            <w:pPr>
              <w:keepNext/>
              <w:numPr>
                <w:ilvl w:val="0"/>
                <w:numId w:val="50"/>
              </w:numPr>
              <w:spacing w:before="80"/>
              <w:ind w:left="895" w:hanging="530"/>
              <w:jc w:val="both"/>
            </w:pPr>
            <w:r w:rsidRPr="00416070">
              <w:rPr>
                <w:rFonts w:cs="Tahoma"/>
              </w:rPr>
              <w:t>Office 365 (Enterprise E3)</w:t>
            </w:r>
          </w:p>
          <w:p w:rsidR="00456002" w:rsidRPr="00416070" w:rsidRDefault="00456002" w:rsidP="007E466C">
            <w:pPr>
              <w:keepNext/>
              <w:numPr>
                <w:ilvl w:val="0"/>
                <w:numId w:val="50"/>
              </w:numPr>
              <w:spacing w:before="80"/>
              <w:ind w:left="895" w:hanging="530"/>
              <w:jc w:val="both"/>
              <w:rPr>
                <w:rFonts w:cs="Tahoma"/>
              </w:rPr>
            </w:pPr>
            <w:r w:rsidRPr="00416070">
              <w:rPr>
                <w:rFonts w:cs="Tahoma"/>
              </w:rPr>
              <w:t>Office 365 (Enterprise E4)</w:t>
            </w:r>
          </w:p>
        </w:tc>
        <w:tc>
          <w:tcPr>
            <w:tcW w:w="2397" w:type="pct"/>
          </w:tcPr>
          <w:p w:rsidR="00C177EF" w:rsidRPr="00416070" w:rsidRDefault="00C177EF" w:rsidP="007E466C">
            <w:pPr>
              <w:keepNext/>
              <w:numPr>
                <w:ilvl w:val="0"/>
                <w:numId w:val="50"/>
              </w:numPr>
              <w:spacing w:before="80"/>
              <w:ind w:left="725"/>
              <w:jc w:val="both"/>
            </w:pPr>
            <w:r w:rsidRPr="00416070">
              <w:rPr>
                <w:rFonts w:cs="Tahoma"/>
              </w:rPr>
              <w:t>Microsoft Dynamics CRM Online*</w:t>
            </w:r>
          </w:p>
          <w:p w:rsidR="009E224B" w:rsidRPr="00416070" w:rsidRDefault="009E224B" w:rsidP="007E466C">
            <w:pPr>
              <w:keepNext/>
              <w:numPr>
                <w:ilvl w:val="0"/>
                <w:numId w:val="50"/>
              </w:numPr>
              <w:spacing w:before="80"/>
              <w:ind w:left="725"/>
              <w:jc w:val="both"/>
            </w:pPr>
            <w:r w:rsidRPr="00416070">
              <w:rPr>
                <w:rFonts w:cs="Tahoma"/>
              </w:rPr>
              <w:t>Office 365 (Government G1)</w:t>
            </w:r>
          </w:p>
          <w:p w:rsidR="009E224B" w:rsidRPr="00416070" w:rsidRDefault="009E224B" w:rsidP="007E466C">
            <w:pPr>
              <w:keepNext/>
              <w:numPr>
                <w:ilvl w:val="0"/>
                <w:numId w:val="50"/>
              </w:numPr>
              <w:spacing w:before="80"/>
              <w:ind w:left="725"/>
              <w:jc w:val="both"/>
            </w:pPr>
            <w:r w:rsidRPr="00416070">
              <w:rPr>
                <w:rFonts w:cs="Tahoma"/>
              </w:rPr>
              <w:t>Office 365 (Government G2)</w:t>
            </w:r>
          </w:p>
          <w:p w:rsidR="009E224B" w:rsidRPr="00416070" w:rsidRDefault="009E224B" w:rsidP="007E466C">
            <w:pPr>
              <w:keepNext/>
              <w:numPr>
                <w:ilvl w:val="0"/>
                <w:numId w:val="50"/>
              </w:numPr>
              <w:spacing w:before="80"/>
              <w:ind w:left="725"/>
              <w:jc w:val="both"/>
            </w:pPr>
            <w:r w:rsidRPr="00416070">
              <w:rPr>
                <w:rFonts w:cs="Tahoma"/>
              </w:rPr>
              <w:t>Office 365 (Government G3)</w:t>
            </w:r>
          </w:p>
          <w:p w:rsidR="009E224B" w:rsidRPr="00416070" w:rsidRDefault="009E224B" w:rsidP="007E466C">
            <w:pPr>
              <w:keepNext/>
              <w:numPr>
                <w:ilvl w:val="0"/>
                <w:numId w:val="50"/>
              </w:numPr>
              <w:spacing w:before="80"/>
              <w:ind w:left="725"/>
              <w:jc w:val="both"/>
            </w:pPr>
            <w:r w:rsidRPr="00416070">
              <w:rPr>
                <w:rFonts w:cs="Tahoma"/>
              </w:rPr>
              <w:t>Office 365 (Government G4)</w:t>
            </w:r>
          </w:p>
          <w:p w:rsidR="00456002" w:rsidRPr="00416070" w:rsidRDefault="00456002" w:rsidP="007E466C">
            <w:pPr>
              <w:keepNext/>
              <w:numPr>
                <w:ilvl w:val="0"/>
                <w:numId w:val="50"/>
              </w:numPr>
              <w:spacing w:before="80"/>
              <w:ind w:left="725"/>
              <w:jc w:val="both"/>
            </w:pPr>
            <w:r w:rsidRPr="00416070">
              <w:rPr>
                <w:rFonts w:cs="Tahoma"/>
              </w:rPr>
              <w:t>Office Web Applications*</w:t>
            </w:r>
          </w:p>
          <w:p w:rsidR="00C177EF" w:rsidRPr="00416070" w:rsidRDefault="00C177EF" w:rsidP="007E466C">
            <w:pPr>
              <w:keepNext/>
              <w:numPr>
                <w:ilvl w:val="0"/>
                <w:numId w:val="50"/>
              </w:numPr>
              <w:spacing w:before="80"/>
              <w:ind w:left="725"/>
              <w:jc w:val="both"/>
            </w:pPr>
            <w:r w:rsidRPr="00416070">
              <w:rPr>
                <w:rFonts w:cs="Tahoma"/>
              </w:rPr>
              <w:t>Project Online*</w:t>
            </w:r>
          </w:p>
          <w:p w:rsidR="00C177EF" w:rsidRPr="00416070" w:rsidRDefault="00C177EF" w:rsidP="007E466C">
            <w:pPr>
              <w:keepNext/>
              <w:numPr>
                <w:ilvl w:val="0"/>
                <w:numId w:val="50"/>
              </w:numPr>
              <w:spacing w:before="80"/>
              <w:ind w:left="725"/>
              <w:jc w:val="both"/>
            </w:pPr>
            <w:r w:rsidRPr="00416070">
              <w:rPr>
                <w:rFonts w:cs="Tahoma"/>
              </w:rPr>
              <w:t>Project Pro para Office 365*</w:t>
            </w:r>
          </w:p>
          <w:p w:rsidR="00456002" w:rsidRPr="00416070" w:rsidRDefault="00456002" w:rsidP="007E466C">
            <w:pPr>
              <w:keepNext/>
              <w:numPr>
                <w:ilvl w:val="0"/>
                <w:numId w:val="50"/>
              </w:numPr>
              <w:spacing w:before="80"/>
              <w:ind w:left="725"/>
              <w:jc w:val="both"/>
            </w:pPr>
            <w:r w:rsidRPr="00416070">
              <w:rPr>
                <w:rFonts w:cs="Tahoma"/>
              </w:rPr>
              <w:t>SharePoint Online Plano 1*</w:t>
            </w:r>
          </w:p>
          <w:p w:rsidR="00456002" w:rsidRPr="00416070" w:rsidRDefault="00456002" w:rsidP="007E466C">
            <w:pPr>
              <w:keepNext/>
              <w:numPr>
                <w:ilvl w:val="0"/>
                <w:numId w:val="50"/>
              </w:numPr>
              <w:spacing w:before="80"/>
              <w:ind w:left="725"/>
              <w:jc w:val="both"/>
            </w:pPr>
            <w:r w:rsidRPr="00416070">
              <w:rPr>
                <w:rFonts w:cs="Tahoma"/>
              </w:rPr>
              <w:t>SharePoint Online Plano 2*</w:t>
            </w:r>
          </w:p>
          <w:p w:rsidR="00456002" w:rsidRPr="008D38F6" w:rsidRDefault="00456002" w:rsidP="007E466C">
            <w:pPr>
              <w:keepNext/>
              <w:numPr>
                <w:ilvl w:val="0"/>
                <w:numId w:val="50"/>
              </w:numPr>
              <w:spacing w:before="80"/>
              <w:ind w:left="725"/>
              <w:jc w:val="both"/>
              <w:rPr>
                <w:lang w:val="pt-BR"/>
              </w:rPr>
            </w:pPr>
            <w:r w:rsidRPr="008D38F6">
              <w:rPr>
                <w:rFonts w:cs="Tahoma"/>
                <w:lang w:val="pt-BR"/>
              </w:rPr>
              <w:t>Acesso para Parceiros do SharePoint Online*</w:t>
            </w:r>
          </w:p>
          <w:p w:rsidR="00C177EF" w:rsidRPr="00416070" w:rsidRDefault="00C177EF" w:rsidP="007E466C">
            <w:pPr>
              <w:keepNext/>
              <w:numPr>
                <w:ilvl w:val="0"/>
                <w:numId w:val="50"/>
              </w:numPr>
              <w:spacing w:before="80"/>
              <w:ind w:left="725"/>
              <w:jc w:val="both"/>
            </w:pPr>
            <w:r w:rsidRPr="00416070">
              <w:rPr>
                <w:rFonts w:cs="Tahoma"/>
              </w:rPr>
              <w:t>Visio Pro para Office 365*</w:t>
            </w:r>
          </w:p>
          <w:p w:rsidR="00776E3B" w:rsidRPr="00416070" w:rsidRDefault="00776E3B" w:rsidP="007E466C">
            <w:pPr>
              <w:keepNext/>
              <w:numPr>
                <w:ilvl w:val="0"/>
                <w:numId w:val="50"/>
              </w:numPr>
              <w:spacing w:before="80"/>
              <w:ind w:left="725"/>
              <w:jc w:val="both"/>
            </w:pPr>
            <w:r w:rsidRPr="00416070">
              <w:rPr>
                <w:rFonts w:cs="Tahoma"/>
              </w:rPr>
              <w:t>Serviços do Windows Azure*</w:t>
            </w:r>
          </w:p>
          <w:p w:rsidR="00456002" w:rsidRPr="00416070" w:rsidRDefault="00456002" w:rsidP="007E466C">
            <w:pPr>
              <w:keepNext/>
              <w:numPr>
                <w:ilvl w:val="0"/>
                <w:numId w:val="50"/>
              </w:numPr>
              <w:spacing w:before="80"/>
              <w:ind w:left="720"/>
              <w:jc w:val="both"/>
            </w:pPr>
            <w:r w:rsidRPr="00416070">
              <w:rPr>
                <w:rFonts w:cs="Tahoma"/>
              </w:rPr>
              <w:t>Windows Intune</w:t>
            </w:r>
          </w:p>
          <w:p w:rsidR="00456002" w:rsidRPr="00416070" w:rsidRDefault="00456002" w:rsidP="007E466C">
            <w:pPr>
              <w:keepNext/>
              <w:numPr>
                <w:ilvl w:val="0"/>
                <w:numId w:val="50"/>
              </w:numPr>
              <w:spacing w:before="80"/>
              <w:ind w:left="725"/>
              <w:jc w:val="both"/>
            </w:pPr>
            <w:r w:rsidRPr="00416070">
              <w:rPr>
                <w:rFonts w:cs="Tahoma"/>
              </w:rPr>
              <w:t>Windows Intune Complementar*</w:t>
            </w:r>
          </w:p>
          <w:p w:rsidR="00F27B29" w:rsidRPr="00416070" w:rsidRDefault="00F27B29" w:rsidP="007E466C">
            <w:pPr>
              <w:keepNext/>
              <w:numPr>
                <w:ilvl w:val="0"/>
                <w:numId w:val="50"/>
              </w:numPr>
              <w:spacing w:before="80" w:after="120"/>
              <w:ind w:left="720"/>
              <w:jc w:val="both"/>
              <w:rPr>
                <w:rFonts w:cs="Tahoma"/>
              </w:rPr>
            </w:pPr>
            <w:r w:rsidRPr="00416070">
              <w:rPr>
                <w:rFonts w:cs="Tahoma"/>
              </w:rPr>
              <w:t>Yammer Enterprise*</w:t>
            </w:r>
          </w:p>
        </w:tc>
      </w:tr>
    </w:tbl>
    <w:p w:rsidR="00776E3B" w:rsidRPr="00416070" w:rsidRDefault="00776E3B" w:rsidP="00776E3B">
      <w:pPr>
        <w:tabs>
          <w:tab w:val="left" w:pos="360"/>
        </w:tabs>
        <w:ind w:left="720"/>
      </w:pPr>
      <w:r w:rsidRPr="00416070">
        <w:rPr>
          <w:rFonts w:cs="Tahoma"/>
          <w:i/>
          <w:sz w:val="16"/>
          <w:szCs w:val="20"/>
        </w:rPr>
        <w:t>* Produto Adicional</w:t>
      </w:r>
    </w:p>
    <w:p w:rsidR="00023FE7" w:rsidRPr="00416070" w:rsidRDefault="00023FE7" w:rsidP="003179E3">
      <w:pPr>
        <w:pStyle w:val="Heading1"/>
        <w:spacing w:before="0"/>
      </w:pPr>
      <w:r w:rsidRPr="00416070">
        <w:br w:type="page"/>
      </w:r>
      <w:bookmarkStart w:id="685" w:name="_Toc336338197"/>
      <w:bookmarkStart w:id="686" w:name="_Toc352234265"/>
      <w:r w:rsidRPr="00416070">
        <w:lastRenderedPageBreak/>
        <w:t>seção 4 – tipos de licença e valores</w:t>
      </w:r>
      <w:bookmarkEnd w:id="685"/>
      <w:bookmarkEnd w:id="686"/>
      <w:r w:rsidRPr="00416070">
        <w:t xml:space="preserve"> </w:t>
      </w:r>
    </w:p>
    <w:p w:rsidR="00023FE7" w:rsidRPr="00416070" w:rsidRDefault="00023FE7">
      <w:pPr>
        <w:pStyle w:val="Heading2"/>
        <w:ind w:left="0" w:right="720"/>
        <w:rPr>
          <w:rFonts w:ascii="Tahoma" w:hAnsi="Tahoma" w:cs="Tahoma"/>
        </w:rPr>
      </w:pPr>
    </w:p>
    <w:p w:rsidR="00456002" w:rsidRPr="00416070" w:rsidRDefault="00456002" w:rsidP="00456002">
      <w:pPr>
        <w:pStyle w:val="Heading2"/>
        <w:tabs>
          <w:tab w:val="left" w:pos="90"/>
        </w:tabs>
        <w:ind w:left="0" w:right="720"/>
      </w:pPr>
      <w:bookmarkStart w:id="687" w:name="_Toc336338198"/>
      <w:bookmarkStart w:id="688" w:name="_Toc352234266"/>
      <w:r w:rsidRPr="00416070">
        <w:rPr>
          <w:rFonts w:ascii="Tahoma" w:hAnsi="Tahoma" w:cs="Tahoma"/>
        </w:rPr>
        <w:t>Valores</w:t>
      </w:r>
      <w:bookmarkEnd w:id="687"/>
      <w:bookmarkEnd w:id="688"/>
      <w:r w:rsidRPr="00416070">
        <w:rPr>
          <w:rFonts w:ascii="Tahoma" w:hAnsi="Tahoma" w:cs="Tahoma"/>
        </w:rPr>
        <w:t xml:space="preserve"> </w:t>
      </w:r>
    </w:p>
    <w:p w:rsidR="00456002" w:rsidRPr="008D38F6" w:rsidRDefault="00456002" w:rsidP="00ED589D">
      <w:pPr>
        <w:ind w:right="720"/>
        <w:rPr>
          <w:lang w:val="pt-BR"/>
        </w:rPr>
      </w:pPr>
    </w:p>
    <w:p w:rsidR="00456002" w:rsidRPr="008D38F6" w:rsidRDefault="00456002" w:rsidP="0014632E">
      <w:pPr>
        <w:pStyle w:val="AppendixBodyText"/>
        <w:spacing w:after="0"/>
        <w:ind w:right="720"/>
        <w:rPr>
          <w:lang w:val="pt-BR"/>
        </w:rPr>
      </w:pPr>
      <w:r w:rsidRPr="008D38F6">
        <w:rPr>
          <w:rFonts w:ascii="Tahoma" w:hAnsi="Tahoma" w:cs="Tahoma"/>
          <w:sz w:val="18"/>
          <w:lang w:val="pt-BR"/>
        </w:rPr>
        <w:t>Este tipo de produto está disponível para alguns Serviços Online e produtos de software.</w:t>
      </w:r>
      <w:r w:rsidR="00FB5496" w:rsidRPr="008D38F6">
        <w:rPr>
          <w:rFonts w:ascii="Tahoma" w:hAnsi="Tahoma" w:cs="Tahoma"/>
          <w:sz w:val="18"/>
          <w:lang w:val="pt-BR"/>
        </w:rPr>
        <w:t xml:space="preserve"> </w:t>
      </w:r>
      <w:r w:rsidRPr="008D38F6">
        <w:rPr>
          <w:rFonts w:ascii="Tahoma" w:hAnsi="Tahoma" w:cs="Tahoma"/>
          <w:sz w:val="18"/>
          <w:lang w:val="pt-BR"/>
        </w:rPr>
        <w:t>Ele não é</w:t>
      </w:r>
      <w:r w:rsidR="0065498C" w:rsidRPr="008D38F6">
        <w:rPr>
          <w:rFonts w:ascii="Tahoma" w:hAnsi="Tahoma" w:cs="Tahoma"/>
          <w:sz w:val="18"/>
          <w:lang w:val="pt-BR"/>
        </w:rPr>
        <w:t> </w:t>
      </w:r>
      <w:r w:rsidRPr="008D38F6">
        <w:rPr>
          <w:rFonts w:ascii="Tahoma" w:hAnsi="Tahoma" w:cs="Tahoma"/>
          <w:sz w:val="18"/>
          <w:lang w:val="pt-BR"/>
        </w:rPr>
        <w:t>específico dessa versão.</w:t>
      </w:r>
      <w:r w:rsidR="00FB5496" w:rsidRPr="008D38F6">
        <w:rPr>
          <w:rFonts w:ascii="Tahoma" w:hAnsi="Tahoma" w:cs="Tahoma"/>
          <w:sz w:val="18"/>
          <w:lang w:val="pt-BR"/>
        </w:rPr>
        <w:t xml:space="preserve"> </w:t>
      </w:r>
      <w:r w:rsidRPr="008D38F6">
        <w:rPr>
          <w:rFonts w:ascii="Tahoma" w:hAnsi="Tahoma" w:cs="Tahoma"/>
          <w:sz w:val="18"/>
          <w:lang w:val="pt-BR"/>
        </w:rPr>
        <w:t>Pode estar associado a custos de instalação ou outras ofertas, como pacotes de</w:t>
      </w:r>
      <w:r w:rsidR="0065498C" w:rsidRPr="008D38F6">
        <w:rPr>
          <w:rFonts w:ascii="Tahoma" w:hAnsi="Tahoma" w:cs="Tahoma"/>
          <w:sz w:val="18"/>
          <w:lang w:val="pt-BR"/>
        </w:rPr>
        <w:t> </w:t>
      </w:r>
      <w:r w:rsidRPr="008D38F6">
        <w:rPr>
          <w:rFonts w:ascii="Tahoma" w:hAnsi="Tahoma" w:cs="Tahoma"/>
          <w:sz w:val="18"/>
          <w:lang w:val="pt-BR"/>
        </w:rPr>
        <w:t>ativação.</w:t>
      </w:r>
      <w:r w:rsidR="00FB5496" w:rsidRPr="008D38F6">
        <w:rPr>
          <w:rFonts w:ascii="Tahoma" w:hAnsi="Tahoma" w:cs="Tahoma"/>
          <w:sz w:val="18"/>
          <w:lang w:val="pt-BR"/>
        </w:rPr>
        <w:t xml:space="preserve"> </w:t>
      </w:r>
      <w:r w:rsidRPr="008D38F6">
        <w:rPr>
          <w:rFonts w:ascii="Tahoma" w:hAnsi="Tahoma" w:cs="Tahoma"/>
          <w:sz w:val="18"/>
          <w:lang w:val="pt-BR"/>
        </w:rPr>
        <w:t>Em geral, ele não confere direitos para usar um produto ou serviço online,</w:t>
      </w:r>
      <w:r w:rsidR="00FB5496" w:rsidRPr="008D38F6">
        <w:rPr>
          <w:rFonts w:ascii="Tahoma" w:hAnsi="Tahoma" w:cs="Tahoma"/>
          <w:sz w:val="18"/>
          <w:lang w:val="pt-BR"/>
        </w:rPr>
        <w:t xml:space="preserve"> </w:t>
      </w:r>
      <w:r w:rsidRPr="008D38F6">
        <w:rPr>
          <w:rFonts w:ascii="Tahoma" w:hAnsi="Tahoma" w:cs="Tahoma"/>
          <w:sz w:val="18"/>
          <w:lang w:val="pt-BR"/>
        </w:rPr>
        <w:t>como também não</w:t>
      </w:r>
      <w:r w:rsidR="0065498C" w:rsidRPr="008D38F6">
        <w:rPr>
          <w:rFonts w:ascii="Tahoma" w:hAnsi="Tahoma" w:cs="Tahoma"/>
          <w:sz w:val="18"/>
          <w:lang w:val="pt-BR"/>
        </w:rPr>
        <w:t> </w:t>
      </w:r>
      <w:r w:rsidRPr="008D38F6">
        <w:rPr>
          <w:rFonts w:ascii="Tahoma" w:hAnsi="Tahoma" w:cs="Tahoma"/>
          <w:sz w:val="18"/>
          <w:lang w:val="pt-BR"/>
        </w:rPr>
        <w:t>proporciona nenhum benefício nem cumpre nenhuma finalidade fora do serviço ou software ao qual corresponde.</w:t>
      </w:r>
      <w:r w:rsidR="00FB5496" w:rsidRPr="008D38F6">
        <w:rPr>
          <w:rFonts w:ascii="Tahoma" w:hAnsi="Tahoma" w:cs="Tahoma"/>
          <w:sz w:val="18"/>
          <w:lang w:val="pt-BR"/>
        </w:rPr>
        <w:t xml:space="preserve"> </w:t>
      </w:r>
      <w:r w:rsidRPr="008D38F6">
        <w:rPr>
          <w:rFonts w:ascii="Tahoma" w:hAnsi="Tahoma" w:cs="Tahoma"/>
          <w:sz w:val="18"/>
          <w:lang w:val="pt-BR"/>
        </w:rPr>
        <w:t>Estão disponíveis nos seguintes programas: Open, Open Value, Open Value Subscription, Select e Select Plus.</w:t>
      </w:r>
    </w:p>
    <w:p w:rsidR="00255158" w:rsidRPr="008D38F6" w:rsidRDefault="00255158" w:rsidP="0014632E">
      <w:pPr>
        <w:ind w:right="720"/>
        <w:rPr>
          <w:sz w:val="20"/>
          <w:szCs w:val="20"/>
          <w:lang w:val="pt-BR"/>
        </w:rPr>
      </w:pPr>
    </w:p>
    <w:p w:rsidR="00456002" w:rsidRPr="00416070" w:rsidRDefault="00456002" w:rsidP="00456002">
      <w:pPr>
        <w:pStyle w:val="Heading2"/>
        <w:tabs>
          <w:tab w:val="left" w:pos="90"/>
        </w:tabs>
        <w:ind w:left="0" w:right="720"/>
      </w:pPr>
      <w:bookmarkStart w:id="689" w:name="_Toc323819648"/>
      <w:bookmarkStart w:id="690" w:name="_Toc336338199"/>
      <w:bookmarkStart w:id="691" w:name="_Toc352234267"/>
      <w:r w:rsidRPr="00416070">
        <w:rPr>
          <w:rFonts w:ascii="Tahoma" w:hAnsi="Tahoma" w:cs="Tahoma"/>
        </w:rPr>
        <w:t>Licença</w:t>
      </w:r>
      <w:bookmarkEnd w:id="689"/>
      <w:bookmarkEnd w:id="690"/>
      <w:bookmarkEnd w:id="691"/>
    </w:p>
    <w:p w:rsidR="00456002" w:rsidRPr="008D38F6" w:rsidRDefault="00456002" w:rsidP="00ED589D">
      <w:pPr>
        <w:pStyle w:val="AppendixIndent"/>
        <w:tabs>
          <w:tab w:val="left" w:pos="90"/>
        </w:tabs>
        <w:spacing w:before="0"/>
        <w:ind w:left="0" w:right="720"/>
        <w:rPr>
          <w:rFonts w:ascii="Tahoma" w:hAnsi="Tahoma" w:cs="Tahoma"/>
          <w:sz w:val="18"/>
          <w:szCs w:val="18"/>
          <w:lang w:val="pt-BR"/>
        </w:rPr>
      </w:pPr>
    </w:p>
    <w:p w:rsidR="00456002" w:rsidRPr="00416070" w:rsidRDefault="00456002" w:rsidP="0014632E">
      <w:pPr>
        <w:pStyle w:val="AppendixBodyText"/>
        <w:spacing w:after="0"/>
        <w:ind w:right="720"/>
      </w:pPr>
      <w:r w:rsidRPr="008D38F6">
        <w:rPr>
          <w:rFonts w:ascii="Tahoma" w:hAnsi="Tahoma" w:cs="Tahoma"/>
          <w:sz w:val="18"/>
          <w:lang w:val="pt-BR"/>
        </w:rPr>
        <w:t xml:space="preserve">Este tipo de produto é específico à versão e confere o direito de executar a versão do produto para a qual foi solicitado. </w:t>
      </w:r>
      <w:r w:rsidRPr="00416070">
        <w:rPr>
          <w:rFonts w:ascii="Tahoma" w:hAnsi="Tahoma" w:cs="Tahoma"/>
          <w:sz w:val="18"/>
        </w:rPr>
        <w:t xml:space="preserve">Estão disponíveis nos seguintes programas: </w:t>
      </w:r>
    </w:p>
    <w:p w:rsidR="00456002" w:rsidRPr="00416070" w:rsidRDefault="00456002" w:rsidP="0014632E">
      <w:pPr>
        <w:pStyle w:val="AppendixIndent"/>
        <w:tabs>
          <w:tab w:val="left" w:pos="90"/>
        </w:tabs>
        <w:spacing w:before="0"/>
        <w:ind w:left="0" w:right="720"/>
        <w:rPr>
          <w:rFonts w:ascii="Tahoma" w:hAnsi="Tahoma" w:cs="Tahoma"/>
          <w:sz w:val="18"/>
          <w:szCs w:val="18"/>
        </w:rPr>
      </w:pPr>
    </w:p>
    <w:p w:rsidR="00456002" w:rsidRPr="00416070" w:rsidRDefault="00456002" w:rsidP="002C1048">
      <w:pPr>
        <w:pStyle w:val="AppendixBulletIndent"/>
        <w:numPr>
          <w:ilvl w:val="0"/>
          <w:numId w:val="77"/>
        </w:numPr>
        <w:tabs>
          <w:tab w:val="left" w:pos="90"/>
        </w:tabs>
        <w:spacing w:after="60"/>
        <w:ind w:left="1440" w:right="720"/>
      </w:pPr>
      <w:r w:rsidRPr="00416070">
        <w:rPr>
          <w:rFonts w:ascii="Tahoma" w:hAnsi="Tahoma" w:cs="Tahoma"/>
          <w:sz w:val="18"/>
          <w:szCs w:val="18"/>
        </w:rPr>
        <w:t>Licença Open</w:t>
      </w:r>
    </w:p>
    <w:p w:rsidR="00456002" w:rsidRPr="008D38F6" w:rsidRDefault="00456002" w:rsidP="002C1048">
      <w:pPr>
        <w:pStyle w:val="AppendixBulletIndent"/>
        <w:numPr>
          <w:ilvl w:val="0"/>
          <w:numId w:val="77"/>
        </w:numPr>
        <w:tabs>
          <w:tab w:val="left" w:pos="90"/>
        </w:tabs>
        <w:spacing w:after="60"/>
        <w:ind w:left="1440" w:right="720"/>
        <w:rPr>
          <w:lang w:val="pt-BR"/>
        </w:rPr>
      </w:pPr>
      <w:r w:rsidRPr="008D38F6">
        <w:rPr>
          <w:rFonts w:ascii="Tahoma" w:hAnsi="Tahoma" w:cs="Tahoma"/>
          <w:sz w:val="18"/>
          <w:szCs w:val="18"/>
          <w:lang w:val="pt-BR"/>
        </w:rPr>
        <w:t xml:space="preserve">Open Value Subscription [somente para pedidos com opção de compra (“buy-out”)] </w:t>
      </w:r>
    </w:p>
    <w:p w:rsidR="00456002" w:rsidRPr="00416070" w:rsidRDefault="00456002" w:rsidP="002C1048">
      <w:pPr>
        <w:pStyle w:val="AppendixBulletIndent"/>
        <w:numPr>
          <w:ilvl w:val="0"/>
          <w:numId w:val="77"/>
        </w:numPr>
        <w:tabs>
          <w:tab w:val="left" w:pos="90"/>
        </w:tabs>
        <w:spacing w:after="60"/>
        <w:ind w:left="1440" w:right="720"/>
      </w:pPr>
      <w:r w:rsidRPr="00416070">
        <w:rPr>
          <w:rFonts w:ascii="Tahoma" w:hAnsi="Tahoma" w:cs="Tahoma"/>
          <w:sz w:val="18"/>
          <w:szCs w:val="18"/>
        </w:rPr>
        <w:t xml:space="preserve">Select </w:t>
      </w:r>
    </w:p>
    <w:p w:rsidR="00456002" w:rsidRPr="00416070" w:rsidRDefault="00456002" w:rsidP="002C1048">
      <w:pPr>
        <w:pStyle w:val="AppendixBulletIndent"/>
        <w:numPr>
          <w:ilvl w:val="0"/>
          <w:numId w:val="77"/>
        </w:numPr>
        <w:tabs>
          <w:tab w:val="left" w:pos="90"/>
        </w:tabs>
        <w:spacing w:after="60"/>
        <w:ind w:left="1440" w:right="720"/>
      </w:pPr>
      <w:r w:rsidRPr="00416070">
        <w:rPr>
          <w:rFonts w:ascii="Tahoma" w:hAnsi="Tahoma" w:cs="Tahoma"/>
          <w:sz w:val="18"/>
          <w:szCs w:val="18"/>
        </w:rPr>
        <w:t>Select Plus</w:t>
      </w:r>
    </w:p>
    <w:p w:rsidR="00456002" w:rsidRPr="008D38F6" w:rsidRDefault="00456002" w:rsidP="002C1048">
      <w:pPr>
        <w:pStyle w:val="AppendixBulletIndent"/>
        <w:numPr>
          <w:ilvl w:val="0"/>
          <w:numId w:val="77"/>
        </w:numPr>
        <w:tabs>
          <w:tab w:val="left" w:pos="90"/>
        </w:tabs>
        <w:spacing w:after="60"/>
        <w:ind w:left="1440" w:right="720"/>
        <w:rPr>
          <w:lang w:val="pt-BR"/>
        </w:rPr>
      </w:pPr>
      <w:r w:rsidRPr="008D38F6">
        <w:rPr>
          <w:rFonts w:ascii="Tahoma" w:hAnsi="Tahoma" w:cs="Tahoma"/>
          <w:sz w:val="18"/>
          <w:szCs w:val="18"/>
          <w:lang w:val="pt-BR"/>
        </w:rPr>
        <w:t>Contrato School (somente para pedidos com opção de compra (“buy-out”))</w:t>
      </w:r>
    </w:p>
    <w:p w:rsidR="00456002" w:rsidRPr="008D38F6" w:rsidRDefault="00456002" w:rsidP="002C1048">
      <w:pPr>
        <w:pStyle w:val="AppendixBulletIndent"/>
        <w:numPr>
          <w:ilvl w:val="0"/>
          <w:numId w:val="77"/>
        </w:numPr>
        <w:tabs>
          <w:tab w:val="left" w:pos="90"/>
        </w:tabs>
        <w:spacing w:after="60"/>
        <w:ind w:left="1440" w:right="720"/>
        <w:rPr>
          <w:lang w:val="pt-BR"/>
        </w:rPr>
      </w:pPr>
      <w:r w:rsidRPr="008D38F6">
        <w:rPr>
          <w:rFonts w:ascii="Tahoma" w:hAnsi="Tahoma" w:cs="Tahoma"/>
          <w:sz w:val="18"/>
          <w:szCs w:val="18"/>
          <w:lang w:val="pt-BR"/>
        </w:rPr>
        <w:t>EES (somente para pedidos com opção de compra (“buy-out”))</w:t>
      </w:r>
    </w:p>
    <w:p w:rsidR="00456002" w:rsidRPr="008D38F6" w:rsidRDefault="00456002" w:rsidP="0014632E">
      <w:pPr>
        <w:pStyle w:val="AppendixBulletIndent"/>
        <w:numPr>
          <w:ilvl w:val="0"/>
          <w:numId w:val="77"/>
        </w:numPr>
        <w:tabs>
          <w:tab w:val="left" w:pos="90"/>
        </w:tabs>
        <w:ind w:left="1440" w:right="720"/>
        <w:rPr>
          <w:lang w:val="pt-BR"/>
        </w:rPr>
      </w:pPr>
      <w:r w:rsidRPr="008D38F6">
        <w:rPr>
          <w:rFonts w:ascii="Tahoma" w:hAnsi="Tahoma" w:cs="Tahoma"/>
          <w:sz w:val="18"/>
          <w:szCs w:val="18"/>
          <w:lang w:val="pt-BR"/>
        </w:rPr>
        <w:t xml:space="preserve">Contrato Enterprise Subscription (somente para pedidos com opção de compra </w:t>
      </w:r>
      <w:r w:rsidR="0065498C" w:rsidRPr="008D38F6">
        <w:rPr>
          <w:rFonts w:ascii="Tahoma" w:hAnsi="Tahoma" w:cs="Tahoma"/>
          <w:sz w:val="18"/>
          <w:szCs w:val="18"/>
          <w:lang w:val="pt-BR"/>
        </w:rPr>
        <w:br/>
      </w:r>
      <w:r w:rsidRPr="008D38F6">
        <w:rPr>
          <w:rFonts w:ascii="Tahoma" w:hAnsi="Tahoma" w:cs="Tahoma"/>
          <w:sz w:val="18"/>
          <w:szCs w:val="18"/>
          <w:lang w:val="pt-BR"/>
        </w:rPr>
        <w:t>(“buy-out”))</w:t>
      </w:r>
    </w:p>
    <w:p w:rsidR="00456002" w:rsidRPr="008D38F6" w:rsidRDefault="00456002" w:rsidP="0014632E">
      <w:pPr>
        <w:pStyle w:val="AppendixIndent"/>
        <w:tabs>
          <w:tab w:val="left" w:pos="90"/>
        </w:tabs>
        <w:spacing w:before="0"/>
        <w:ind w:left="0" w:right="720"/>
        <w:rPr>
          <w:rFonts w:ascii="Tahoma" w:hAnsi="Tahoma" w:cs="Tahoma"/>
          <w:sz w:val="18"/>
          <w:szCs w:val="18"/>
          <w:lang w:val="pt-BR"/>
        </w:rPr>
      </w:pPr>
    </w:p>
    <w:p w:rsidR="00456002" w:rsidRPr="008D38F6" w:rsidRDefault="00456002" w:rsidP="0014632E">
      <w:pPr>
        <w:pStyle w:val="AppendixBodyText"/>
        <w:spacing w:after="0"/>
        <w:ind w:right="720"/>
        <w:rPr>
          <w:lang w:val="pt-BR"/>
        </w:rPr>
      </w:pPr>
      <w:r w:rsidRPr="008D38F6">
        <w:rPr>
          <w:rFonts w:ascii="Tahoma" w:hAnsi="Tahoma" w:cs="Tahoma"/>
          <w:sz w:val="18"/>
          <w:lang w:val="pt-BR"/>
        </w:rPr>
        <w:t>Não há pré-requisitos para um cliente adquirir uma Licença nos programas Licença Open, Licença Select e</w:t>
      </w:r>
      <w:r w:rsidR="0065498C" w:rsidRPr="008D38F6">
        <w:rPr>
          <w:rFonts w:ascii="Tahoma" w:hAnsi="Tahoma" w:cs="Tahoma"/>
          <w:sz w:val="18"/>
          <w:lang w:val="pt-BR"/>
        </w:rPr>
        <w:t> </w:t>
      </w:r>
      <w:r w:rsidRPr="008D38F6">
        <w:rPr>
          <w:rFonts w:ascii="Tahoma" w:hAnsi="Tahoma" w:cs="Tahoma"/>
          <w:sz w:val="18"/>
          <w:lang w:val="pt-BR"/>
        </w:rPr>
        <w:t>Select Plus.</w:t>
      </w:r>
      <w:r w:rsidR="00FB5496" w:rsidRPr="008D38F6">
        <w:rPr>
          <w:rFonts w:ascii="Tahoma" w:hAnsi="Tahoma" w:cs="Tahoma"/>
          <w:sz w:val="18"/>
          <w:lang w:val="pt-BR"/>
        </w:rPr>
        <w:t xml:space="preserve"> </w:t>
      </w:r>
      <w:r w:rsidRPr="008D38F6">
        <w:rPr>
          <w:rFonts w:ascii="Tahoma" w:hAnsi="Tahoma" w:cs="Tahoma"/>
          <w:sz w:val="18"/>
          <w:lang w:val="pt-BR"/>
        </w:rPr>
        <w:t>Consulte o contrato específico do programa para saber as regras de qualificação que regem o</w:t>
      </w:r>
      <w:r w:rsidR="0065498C" w:rsidRPr="008D38F6">
        <w:rPr>
          <w:rFonts w:ascii="Tahoma" w:hAnsi="Tahoma" w:cs="Tahoma"/>
          <w:sz w:val="18"/>
          <w:lang w:val="pt-BR"/>
        </w:rPr>
        <w:t> </w:t>
      </w:r>
      <w:r w:rsidRPr="008D38F6">
        <w:rPr>
          <w:rFonts w:ascii="Tahoma" w:hAnsi="Tahoma" w:cs="Tahoma"/>
          <w:sz w:val="18"/>
          <w:lang w:val="pt-BR"/>
        </w:rPr>
        <w:t>pedido de uma licença perpétua através de pedidos com opção de compra (“buy-out”).</w:t>
      </w:r>
    </w:p>
    <w:p w:rsidR="00255158" w:rsidRPr="008D38F6" w:rsidRDefault="00255158" w:rsidP="0014632E">
      <w:pPr>
        <w:pStyle w:val="AppendixIndent"/>
        <w:tabs>
          <w:tab w:val="left" w:pos="90"/>
        </w:tabs>
        <w:spacing w:before="0"/>
        <w:ind w:left="0" w:right="720"/>
        <w:rPr>
          <w:rFonts w:ascii="Tahoma" w:hAnsi="Tahoma" w:cs="Tahoma"/>
          <w:sz w:val="18"/>
          <w:szCs w:val="18"/>
          <w:lang w:val="pt-BR"/>
        </w:rPr>
      </w:pPr>
    </w:p>
    <w:p w:rsidR="00456002" w:rsidRPr="00416070" w:rsidRDefault="00456002" w:rsidP="00456002">
      <w:pPr>
        <w:pStyle w:val="Heading2"/>
        <w:tabs>
          <w:tab w:val="left" w:pos="90"/>
        </w:tabs>
        <w:ind w:left="0" w:right="720"/>
      </w:pPr>
      <w:bookmarkStart w:id="692" w:name="_Toc323819649"/>
      <w:bookmarkStart w:id="693" w:name="_Toc336338200"/>
      <w:bookmarkStart w:id="694" w:name="_Toc352234268"/>
      <w:r w:rsidRPr="00416070">
        <w:rPr>
          <w:rFonts w:ascii="Tahoma" w:hAnsi="Tahoma" w:cs="Tahoma"/>
        </w:rPr>
        <w:t>Licença e Software Assurance</w:t>
      </w:r>
      <w:bookmarkEnd w:id="692"/>
      <w:bookmarkEnd w:id="693"/>
      <w:bookmarkEnd w:id="694"/>
      <w:r w:rsidRPr="00416070">
        <w:rPr>
          <w:rFonts w:ascii="Tahoma" w:hAnsi="Tahoma" w:cs="Tahoma"/>
        </w:rPr>
        <w:t xml:space="preserve"> </w:t>
      </w:r>
    </w:p>
    <w:p w:rsidR="00456002" w:rsidRPr="008D38F6" w:rsidRDefault="00456002" w:rsidP="00ED589D">
      <w:pPr>
        <w:pStyle w:val="AppendixIndent"/>
        <w:tabs>
          <w:tab w:val="left" w:pos="90"/>
        </w:tabs>
        <w:spacing w:before="0"/>
        <w:ind w:left="0" w:right="720"/>
        <w:rPr>
          <w:rFonts w:ascii="Tahoma" w:hAnsi="Tahoma" w:cs="Tahoma"/>
          <w:sz w:val="18"/>
          <w:szCs w:val="18"/>
          <w:lang w:val="pt-BR"/>
        </w:rPr>
      </w:pPr>
    </w:p>
    <w:p w:rsidR="00456002" w:rsidRPr="00416070" w:rsidRDefault="00456002" w:rsidP="0014632E">
      <w:pPr>
        <w:pStyle w:val="AppendixBodyText"/>
        <w:spacing w:after="0"/>
        <w:ind w:right="720"/>
      </w:pPr>
      <w:r w:rsidRPr="008D38F6">
        <w:rPr>
          <w:rFonts w:ascii="Tahoma" w:hAnsi="Tahoma" w:cs="Tahoma"/>
          <w:sz w:val="18"/>
          <w:lang w:val="pt-BR"/>
        </w:rPr>
        <w:t xml:space="preserve">Este tipo de produto não é específico à versão. Ele permite que os clientes adquiram a Licença e o Software Assurance ao mesmo tempo. </w:t>
      </w:r>
      <w:r w:rsidRPr="00416070">
        <w:rPr>
          <w:rFonts w:ascii="Tahoma" w:hAnsi="Tahoma" w:cs="Tahoma"/>
          <w:sz w:val="18"/>
        </w:rPr>
        <w:t>Estão disponíveis nos seguintes programas:</w:t>
      </w:r>
    </w:p>
    <w:p w:rsidR="00456002" w:rsidRPr="00416070" w:rsidRDefault="00456002" w:rsidP="0014632E">
      <w:pPr>
        <w:pStyle w:val="AppendixIndent"/>
        <w:tabs>
          <w:tab w:val="left" w:pos="90"/>
        </w:tabs>
        <w:spacing w:before="0"/>
        <w:ind w:left="0" w:right="720"/>
        <w:rPr>
          <w:rFonts w:ascii="Tahoma" w:hAnsi="Tahoma" w:cs="Tahoma"/>
          <w:sz w:val="18"/>
          <w:szCs w:val="18"/>
        </w:rPr>
      </w:pPr>
    </w:p>
    <w:p w:rsidR="00456002" w:rsidRPr="00416070" w:rsidRDefault="00AA0B4F" w:rsidP="002C1048">
      <w:pPr>
        <w:pStyle w:val="AppendixBulletIndent"/>
        <w:numPr>
          <w:ilvl w:val="0"/>
          <w:numId w:val="81"/>
        </w:numPr>
        <w:tabs>
          <w:tab w:val="left" w:pos="1440"/>
        </w:tabs>
        <w:spacing w:after="60"/>
        <w:ind w:left="1440" w:right="720"/>
      </w:pPr>
      <w:r>
        <w:rPr>
          <w:rFonts w:ascii="Tahoma" w:hAnsi="Tahoma" w:cs="Tahoma"/>
          <w:sz w:val="18"/>
        </w:rPr>
        <w:t>Open License</w:t>
      </w:r>
    </w:p>
    <w:p w:rsidR="00456002" w:rsidRPr="00416070" w:rsidRDefault="00456002" w:rsidP="002C1048">
      <w:pPr>
        <w:pStyle w:val="AppendixBulletIndent"/>
        <w:numPr>
          <w:ilvl w:val="0"/>
          <w:numId w:val="81"/>
        </w:numPr>
        <w:tabs>
          <w:tab w:val="left" w:pos="1440"/>
        </w:tabs>
        <w:spacing w:after="60"/>
        <w:ind w:left="1440" w:right="720"/>
      </w:pPr>
      <w:r w:rsidRPr="00416070">
        <w:rPr>
          <w:rFonts w:ascii="Tahoma" w:hAnsi="Tahoma" w:cs="Tahoma"/>
          <w:sz w:val="18"/>
        </w:rPr>
        <w:t>Open Value</w:t>
      </w:r>
    </w:p>
    <w:p w:rsidR="00456002" w:rsidRPr="00416070" w:rsidRDefault="00385C82" w:rsidP="002C1048">
      <w:pPr>
        <w:pStyle w:val="AppendixBulletIndent"/>
        <w:numPr>
          <w:ilvl w:val="0"/>
          <w:numId w:val="81"/>
        </w:numPr>
        <w:tabs>
          <w:tab w:val="left" w:pos="1440"/>
        </w:tabs>
        <w:spacing w:after="60"/>
        <w:ind w:left="1440" w:right="720"/>
      </w:pPr>
      <w:r w:rsidRPr="00416070">
        <w:rPr>
          <w:rFonts w:ascii="Tahoma" w:hAnsi="Tahoma" w:cs="Tahoma"/>
          <w:sz w:val="18"/>
        </w:rPr>
        <w:t>Open Value Subscription</w:t>
      </w:r>
    </w:p>
    <w:p w:rsidR="00456002" w:rsidRPr="00416070" w:rsidRDefault="00AA0B4F" w:rsidP="002C1048">
      <w:pPr>
        <w:pStyle w:val="AppendixBulletIndent"/>
        <w:numPr>
          <w:ilvl w:val="0"/>
          <w:numId w:val="81"/>
        </w:numPr>
        <w:tabs>
          <w:tab w:val="left" w:pos="1440"/>
        </w:tabs>
        <w:spacing w:after="60"/>
        <w:ind w:left="1440" w:right="720"/>
      </w:pPr>
      <w:r>
        <w:rPr>
          <w:rFonts w:ascii="Tahoma" w:hAnsi="Tahoma" w:cs="Tahoma"/>
          <w:sz w:val="18"/>
        </w:rPr>
        <w:t>Select</w:t>
      </w:r>
    </w:p>
    <w:p w:rsidR="00456002" w:rsidRPr="00416070" w:rsidRDefault="00456002" w:rsidP="002C1048">
      <w:pPr>
        <w:pStyle w:val="AppendixBulletIndent"/>
        <w:numPr>
          <w:ilvl w:val="0"/>
          <w:numId w:val="81"/>
        </w:numPr>
        <w:tabs>
          <w:tab w:val="left" w:pos="1440"/>
        </w:tabs>
        <w:spacing w:after="60"/>
        <w:ind w:left="1440" w:right="720"/>
      </w:pPr>
      <w:r w:rsidRPr="00416070">
        <w:rPr>
          <w:rFonts w:ascii="Tahoma" w:hAnsi="Tahoma" w:cs="Tahoma"/>
          <w:sz w:val="18"/>
        </w:rPr>
        <w:t>Select Plus</w:t>
      </w:r>
    </w:p>
    <w:p w:rsidR="00456002" w:rsidRPr="00416070" w:rsidRDefault="00456002" w:rsidP="002C1048">
      <w:pPr>
        <w:pStyle w:val="AppendixBulletIndent"/>
        <w:numPr>
          <w:ilvl w:val="0"/>
          <w:numId w:val="81"/>
        </w:numPr>
        <w:tabs>
          <w:tab w:val="left" w:pos="1440"/>
        </w:tabs>
        <w:spacing w:after="60"/>
        <w:ind w:left="1440" w:right="720"/>
      </w:pPr>
      <w:r w:rsidRPr="00416070">
        <w:rPr>
          <w:rFonts w:ascii="Tahoma" w:hAnsi="Tahoma" w:cs="Tahoma"/>
          <w:sz w:val="18"/>
        </w:rPr>
        <w:t>Contrato Enterprise</w:t>
      </w:r>
    </w:p>
    <w:p w:rsidR="00456002" w:rsidRPr="00416070" w:rsidRDefault="00456002" w:rsidP="0014632E">
      <w:pPr>
        <w:pStyle w:val="AppendixBulletIndent"/>
        <w:numPr>
          <w:ilvl w:val="0"/>
          <w:numId w:val="81"/>
        </w:numPr>
        <w:tabs>
          <w:tab w:val="left" w:pos="1440"/>
        </w:tabs>
        <w:ind w:left="1440" w:right="720"/>
      </w:pPr>
      <w:r w:rsidRPr="00416070">
        <w:rPr>
          <w:rFonts w:ascii="Tahoma" w:hAnsi="Tahoma" w:cs="Tahoma"/>
          <w:sz w:val="18"/>
        </w:rPr>
        <w:t>Contrato Enterprise Subscription</w:t>
      </w:r>
    </w:p>
    <w:p w:rsidR="00456002" w:rsidRPr="00416070" w:rsidRDefault="00456002" w:rsidP="00EF6A68">
      <w:pPr>
        <w:pStyle w:val="AppendixIndent"/>
        <w:tabs>
          <w:tab w:val="left" w:pos="90"/>
        </w:tabs>
        <w:spacing w:before="0"/>
        <w:ind w:left="0" w:right="720"/>
        <w:rPr>
          <w:rFonts w:ascii="Tahoma" w:hAnsi="Tahoma" w:cs="Tahoma"/>
          <w:sz w:val="18"/>
          <w:szCs w:val="18"/>
        </w:rPr>
      </w:pPr>
    </w:p>
    <w:p w:rsidR="00456002" w:rsidRPr="008D38F6" w:rsidRDefault="00456002" w:rsidP="00EF6A68">
      <w:pPr>
        <w:pStyle w:val="AppendixBodyText"/>
        <w:spacing w:after="0"/>
        <w:ind w:right="720"/>
        <w:rPr>
          <w:lang w:val="pt-BR"/>
        </w:rPr>
      </w:pPr>
      <w:r w:rsidRPr="008D38F6">
        <w:rPr>
          <w:rFonts w:ascii="Tahoma" w:hAnsi="Tahoma" w:cs="Tahoma"/>
          <w:sz w:val="18"/>
          <w:lang w:val="pt-BR"/>
        </w:rPr>
        <w:t>Não há pré-requisitos para adquirir a Licença O Software Assurance deverá ser adquirido por ocasião da aquisição da Licença correspondente ou na renovação do prazo de um Software Assurance existente.</w:t>
      </w:r>
      <w:r w:rsidR="00FB5496" w:rsidRPr="008D38F6">
        <w:rPr>
          <w:rFonts w:ascii="Tahoma" w:hAnsi="Tahoma" w:cs="Tahoma"/>
          <w:sz w:val="18"/>
          <w:lang w:val="pt-BR"/>
        </w:rPr>
        <w:t xml:space="preserve"> </w:t>
      </w:r>
      <w:r w:rsidRPr="008D38F6">
        <w:rPr>
          <w:rFonts w:ascii="Tahoma" w:hAnsi="Tahoma" w:cs="Tahoma"/>
          <w:sz w:val="18"/>
          <w:lang w:val="pt-BR"/>
        </w:rPr>
        <w:t>Em todos os programas de licenciamento por volume, quando o cliente não cumprir os critérios de qualificação do Software Assurance e quiser adquiri-lo, ele deverá adquirir a oferta Licença e Software Assurance.</w:t>
      </w:r>
    </w:p>
    <w:p w:rsidR="00255158" w:rsidRPr="008D38F6" w:rsidRDefault="00255158" w:rsidP="00EF6A68">
      <w:pPr>
        <w:rPr>
          <w:lang w:val="pt-BR"/>
        </w:rPr>
      </w:pPr>
    </w:p>
    <w:p w:rsidR="0065498C" w:rsidRPr="008D38F6" w:rsidRDefault="0065498C" w:rsidP="00EF6A68">
      <w:pPr>
        <w:rPr>
          <w:lang w:val="pt-BR"/>
        </w:rPr>
      </w:pPr>
    </w:p>
    <w:p w:rsidR="0065498C" w:rsidRPr="008D38F6" w:rsidRDefault="0065498C" w:rsidP="00EF6A68">
      <w:pPr>
        <w:rPr>
          <w:lang w:val="pt-BR"/>
        </w:rPr>
      </w:pPr>
    </w:p>
    <w:p w:rsidR="0065498C" w:rsidRPr="008D38F6" w:rsidRDefault="0065498C" w:rsidP="00EF6A68">
      <w:pPr>
        <w:rPr>
          <w:lang w:val="pt-BR"/>
        </w:rPr>
      </w:pPr>
    </w:p>
    <w:p w:rsidR="0065498C" w:rsidRPr="008D38F6" w:rsidRDefault="0065498C" w:rsidP="00EF6A68">
      <w:pPr>
        <w:rPr>
          <w:lang w:val="pt-BR"/>
        </w:rPr>
      </w:pPr>
    </w:p>
    <w:p w:rsidR="003179E3" w:rsidRPr="008D38F6" w:rsidRDefault="003179E3" w:rsidP="00EF6A68">
      <w:pPr>
        <w:rPr>
          <w:lang w:val="pt-BR"/>
        </w:rPr>
      </w:pPr>
    </w:p>
    <w:p w:rsidR="00456002" w:rsidRPr="00416070" w:rsidRDefault="00456002" w:rsidP="00456002">
      <w:pPr>
        <w:pStyle w:val="Heading2"/>
        <w:tabs>
          <w:tab w:val="left" w:pos="90"/>
        </w:tabs>
        <w:ind w:left="0" w:right="720"/>
      </w:pPr>
      <w:bookmarkStart w:id="695" w:name="_Toc323819650"/>
      <w:bookmarkStart w:id="696" w:name="_Toc336338201"/>
      <w:bookmarkStart w:id="697" w:name="_Toc352234269"/>
      <w:r w:rsidRPr="00416070">
        <w:rPr>
          <w:rFonts w:ascii="Tahoma" w:hAnsi="Tahoma" w:cs="Tahoma"/>
        </w:rPr>
        <w:lastRenderedPageBreak/>
        <w:t>Software Assurance</w:t>
      </w:r>
      <w:bookmarkEnd w:id="695"/>
      <w:bookmarkEnd w:id="696"/>
      <w:bookmarkEnd w:id="697"/>
    </w:p>
    <w:p w:rsidR="00456002" w:rsidRPr="008D38F6" w:rsidRDefault="00456002" w:rsidP="00EF6A68">
      <w:pPr>
        <w:pStyle w:val="AppendixBodyText"/>
        <w:tabs>
          <w:tab w:val="left" w:pos="90"/>
        </w:tabs>
        <w:spacing w:after="0"/>
        <w:ind w:right="720"/>
        <w:rPr>
          <w:rFonts w:ascii="Tahoma" w:hAnsi="Tahoma" w:cs="Tahoma"/>
          <w:sz w:val="18"/>
          <w:szCs w:val="18"/>
          <w:lang w:val="pt-BR"/>
        </w:rPr>
      </w:pPr>
    </w:p>
    <w:p w:rsidR="00456002" w:rsidRPr="008D38F6" w:rsidRDefault="00456002" w:rsidP="00EF6A68">
      <w:pPr>
        <w:pStyle w:val="AppendixBodyText"/>
        <w:spacing w:after="0"/>
        <w:ind w:right="720"/>
        <w:rPr>
          <w:lang w:val="pt-BR"/>
        </w:rPr>
      </w:pPr>
      <w:r w:rsidRPr="008D38F6">
        <w:rPr>
          <w:rFonts w:ascii="Tahoma" w:hAnsi="Tahoma" w:cs="Tahoma"/>
          <w:sz w:val="18"/>
          <w:lang w:val="pt-BR"/>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 obter detalhes sobre cada benefício e política, consulte a Seção de Benefícios do Software Assurance (SA) deste documento.</w:t>
      </w:r>
    </w:p>
    <w:p w:rsidR="00456002" w:rsidRPr="008D38F6" w:rsidRDefault="00456002" w:rsidP="00EF6A68">
      <w:pPr>
        <w:pStyle w:val="AppendixIndent"/>
        <w:tabs>
          <w:tab w:val="left" w:pos="90"/>
        </w:tabs>
        <w:spacing w:before="0"/>
        <w:ind w:left="0" w:right="720"/>
        <w:rPr>
          <w:rFonts w:ascii="Tahoma" w:hAnsi="Tahoma" w:cs="Tahoma"/>
          <w:sz w:val="18"/>
          <w:szCs w:val="18"/>
          <w:lang w:val="pt-BR"/>
        </w:rPr>
      </w:pPr>
    </w:p>
    <w:p w:rsidR="00456002" w:rsidRPr="00416070" w:rsidRDefault="00456002" w:rsidP="00EF6A68">
      <w:pPr>
        <w:pStyle w:val="AppendixBodyText"/>
        <w:spacing w:after="0"/>
        <w:ind w:right="720"/>
      </w:pPr>
      <w:r w:rsidRPr="008D38F6">
        <w:rPr>
          <w:rFonts w:ascii="Tahoma" w:hAnsi="Tahoma" w:cs="Tahoma"/>
          <w:sz w:val="18"/>
          <w:lang w:val="pt-BR"/>
        </w:rPr>
        <w:t xml:space="preserve">Para obter detalhes sobre os direitos de uso relacionados a benefícios, consulte os Direitos de Uso de Produto para o Licenciamento por Volume. </w:t>
      </w:r>
      <w:r w:rsidRPr="00416070">
        <w:rPr>
          <w:rFonts w:ascii="Tahoma" w:hAnsi="Tahoma" w:cs="Tahoma"/>
          <w:sz w:val="18"/>
        </w:rPr>
        <w:t>O Software Assurance encontra-se disponível nos seguintes programas:</w:t>
      </w:r>
    </w:p>
    <w:p w:rsidR="00456002" w:rsidRPr="00416070" w:rsidRDefault="00456002" w:rsidP="00EF6A68">
      <w:pPr>
        <w:pStyle w:val="AppendixIndent"/>
        <w:tabs>
          <w:tab w:val="left" w:pos="90"/>
        </w:tabs>
        <w:spacing w:before="0"/>
        <w:ind w:left="0" w:right="720"/>
        <w:rPr>
          <w:rFonts w:ascii="Tahoma" w:hAnsi="Tahoma" w:cs="Tahoma"/>
          <w:sz w:val="18"/>
          <w:szCs w:val="18"/>
        </w:rPr>
      </w:pPr>
    </w:p>
    <w:p w:rsidR="00456002" w:rsidRPr="00416070" w:rsidRDefault="00456002" w:rsidP="002C1048">
      <w:pPr>
        <w:pStyle w:val="AppendixBulletIndent"/>
        <w:numPr>
          <w:ilvl w:val="0"/>
          <w:numId w:val="82"/>
        </w:numPr>
        <w:tabs>
          <w:tab w:val="left" w:pos="1440"/>
        </w:tabs>
        <w:spacing w:after="60"/>
        <w:ind w:left="1440" w:right="720"/>
      </w:pPr>
      <w:r w:rsidRPr="00416070">
        <w:rPr>
          <w:rFonts w:ascii="Tahoma" w:hAnsi="Tahoma" w:cs="Tahoma"/>
          <w:sz w:val="18"/>
        </w:rPr>
        <w:t xml:space="preserve">Open License </w:t>
      </w:r>
    </w:p>
    <w:p w:rsidR="00456002" w:rsidRPr="00416070" w:rsidRDefault="00456002" w:rsidP="002C1048">
      <w:pPr>
        <w:pStyle w:val="AppendixBulletIndent"/>
        <w:numPr>
          <w:ilvl w:val="0"/>
          <w:numId w:val="82"/>
        </w:numPr>
        <w:tabs>
          <w:tab w:val="left" w:pos="1440"/>
        </w:tabs>
        <w:spacing w:after="60"/>
        <w:ind w:left="1440" w:right="720"/>
      </w:pPr>
      <w:r w:rsidRPr="00416070">
        <w:rPr>
          <w:rFonts w:ascii="Tahoma" w:hAnsi="Tahoma" w:cs="Tahoma"/>
          <w:sz w:val="18"/>
        </w:rPr>
        <w:t xml:space="preserve">Open Value </w:t>
      </w:r>
    </w:p>
    <w:p w:rsidR="00456002" w:rsidRPr="00416070" w:rsidRDefault="00456002" w:rsidP="002C1048">
      <w:pPr>
        <w:pStyle w:val="AppendixBulletIndent"/>
        <w:numPr>
          <w:ilvl w:val="0"/>
          <w:numId w:val="82"/>
        </w:numPr>
        <w:tabs>
          <w:tab w:val="left" w:pos="1440"/>
        </w:tabs>
        <w:spacing w:after="60"/>
        <w:ind w:left="1440" w:right="720"/>
      </w:pPr>
      <w:r w:rsidRPr="00416070">
        <w:rPr>
          <w:rFonts w:ascii="Tahoma" w:hAnsi="Tahoma" w:cs="Tahoma"/>
          <w:sz w:val="18"/>
        </w:rPr>
        <w:t xml:space="preserve">Select </w:t>
      </w:r>
    </w:p>
    <w:p w:rsidR="00456002" w:rsidRPr="00416070" w:rsidRDefault="00456002" w:rsidP="002C1048">
      <w:pPr>
        <w:pStyle w:val="AppendixBulletIndent"/>
        <w:numPr>
          <w:ilvl w:val="0"/>
          <w:numId w:val="82"/>
        </w:numPr>
        <w:tabs>
          <w:tab w:val="left" w:pos="1440"/>
        </w:tabs>
        <w:spacing w:after="60"/>
        <w:ind w:left="1440" w:right="720"/>
      </w:pPr>
      <w:r w:rsidRPr="00416070">
        <w:rPr>
          <w:rFonts w:ascii="Tahoma" w:hAnsi="Tahoma" w:cs="Tahoma"/>
          <w:sz w:val="18"/>
        </w:rPr>
        <w:t>Select Plus</w:t>
      </w:r>
    </w:p>
    <w:p w:rsidR="00456002" w:rsidRPr="00416070" w:rsidRDefault="00456002" w:rsidP="00EF6A68">
      <w:pPr>
        <w:pStyle w:val="AppendixBulletIndent"/>
        <w:numPr>
          <w:ilvl w:val="0"/>
          <w:numId w:val="82"/>
        </w:numPr>
        <w:tabs>
          <w:tab w:val="left" w:pos="1440"/>
        </w:tabs>
        <w:ind w:left="1440" w:right="720"/>
      </w:pPr>
      <w:r w:rsidRPr="00416070">
        <w:rPr>
          <w:rFonts w:ascii="Tahoma" w:hAnsi="Tahoma" w:cs="Tahoma"/>
          <w:sz w:val="18"/>
        </w:rPr>
        <w:t>Contrato Enterprise</w:t>
      </w:r>
    </w:p>
    <w:p w:rsidR="00456002" w:rsidRPr="00416070" w:rsidRDefault="00456002" w:rsidP="00B147AB">
      <w:pPr>
        <w:pStyle w:val="AppendixIndent"/>
        <w:spacing w:before="0"/>
        <w:ind w:left="0" w:right="720"/>
        <w:rPr>
          <w:rFonts w:ascii="Tahoma" w:hAnsi="Tahoma" w:cs="Tahoma"/>
          <w:sz w:val="18"/>
          <w:szCs w:val="18"/>
        </w:rPr>
      </w:pPr>
    </w:p>
    <w:p w:rsidR="00456002" w:rsidRPr="00416070" w:rsidRDefault="00456002" w:rsidP="00B147AB">
      <w:pPr>
        <w:pStyle w:val="AppendixIndent"/>
        <w:spacing w:before="0"/>
        <w:ind w:left="0" w:right="720"/>
      </w:pPr>
      <w:r w:rsidRPr="008D38F6">
        <w:rPr>
          <w:rFonts w:ascii="Tahoma" w:hAnsi="Tahoma" w:cs="Tahoma"/>
          <w:sz w:val="18"/>
          <w:lang w:val="pt-BR"/>
        </w:rPr>
        <w:t>Existem três categorias diferentes de compromisso que um cliente pode selecionar para o Software Assurance.</w:t>
      </w:r>
      <w:r w:rsidR="00FB5496" w:rsidRPr="008D38F6">
        <w:rPr>
          <w:rFonts w:ascii="Tahoma" w:hAnsi="Tahoma" w:cs="Tahoma"/>
          <w:sz w:val="18"/>
          <w:lang w:val="pt-BR"/>
        </w:rPr>
        <w:t xml:space="preserve"> </w:t>
      </w:r>
      <w:r w:rsidRPr="008D38F6">
        <w:rPr>
          <w:rFonts w:ascii="Tahoma" w:hAnsi="Tahoma" w:cs="Tahoma"/>
          <w:sz w:val="18"/>
          <w:lang w:val="pt-BR"/>
        </w:rPr>
        <w:t>As categorias disponíveis variam de acordo com o programa.</w:t>
      </w:r>
      <w:r w:rsidR="00FB5496" w:rsidRPr="008D38F6">
        <w:rPr>
          <w:rFonts w:ascii="Tahoma" w:hAnsi="Tahoma" w:cs="Tahoma"/>
          <w:sz w:val="18"/>
          <w:lang w:val="pt-BR"/>
        </w:rPr>
        <w:t xml:space="preserve"> </w:t>
      </w:r>
      <w:r w:rsidRPr="008D38F6">
        <w:rPr>
          <w:rFonts w:ascii="Tahoma" w:hAnsi="Tahoma" w:cs="Tahoma"/>
          <w:sz w:val="18"/>
          <w:lang w:val="pt-BR"/>
        </w:rPr>
        <w:t>A categoria de compromisso do</w:t>
      </w:r>
      <w:r w:rsidR="0065498C" w:rsidRPr="008D38F6">
        <w:rPr>
          <w:rFonts w:ascii="Tahoma" w:hAnsi="Tahoma" w:cs="Tahoma"/>
          <w:sz w:val="18"/>
          <w:lang w:val="pt-BR"/>
        </w:rPr>
        <w:t> </w:t>
      </w:r>
      <w:r w:rsidRPr="008D38F6">
        <w:rPr>
          <w:rFonts w:ascii="Tahoma" w:hAnsi="Tahoma" w:cs="Tahoma"/>
          <w:sz w:val="18"/>
          <w:lang w:val="pt-BR"/>
        </w:rPr>
        <w:t>Software Assurance do cliente é um dos vários fatores que podem determinar o direito dele receber benefícios.</w:t>
      </w:r>
      <w:r w:rsidR="00FB5496" w:rsidRPr="008D38F6">
        <w:rPr>
          <w:rFonts w:ascii="Tahoma" w:hAnsi="Tahoma" w:cs="Tahoma"/>
          <w:sz w:val="18"/>
          <w:lang w:val="pt-BR"/>
        </w:rPr>
        <w:t xml:space="preserve"> </w:t>
      </w:r>
      <w:r w:rsidRPr="00416070">
        <w:rPr>
          <w:rFonts w:ascii="Tahoma" w:hAnsi="Tahoma" w:cs="Tahoma"/>
          <w:sz w:val="18"/>
        </w:rPr>
        <w:t>Um cliente pode:</w:t>
      </w:r>
    </w:p>
    <w:p w:rsidR="004C08A3" w:rsidRPr="00416070" w:rsidRDefault="004C08A3" w:rsidP="00B147AB">
      <w:pPr>
        <w:pStyle w:val="AppendixIndent"/>
        <w:spacing w:before="0"/>
        <w:ind w:left="0" w:right="720"/>
        <w:rPr>
          <w:rFonts w:ascii="Tahoma" w:hAnsi="Tahoma" w:cs="Tahoma"/>
          <w:sz w:val="18"/>
          <w:szCs w:val="18"/>
        </w:rPr>
      </w:pPr>
    </w:p>
    <w:p w:rsidR="00456002" w:rsidRPr="008D38F6" w:rsidRDefault="00456002" w:rsidP="002C1048">
      <w:pPr>
        <w:pStyle w:val="AppendixIndent"/>
        <w:numPr>
          <w:ilvl w:val="0"/>
          <w:numId w:val="83"/>
        </w:numPr>
        <w:ind w:left="1440" w:right="720"/>
        <w:rPr>
          <w:lang w:val="pt-BR"/>
        </w:rPr>
      </w:pPr>
      <w:r w:rsidRPr="008D38F6">
        <w:rPr>
          <w:rFonts w:ascii="Tahoma" w:hAnsi="Tahoma" w:cs="Tahoma"/>
          <w:sz w:val="18"/>
          <w:lang w:val="pt-BR"/>
        </w:rPr>
        <w:t>Comprometer-se a anexar o Software Assurance a todos os seus produtos da plataforma de desktop.</w:t>
      </w:r>
      <w:r w:rsidR="00FB5496" w:rsidRPr="008D38F6">
        <w:rPr>
          <w:rFonts w:ascii="Tahoma" w:hAnsi="Tahoma" w:cs="Tahoma"/>
          <w:sz w:val="18"/>
          <w:lang w:val="pt-BR"/>
        </w:rPr>
        <w:t xml:space="preserve"> </w:t>
      </w:r>
      <w:r w:rsidRPr="008D38F6">
        <w:rPr>
          <w:rFonts w:ascii="Tahoma" w:hAnsi="Tahoma" w:cs="Tahoma"/>
          <w:sz w:val="18"/>
          <w:lang w:val="pt-BR"/>
        </w:rPr>
        <w:t>Em geral, isso está disponível no Contrato Enterprise e no Open Value.</w:t>
      </w:r>
    </w:p>
    <w:p w:rsidR="00456002" w:rsidRPr="00416070" w:rsidRDefault="00456002" w:rsidP="002C1048">
      <w:pPr>
        <w:pStyle w:val="AppendixIndent"/>
        <w:numPr>
          <w:ilvl w:val="0"/>
          <w:numId w:val="83"/>
        </w:numPr>
        <w:ind w:left="1440" w:right="720"/>
      </w:pPr>
      <w:r w:rsidRPr="008D38F6">
        <w:rPr>
          <w:rFonts w:ascii="Tahoma" w:hAnsi="Tahoma" w:cs="Tahoma"/>
          <w:sz w:val="18"/>
          <w:lang w:val="pt-BR"/>
        </w:rPr>
        <w:t>Comprometer-se a anexar o Software Assurance a todas as suas compras em um pool</w:t>
      </w:r>
      <w:r w:rsidR="0065498C" w:rsidRPr="008D38F6">
        <w:rPr>
          <w:rFonts w:ascii="Tahoma" w:hAnsi="Tahoma" w:cs="Tahoma"/>
          <w:sz w:val="18"/>
          <w:lang w:val="pt-BR"/>
        </w:rPr>
        <w:t> </w:t>
      </w:r>
      <w:r w:rsidRPr="008D38F6">
        <w:rPr>
          <w:rFonts w:ascii="Tahoma" w:hAnsi="Tahoma" w:cs="Tahoma"/>
          <w:sz w:val="18"/>
          <w:lang w:val="pt-BR"/>
        </w:rPr>
        <w:t>de</w:t>
      </w:r>
      <w:r w:rsidR="0065498C" w:rsidRPr="008D38F6">
        <w:rPr>
          <w:rFonts w:ascii="Tahoma" w:hAnsi="Tahoma" w:cs="Tahoma"/>
          <w:sz w:val="18"/>
          <w:lang w:val="pt-BR"/>
        </w:rPr>
        <w:t> </w:t>
      </w:r>
      <w:r w:rsidRPr="008D38F6">
        <w:rPr>
          <w:rFonts w:ascii="Tahoma" w:hAnsi="Tahoma" w:cs="Tahoma"/>
          <w:sz w:val="18"/>
          <w:lang w:val="pt-BR"/>
        </w:rPr>
        <w:t>produtos específico (Aplicativos, Sistemas ou Servidores).</w:t>
      </w:r>
      <w:r w:rsidR="00FB5496" w:rsidRPr="008D38F6">
        <w:rPr>
          <w:rFonts w:ascii="Tahoma" w:hAnsi="Tahoma" w:cs="Tahoma"/>
          <w:sz w:val="18"/>
          <w:lang w:val="pt-BR"/>
        </w:rPr>
        <w:t xml:space="preserve"> </w:t>
      </w:r>
      <w:r w:rsidRPr="008D38F6">
        <w:rPr>
          <w:rFonts w:ascii="Tahoma" w:hAnsi="Tahoma" w:cs="Tahoma"/>
          <w:sz w:val="18"/>
          <w:lang w:val="pt-BR"/>
        </w:rPr>
        <w:t>Isso é conhecido como</w:t>
      </w:r>
      <w:r w:rsidR="0065498C" w:rsidRPr="008D38F6">
        <w:rPr>
          <w:rFonts w:ascii="Tahoma" w:hAnsi="Tahoma" w:cs="Tahoma"/>
          <w:sz w:val="18"/>
          <w:lang w:val="pt-BR"/>
        </w:rPr>
        <w:t> </w:t>
      </w:r>
      <w:r w:rsidRPr="008D38F6">
        <w:rPr>
          <w:rFonts w:ascii="Tahoma" w:hAnsi="Tahoma" w:cs="Tahoma"/>
          <w:sz w:val="18"/>
          <w:lang w:val="pt-BR"/>
        </w:rPr>
        <w:t>o</w:t>
      </w:r>
      <w:r w:rsidR="0065498C" w:rsidRPr="008D38F6">
        <w:rPr>
          <w:rFonts w:ascii="Tahoma" w:hAnsi="Tahoma" w:cs="Tahoma"/>
          <w:sz w:val="18"/>
          <w:lang w:val="pt-BR"/>
        </w:rPr>
        <w:t> </w:t>
      </w:r>
      <w:r w:rsidRPr="008D38F6">
        <w:rPr>
          <w:rFonts w:ascii="Tahoma" w:hAnsi="Tahoma" w:cs="Tahoma"/>
          <w:sz w:val="18"/>
          <w:lang w:val="pt-BR"/>
        </w:rPr>
        <w:t xml:space="preserve">Programa de Membros do Software Assurance (SAM). Não é necessário um compromisso de toda a empresa para com o Software Assurance. </w:t>
      </w:r>
      <w:r w:rsidRPr="00416070">
        <w:rPr>
          <w:rFonts w:ascii="Tahoma" w:hAnsi="Tahoma" w:cs="Tahoma"/>
          <w:sz w:val="18"/>
        </w:rPr>
        <w:t>Em geral, isso está disponível no Select.</w:t>
      </w:r>
    </w:p>
    <w:p w:rsidR="00456002" w:rsidRPr="008D38F6" w:rsidRDefault="00456002" w:rsidP="002C1048">
      <w:pPr>
        <w:pStyle w:val="AppendixIndent"/>
        <w:numPr>
          <w:ilvl w:val="0"/>
          <w:numId w:val="83"/>
        </w:numPr>
        <w:ind w:left="1440" w:right="720"/>
        <w:rPr>
          <w:lang w:val="pt-BR"/>
        </w:rPr>
      </w:pPr>
      <w:r w:rsidRPr="008D38F6">
        <w:rPr>
          <w:rFonts w:ascii="Tahoma" w:hAnsi="Tahoma" w:cs="Tahoma"/>
          <w:sz w:val="18"/>
          <w:lang w:val="pt-BR"/>
        </w:rPr>
        <w:t>Comprar o Software Assurance para produtos individuais sem assumir nenhum compromisso para expandir suas compras do Software Assurance a outros produtos.</w:t>
      </w:r>
    </w:p>
    <w:p w:rsidR="0053106B" w:rsidRPr="008D38F6" w:rsidRDefault="0053106B" w:rsidP="00EF6A68">
      <w:pPr>
        <w:pStyle w:val="AppendixBodyText"/>
        <w:spacing w:after="0"/>
        <w:ind w:right="720"/>
        <w:rPr>
          <w:rFonts w:ascii="Tahoma" w:hAnsi="Tahoma" w:cs="Tahoma"/>
          <w:sz w:val="18"/>
          <w:szCs w:val="18"/>
          <w:lang w:val="pt-BR"/>
        </w:rPr>
      </w:pPr>
    </w:p>
    <w:p w:rsidR="00456002" w:rsidRPr="008D38F6" w:rsidRDefault="00456002" w:rsidP="00A56037">
      <w:pPr>
        <w:pStyle w:val="AppendixBodyText"/>
        <w:spacing w:after="0"/>
        <w:ind w:right="720"/>
        <w:rPr>
          <w:lang w:val="pt-BR"/>
        </w:rPr>
      </w:pPr>
      <w:r w:rsidRPr="008D38F6">
        <w:rPr>
          <w:rFonts w:ascii="Tahoma" w:hAnsi="Tahoma" w:cs="Tahoma"/>
          <w:sz w:val="18"/>
          <w:lang w:val="pt-BR"/>
        </w:rPr>
        <w:t>O Software Assurance deverá ser adquirido por ocasião da aquisição da Licença ou na renovação do prazo de um Software Assurance existente.</w:t>
      </w:r>
      <w:r w:rsidR="00FB5496" w:rsidRPr="008D38F6">
        <w:rPr>
          <w:rFonts w:ascii="Tahoma" w:hAnsi="Tahoma" w:cs="Tahoma"/>
          <w:sz w:val="18"/>
          <w:lang w:val="pt-BR"/>
        </w:rPr>
        <w:t xml:space="preserve"> </w:t>
      </w:r>
      <w:r w:rsidRPr="008D38F6">
        <w:rPr>
          <w:rFonts w:ascii="Tahoma" w:hAnsi="Tahoma" w:cs="Tahoma"/>
          <w:sz w:val="18"/>
          <w:lang w:val="pt-BR"/>
        </w:rPr>
        <w:t>Caso contrário, eles deverão adquirir uma nova Licença ou Licença e</w:t>
      </w:r>
      <w:r w:rsidR="0065498C" w:rsidRPr="008D38F6">
        <w:rPr>
          <w:rFonts w:ascii="Tahoma" w:hAnsi="Tahoma" w:cs="Tahoma"/>
          <w:sz w:val="18"/>
          <w:lang w:val="pt-BR"/>
        </w:rPr>
        <w:t> </w:t>
      </w:r>
      <w:r w:rsidRPr="008D38F6">
        <w:rPr>
          <w:rFonts w:ascii="Tahoma" w:hAnsi="Tahoma" w:cs="Tahoma"/>
          <w:sz w:val="18"/>
          <w:lang w:val="pt-BR"/>
        </w:rPr>
        <w:t>Software Assurance a fim de atualizar sua Licença posteriormente (no caso do Sistema Operacional Windows Desktop, as opções são Atualização e Software Assurance).</w:t>
      </w:r>
      <w:r w:rsidR="00FB5496" w:rsidRPr="008D38F6">
        <w:rPr>
          <w:rFonts w:ascii="Tahoma" w:hAnsi="Tahoma" w:cs="Tahoma"/>
          <w:sz w:val="18"/>
          <w:lang w:val="pt-BR"/>
        </w:rPr>
        <w:t xml:space="preserve"> </w:t>
      </w:r>
      <w:r w:rsidRPr="008D38F6">
        <w:rPr>
          <w:rFonts w:ascii="Tahoma" w:hAnsi="Tahoma" w:cs="Tahoma"/>
          <w:sz w:val="18"/>
          <w:lang w:val="pt-BR"/>
        </w:rPr>
        <w:t>Consulte a seção sobre regras de</w:t>
      </w:r>
      <w:r w:rsidR="0065498C" w:rsidRPr="008D38F6">
        <w:rPr>
          <w:rFonts w:ascii="Tahoma" w:hAnsi="Tahoma" w:cs="Tahoma"/>
          <w:sz w:val="18"/>
          <w:lang w:val="pt-BR"/>
        </w:rPr>
        <w:t> </w:t>
      </w:r>
      <w:r w:rsidRPr="008D38F6">
        <w:rPr>
          <w:rFonts w:ascii="Tahoma" w:hAnsi="Tahoma" w:cs="Tahoma"/>
          <w:sz w:val="18"/>
          <w:lang w:val="pt-BR"/>
        </w:rPr>
        <w:t>renovação e o contrato do programa específico para saber as regras de qualificação que regem a</w:t>
      </w:r>
      <w:r w:rsidR="00A56037" w:rsidRPr="008D38F6">
        <w:rPr>
          <w:rFonts w:ascii="Tahoma" w:hAnsi="Tahoma" w:cs="Tahoma"/>
          <w:sz w:val="18"/>
          <w:lang w:val="pt-BR"/>
        </w:rPr>
        <w:t> </w:t>
      </w:r>
      <w:r w:rsidRPr="008D38F6">
        <w:rPr>
          <w:rFonts w:ascii="Tahoma" w:hAnsi="Tahoma" w:cs="Tahoma"/>
          <w:sz w:val="18"/>
          <w:lang w:val="pt-BR"/>
        </w:rPr>
        <w:t>aquisição do Software Assurance.</w:t>
      </w:r>
    </w:p>
    <w:p w:rsidR="004C08A3" w:rsidRPr="008D38F6" w:rsidRDefault="004C08A3" w:rsidP="00B147AB">
      <w:pPr>
        <w:pStyle w:val="AppendixBodyText"/>
        <w:spacing w:after="0"/>
        <w:ind w:right="720"/>
        <w:rPr>
          <w:rFonts w:ascii="Tahoma" w:hAnsi="Tahoma" w:cs="Tahoma"/>
          <w:sz w:val="18"/>
          <w:szCs w:val="18"/>
          <w:lang w:val="pt-BR"/>
        </w:rPr>
      </w:pPr>
    </w:p>
    <w:p w:rsidR="00456002" w:rsidRPr="008D38F6" w:rsidRDefault="00456002" w:rsidP="00B147AB">
      <w:pPr>
        <w:pStyle w:val="AppendixBodyText"/>
        <w:spacing w:after="0"/>
        <w:ind w:right="720"/>
        <w:rPr>
          <w:lang w:val="pt-BR"/>
        </w:rPr>
      </w:pPr>
      <w:r w:rsidRPr="008D38F6">
        <w:rPr>
          <w:rFonts w:ascii="Tahoma" w:hAnsi="Tahoma" w:cs="Tahoma"/>
          <w:sz w:val="18"/>
          <w:lang w:val="pt-BR"/>
        </w:rPr>
        <w:t>No caso de transferência de Licenças perpétuas, o beneficiário pode adquirir o Software Assurance para essa Licença transferida dentro de 30 dias a partir da data de transferência e desde que as Licenças transferidas tenham cobertura de Software As</w:t>
      </w:r>
      <w:r w:rsidR="00AA0B4F" w:rsidRPr="008D38F6">
        <w:rPr>
          <w:rFonts w:ascii="Tahoma" w:hAnsi="Tahoma" w:cs="Tahoma"/>
          <w:sz w:val="18"/>
          <w:lang w:val="pt-BR"/>
        </w:rPr>
        <w:t>surance ativa na transferência.</w:t>
      </w:r>
    </w:p>
    <w:p w:rsidR="004C08A3" w:rsidRPr="008D38F6" w:rsidRDefault="004C08A3" w:rsidP="00B147AB">
      <w:pPr>
        <w:pStyle w:val="AppendixBodyText"/>
        <w:spacing w:after="0"/>
        <w:ind w:right="720"/>
        <w:rPr>
          <w:rFonts w:ascii="Tahoma" w:hAnsi="Tahoma" w:cs="Tahoma"/>
          <w:sz w:val="18"/>
          <w:szCs w:val="18"/>
          <w:lang w:val="pt-BR"/>
        </w:rPr>
      </w:pPr>
    </w:p>
    <w:p w:rsidR="00456002" w:rsidRPr="008D38F6" w:rsidRDefault="00456002" w:rsidP="00AA0B4F">
      <w:pPr>
        <w:pStyle w:val="AppendixBodyText"/>
        <w:spacing w:after="0"/>
        <w:ind w:right="720"/>
        <w:rPr>
          <w:lang w:val="pt-BR"/>
        </w:rPr>
      </w:pPr>
      <w:r w:rsidRPr="008D38F6">
        <w:rPr>
          <w:rFonts w:ascii="Tahoma" w:hAnsi="Tahoma" w:cs="Tahoma"/>
          <w:sz w:val="18"/>
          <w:lang w:val="pt-BR"/>
        </w:rPr>
        <w:t>Os clientes poderão ter a opção de adquirir o Software Assurance para determinadas licenças compradas no</w:t>
      </w:r>
      <w:r w:rsidR="0065498C" w:rsidRPr="008D38F6">
        <w:rPr>
          <w:rFonts w:ascii="Tahoma" w:hAnsi="Tahoma" w:cs="Tahoma"/>
          <w:sz w:val="18"/>
          <w:lang w:val="pt-BR"/>
        </w:rPr>
        <w:t> </w:t>
      </w:r>
      <w:r w:rsidRPr="008D38F6">
        <w:rPr>
          <w:rFonts w:ascii="Tahoma" w:hAnsi="Tahoma" w:cs="Tahoma"/>
          <w:sz w:val="18"/>
          <w:lang w:val="pt-BR"/>
        </w:rPr>
        <w:t>canal de Distribuição (produto em caixa) ou com um OEM (Fabricante de Equipamento Original). A</w:t>
      </w:r>
      <w:r w:rsidR="0065498C" w:rsidRPr="008D38F6">
        <w:rPr>
          <w:rFonts w:ascii="Tahoma" w:hAnsi="Tahoma" w:cs="Tahoma"/>
          <w:sz w:val="18"/>
          <w:lang w:val="pt-BR"/>
        </w:rPr>
        <w:t> </w:t>
      </w:r>
      <w:r w:rsidRPr="008D38F6">
        <w:rPr>
          <w:rFonts w:ascii="Tahoma" w:hAnsi="Tahoma" w:cs="Tahoma"/>
          <w:sz w:val="18"/>
          <w:lang w:val="pt-BR"/>
        </w:rPr>
        <w:t>qualificação varia de acordo com o programa, o pool de produtos e a fonte da licença (veja abaixo).</w:t>
      </w:r>
      <w:r w:rsidR="00FB5496" w:rsidRPr="008D38F6">
        <w:rPr>
          <w:rFonts w:ascii="Tahoma" w:hAnsi="Tahoma" w:cs="Tahoma"/>
          <w:sz w:val="18"/>
          <w:lang w:val="pt-BR"/>
        </w:rPr>
        <w:t xml:space="preserve"> </w:t>
      </w:r>
      <w:r w:rsidRPr="008D38F6">
        <w:rPr>
          <w:rFonts w:ascii="Tahoma" w:hAnsi="Tahoma" w:cs="Tahoma"/>
          <w:sz w:val="18"/>
          <w:lang w:val="pt-BR"/>
        </w:rPr>
        <w:t>Em</w:t>
      </w:r>
      <w:r w:rsidR="0065498C" w:rsidRPr="008D38F6">
        <w:rPr>
          <w:rFonts w:ascii="Tahoma" w:hAnsi="Tahoma" w:cs="Tahoma"/>
          <w:sz w:val="18"/>
          <w:lang w:val="pt-BR"/>
        </w:rPr>
        <w:t> </w:t>
      </w:r>
      <w:r w:rsidRPr="008D38F6">
        <w:rPr>
          <w:rFonts w:ascii="Tahoma" w:hAnsi="Tahoma" w:cs="Tahoma"/>
          <w:sz w:val="18"/>
          <w:lang w:val="pt-BR"/>
        </w:rPr>
        <w:t>todos os casos, a menos que seja indicado ao contrário, somente as licenças da versão mais recente de</w:t>
      </w:r>
      <w:r w:rsidR="0065498C" w:rsidRPr="008D38F6">
        <w:rPr>
          <w:rFonts w:ascii="Tahoma" w:hAnsi="Tahoma" w:cs="Tahoma"/>
          <w:sz w:val="18"/>
          <w:lang w:val="pt-BR"/>
        </w:rPr>
        <w:t> </w:t>
      </w:r>
      <w:r w:rsidRPr="008D38F6">
        <w:rPr>
          <w:rFonts w:ascii="Tahoma" w:hAnsi="Tahoma" w:cs="Tahoma"/>
          <w:sz w:val="18"/>
          <w:lang w:val="pt-BR"/>
        </w:rPr>
        <w:t>um produto estarão qualificadas, e o Software Assurance deverá ser adquirido no prazo de 90 dias a</w:t>
      </w:r>
      <w:r w:rsidR="0065498C" w:rsidRPr="008D38F6">
        <w:rPr>
          <w:rFonts w:ascii="Tahoma" w:hAnsi="Tahoma" w:cs="Tahoma"/>
          <w:sz w:val="18"/>
          <w:lang w:val="pt-BR"/>
        </w:rPr>
        <w:t> </w:t>
      </w:r>
      <w:r w:rsidRPr="008D38F6">
        <w:rPr>
          <w:rFonts w:ascii="Tahoma" w:hAnsi="Tahoma" w:cs="Tahoma"/>
          <w:sz w:val="18"/>
          <w:lang w:val="pt-BR"/>
        </w:rPr>
        <w:t>partir da data de aquisição das licenças.</w:t>
      </w:r>
      <w:r w:rsidR="00FB5496" w:rsidRPr="008D38F6">
        <w:rPr>
          <w:rFonts w:ascii="Tahoma" w:hAnsi="Tahoma" w:cs="Tahoma"/>
          <w:sz w:val="18"/>
          <w:lang w:val="pt-BR"/>
        </w:rPr>
        <w:t xml:space="preserve"> </w:t>
      </w:r>
      <w:r w:rsidRPr="008D38F6">
        <w:rPr>
          <w:rFonts w:ascii="Tahoma" w:hAnsi="Tahoma" w:cs="Tahoma"/>
          <w:sz w:val="18"/>
          <w:lang w:val="pt-BR"/>
        </w:rPr>
        <w:t>No Open Value, essa opção aplica-se apenas a produtos com licença não extensiva a toda a Organização/Empresa.</w:t>
      </w:r>
      <w:r w:rsidR="00FB5496" w:rsidRPr="008D38F6">
        <w:rPr>
          <w:rFonts w:ascii="Tahoma" w:hAnsi="Tahoma" w:cs="Tahoma"/>
          <w:sz w:val="18"/>
          <w:lang w:val="pt-BR"/>
        </w:rPr>
        <w:t xml:space="preserve"> </w:t>
      </w:r>
      <w:r w:rsidRPr="008D38F6">
        <w:rPr>
          <w:rFonts w:ascii="Tahoma" w:hAnsi="Tahoma" w:cs="Tahoma"/>
          <w:sz w:val="18"/>
          <w:lang w:val="pt-BR"/>
        </w:rPr>
        <w:t>Nos Contratos Enterprise, aplica-se apenas a Produtos Adicionais no prazo de 90 dias.</w:t>
      </w:r>
      <w:r w:rsidR="00FB5496" w:rsidRPr="008D38F6">
        <w:rPr>
          <w:rFonts w:ascii="Tahoma" w:hAnsi="Tahoma" w:cs="Tahoma"/>
          <w:sz w:val="18"/>
          <w:lang w:val="pt-BR"/>
        </w:rPr>
        <w:t xml:space="preserve"> </w:t>
      </w:r>
      <w:r w:rsidRPr="008D38F6">
        <w:rPr>
          <w:rFonts w:ascii="Tahoma" w:hAnsi="Tahoma" w:cs="Tahoma"/>
          <w:sz w:val="18"/>
          <w:lang w:val="pt-BR"/>
        </w:rPr>
        <w:t>Os clientes que adquirirem o Software Assurance para licenças OEM ou licenças para o varejo têm a opção de instalar e usar o software do Licenciamento por Volume para a versão atual a qualquer momento.</w:t>
      </w:r>
      <w:r w:rsidR="00FB5496" w:rsidRPr="008D38F6">
        <w:rPr>
          <w:rFonts w:ascii="Tahoma" w:hAnsi="Tahoma" w:cs="Tahoma"/>
          <w:sz w:val="18"/>
          <w:lang w:val="pt-BR"/>
        </w:rPr>
        <w:t xml:space="preserve"> </w:t>
      </w:r>
      <w:r w:rsidRPr="008D38F6">
        <w:rPr>
          <w:rFonts w:ascii="Tahoma" w:hAnsi="Tahoma" w:cs="Tahoma"/>
          <w:sz w:val="18"/>
          <w:lang w:val="pt-BR"/>
        </w:rPr>
        <w:t>Nesse caso, o uso do software estará sujeito aos Direitos de Uso desse</w:t>
      </w:r>
      <w:r w:rsidR="00AA0B4F" w:rsidRPr="008D38F6">
        <w:rPr>
          <w:rFonts w:ascii="Tahoma" w:hAnsi="Tahoma" w:cs="Tahoma"/>
          <w:sz w:val="18"/>
          <w:lang w:val="pt-BR"/>
        </w:rPr>
        <w:t> </w:t>
      </w:r>
      <w:r w:rsidRPr="008D38F6">
        <w:rPr>
          <w:rFonts w:ascii="Tahoma" w:hAnsi="Tahoma" w:cs="Tahoma"/>
          <w:sz w:val="18"/>
          <w:lang w:val="pt-BR"/>
        </w:rPr>
        <w:t>produto e aos termos e condições do Contrato de Licença por Volume do cliente.</w:t>
      </w:r>
    </w:p>
    <w:p w:rsidR="00456002" w:rsidRPr="008D38F6" w:rsidRDefault="00456002" w:rsidP="00B147AB">
      <w:pPr>
        <w:pStyle w:val="AppendixIndent"/>
        <w:spacing w:before="0"/>
        <w:ind w:left="0" w:right="720"/>
        <w:rPr>
          <w:rFonts w:ascii="Tahoma" w:hAnsi="Tahoma" w:cs="Tahoma"/>
          <w:sz w:val="18"/>
          <w:szCs w:val="18"/>
          <w:lang w:val="pt-B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416070" w:rsidTr="00A86016">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8D38F6" w:rsidRDefault="00456002" w:rsidP="005C647E">
            <w:pPr>
              <w:pStyle w:val="AppendixTableHeadings"/>
              <w:rPr>
                <w:rFonts w:ascii="Tahoma" w:hAnsi="Tahoma" w:cs="Tahoma"/>
                <w:sz w:val="20"/>
                <w:szCs w:val="20"/>
                <w:lang w:val="pt-BR"/>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16070" w:rsidRDefault="00456002" w:rsidP="005C647E">
            <w:pPr>
              <w:pStyle w:val="AppendixTableHeadings"/>
              <w:rPr>
                <w:rFonts w:ascii="Tahoma" w:hAnsi="Tahoma" w:cs="Tahoma"/>
                <w:sz w:val="20"/>
              </w:rPr>
            </w:pPr>
            <w:r w:rsidRPr="00416070">
              <w:rPr>
                <w:rFonts w:ascii="Tahoma" w:hAnsi="Tahoma" w:cs="Tahoma"/>
                <w:sz w:val="20"/>
              </w:rPr>
              <w:t>Produtos em 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16070" w:rsidRDefault="00456002" w:rsidP="005C647E">
            <w:pPr>
              <w:pStyle w:val="AppendixTableHeadings"/>
              <w:rPr>
                <w:rFonts w:ascii="Tahoma" w:hAnsi="Tahoma" w:cs="Tahoma"/>
                <w:sz w:val="20"/>
              </w:rPr>
            </w:pPr>
            <w:r w:rsidRPr="00416070">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16070" w:rsidRDefault="00456002" w:rsidP="00A86016">
            <w:pPr>
              <w:pStyle w:val="AppendixTableHeadings"/>
              <w:rPr>
                <w:rFonts w:ascii="Tahoma" w:hAnsi="Tahoma" w:cs="Tahoma"/>
                <w:sz w:val="20"/>
              </w:rPr>
            </w:pPr>
            <w:r w:rsidRPr="00416070">
              <w:rPr>
                <w:rFonts w:ascii="Tahoma" w:hAnsi="Tahoma" w:cs="Tahoma"/>
                <w:sz w:val="20"/>
              </w:rPr>
              <w:t>Programas</w:t>
            </w:r>
          </w:p>
        </w:tc>
      </w:tr>
      <w:tr w:rsidR="00456002" w:rsidRPr="00B06414"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416070" w:rsidRDefault="00456002" w:rsidP="005C647E">
            <w:pPr>
              <w:pStyle w:val="AppendixTableText"/>
              <w:rPr>
                <w:rFonts w:ascii="Tahoma" w:hAnsi="Tahoma" w:cs="Tahoma"/>
                <w:b/>
                <w:color w:val="000000"/>
                <w:sz w:val="20"/>
                <w:szCs w:val="20"/>
              </w:rPr>
            </w:pPr>
            <w:r w:rsidRPr="00416070">
              <w:rPr>
                <w:rFonts w:ascii="Tahoma" w:hAnsi="Tahoma" w:cs="Tahoma"/>
                <w:b/>
                <w:color w:val="000000"/>
                <w:sz w:val="20"/>
                <w:szCs w:val="20"/>
              </w:rPr>
              <w:t xml:space="preserve">Pool de aplicativos </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416070" w:rsidRDefault="00456002" w:rsidP="005C647E">
            <w:pPr>
              <w:pStyle w:val="AppendixTableText"/>
              <w:rPr>
                <w:rFonts w:ascii="Tahoma" w:hAnsi="Tahoma" w:cs="Tahoma"/>
                <w:color w:val="000000"/>
              </w:rPr>
            </w:pPr>
            <w:r w:rsidRPr="00416070">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8D38F6" w:rsidRDefault="00456002" w:rsidP="005C647E">
            <w:pPr>
              <w:pStyle w:val="AppendixTableText"/>
              <w:rPr>
                <w:rFonts w:ascii="Tahoma" w:hAnsi="Tahoma" w:cs="Tahoma"/>
                <w:color w:val="000000"/>
                <w:lang w:val="pt-BR"/>
              </w:rPr>
            </w:pPr>
            <w:r w:rsidRPr="008D38F6">
              <w:rPr>
                <w:rFonts w:ascii="Tahoma" w:hAnsi="Tahoma" w:cs="Tahoma"/>
                <w:color w:val="000000"/>
                <w:lang w:val="pt-BR"/>
              </w:rPr>
              <w:t>SA disponível apenas conforme descrito abaixo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8D38F6" w:rsidRDefault="00456002" w:rsidP="005C647E">
            <w:pPr>
              <w:pStyle w:val="AppendixTableText"/>
              <w:jc w:val="left"/>
              <w:rPr>
                <w:rFonts w:ascii="Tahoma" w:hAnsi="Tahoma" w:cs="Tahoma"/>
                <w:color w:val="000000"/>
                <w:lang w:val="pt-BR"/>
              </w:rPr>
            </w:pPr>
            <w:r w:rsidRPr="008D38F6">
              <w:rPr>
                <w:rFonts w:ascii="Tahoma" w:hAnsi="Tahoma" w:cs="Tahoma"/>
                <w:color w:val="000000"/>
                <w:lang w:val="pt-BR"/>
              </w:rPr>
              <w:t xml:space="preserve">Aplica-se a Licença Open, Select, Select Plus e Licença não </w:t>
            </w:r>
            <w:r w:rsidRPr="008D38F6">
              <w:rPr>
                <w:rFonts w:ascii="Tahoma" w:hAnsi="Tahoma" w:cs="Tahoma"/>
                <w:lang w:val="pt-BR"/>
              </w:rPr>
              <w:t>extensiva a toda a Organização/</w:t>
            </w:r>
            <w:r w:rsidR="00A86016" w:rsidRPr="008D38F6">
              <w:rPr>
                <w:rFonts w:ascii="Tahoma" w:hAnsi="Tahoma" w:cs="Tahoma"/>
                <w:lang w:val="pt-BR"/>
              </w:rPr>
              <w:br/>
            </w:r>
            <w:r w:rsidRPr="008D38F6">
              <w:rPr>
                <w:rFonts w:ascii="Tahoma" w:hAnsi="Tahoma" w:cs="Tahoma"/>
                <w:lang w:val="pt-BR"/>
              </w:rPr>
              <w:t>Empresa</w:t>
            </w:r>
            <w:r w:rsidRPr="008D38F6">
              <w:rPr>
                <w:rFonts w:ascii="Tahoma" w:hAnsi="Tahoma" w:cs="Tahoma"/>
                <w:color w:val="000000"/>
                <w:lang w:val="pt-BR"/>
              </w:rPr>
              <w:t xml:space="preserve"> sob Open Value e Produtos Adicionais sob Contratos Enterprise. Não se aplica a Produtos Enterprise sob Open Value e Contratos Enterprise</w:t>
            </w:r>
          </w:p>
        </w:tc>
      </w:tr>
      <w:tr w:rsidR="00456002" w:rsidRPr="00416070"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416070" w:rsidRDefault="00456002" w:rsidP="005C647E">
            <w:pPr>
              <w:pStyle w:val="AppendixTableText"/>
              <w:rPr>
                <w:rFonts w:ascii="Tahoma" w:hAnsi="Tahoma" w:cs="Tahoma"/>
                <w:b/>
                <w:color w:val="000000"/>
                <w:sz w:val="20"/>
                <w:szCs w:val="20"/>
              </w:rPr>
            </w:pPr>
            <w:r w:rsidRPr="00416070">
              <w:rPr>
                <w:rFonts w:ascii="Tahoma" w:hAnsi="Tahoma" w:cs="Tahoma"/>
                <w:b/>
                <w:color w:val="000000"/>
                <w:sz w:val="20"/>
                <w:szCs w:val="20"/>
              </w:rPr>
              <w:t xml:space="preserve">Pool de sistemas </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416070" w:rsidRDefault="00456002" w:rsidP="005C647E">
            <w:pPr>
              <w:pStyle w:val="AppendixTableText"/>
              <w:rPr>
                <w:rFonts w:ascii="Tahoma" w:hAnsi="Tahoma" w:cs="Tahoma"/>
                <w:color w:val="000000"/>
              </w:rPr>
            </w:pPr>
            <w:r w:rsidRPr="00416070">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16070" w:rsidRDefault="00456002" w:rsidP="005C647E">
            <w:pPr>
              <w:pStyle w:val="AppendixTableText"/>
              <w:rPr>
                <w:rFonts w:ascii="Tahoma" w:hAnsi="Tahoma" w:cs="Tahoma"/>
                <w:color w:val="000000"/>
              </w:rPr>
            </w:pPr>
            <w:r w:rsidRPr="00416070">
              <w:rPr>
                <w:rFonts w:ascii="Tahoma" w:hAnsi="Tahoma" w:cs="Tahoma"/>
                <w:color w:val="000000"/>
              </w:rPr>
              <w:t xml:space="preserve">SA disponível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416070" w:rsidRDefault="00456002" w:rsidP="005C647E">
            <w:pPr>
              <w:rPr>
                <w:rFonts w:cs="Tahoma"/>
                <w:color w:val="000000"/>
                <w:szCs w:val="18"/>
              </w:rPr>
            </w:pPr>
          </w:p>
        </w:tc>
      </w:tr>
      <w:tr w:rsidR="00456002" w:rsidRPr="00416070" w:rsidTr="00456002">
        <w:tc>
          <w:tcPr>
            <w:tcW w:w="1350" w:type="dxa"/>
            <w:tcBorders>
              <w:top w:val="single" w:sz="4" w:space="0" w:color="auto"/>
              <w:left w:val="single" w:sz="4" w:space="0" w:color="auto"/>
              <w:bottom w:val="single" w:sz="4" w:space="0" w:color="auto"/>
              <w:right w:val="single" w:sz="4" w:space="0" w:color="auto"/>
            </w:tcBorders>
            <w:vAlign w:val="center"/>
            <w:hideMark/>
          </w:tcPr>
          <w:p w:rsidR="00456002" w:rsidRPr="00416070" w:rsidRDefault="00456002" w:rsidP="005C647E">
            <w:pPr>
              <w:pStyle w:val="AppendixTableText"/>
              <w:rPr>
                <w:rFonts w:ascii="Tahoma" w:hAnsi="Tahoma" w:cs="Tahoma"/>
                <w:b/>
                <w:color w:val="000000"/>
                <w:sz w:val="20"/>
                <w:szCs w:val="20"/>
              </w:rPr>
            </w:pPr>
            <w:r w:rsidRPr="00416070">
              <w:rPr>
                <w:rFonts w:ascii="Tahoma" w:hAnsi="Tahoma" w:cs="Tahoma"/>
                <w:b/>
                <w:color w:val="000000"/>
                <w:sz w:val="20"/>
                <w:szCs w:val="20"/>
              </w:rPr>
              <w:t>Pool de Servidores</w:t>
            </w:r>
          </w:p>
        </w:tc>
        <w:tc>
          <w:tcPr>
            <w:tcW w:w="1963" w:type="dxa"/>
            <w:tcBorders>
              <w:top w:val="single" w:sz="4" w:space="0" w:color="auto"/>
              <w:left w:val="single" w:sz="4" w:space="0" w:color="auto"/>
              <w:bottom w:val="single" w:sz="4" w:space="0" w:color="auto"/>
              <w:right w:val="single" w:sz="4" w:space="0" w:color="auto"/>
            </w:tcBorders>
            <w:vAlign w:val="center"/>
            <w:hideMark/>
          </w:tcPr>
          <w:p w:rsidR="00456002" w:rsidRPr="00416070" w:rsidRDefault="00456002" w:rsidP="005C647E">
            <w:pPr>
              <w:pStyle w:val="AppendixTableText"/>
              <w:rPr>
                <w:rFonts w:ascii="Tahoma" w:hAnsi="Tahoma" w:cs="Tahoma"/>
                <w:color w:val="000000"/>
              </w:rPr>
            </w:pPr>
            <w:r w:rsidRPr="00416070">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16070" w:rsidRDefault="00456002" w:rsidP="005C647E">
            <w:pPr>
              <w:pStyle w:val="AppendixTableText"/>
              <w:rPr>
                <w:rFonts w:ascii="Tahoma" w:hAnsi="Tahoma" w:cs="Tahoma"/>
                <w:color w:val="000000"/>
              </w:rPr>
            </w:pPr>
            <w:r w:rsidRPr="00416070">
              <w:rPr>
                <w:rFonts w:ascii="Tahoma" w:hAnsi="Tahoma" w:cs="Tahoma"/>
                <w:color w:val="000000"/>
              </w:rPr>
              <w:t>SA disponível</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416070" w:rsidRDefault="00456002" w:rsidP="005C647E">
            <w:pPr>
              <w:rPr>
                <w:rFonts w:cs="Tahoma"/>
                <w:color w:val="000000"/>
                <w:szCs w:val="18"/>
              </w:rPr>
            </w:pPr>
          </w:p>
        </w:tc>
      </w:tr>
    </w:tbl>
    <w:p w:rsidR="00456002" w:rsidRPr="00416070" w:rsidRDefault="00456002" w:rsidP="00456002">
      <w:pPr>
        <w:ind w:right="720"/>
      </w:pPr>
    </w:p>
    <w:p w:rsidR="00456002" w:rsidRPr="008D38F6" w:rsidRDefault="00456002" w:rsidP="002F0514">
      <w:pPr>
        <w:pStyle w:val="AppendixBodyText"/>
        <w:spacing w:after="0"/>
        <w:ind w:right="720"/>
        <w:rPr>
          <w:lang w:val="pt-BR"/>
        </w:rPr>
      </w:pPr>
      <w:r w:rsidRPr="008D38F6">
        <w:rPr>
          <w:rFonts w:ascii="Tahoma" w:hAnsi="Tahoma" w:cs="Tahoma"/>
          <w:sz w:val="18"/>
          <w:szCs w:val="18"/>
          <w:lang w:val="pt-BR"/>
        </w:rPr>
        <w:t>Os clientes que adquirirem o Microsoft Office Professional 2010 com um OEM poderão adquirir o Software Assurance para Microsoft Office Standard 2010 nos programas Licença Open, nos programas Select e Select Plus, e na Licença não extensiva a toda a empresa sob Open Value no prazo de 90 dias a partir da data da</w:t>
      </w:r>
      <w:r w:rsidR="002F0514" w:rsidRPr="008D38F6">
        <w:rPr>
          <w:rFonts w:ascii="Tahoma" w:hAnsi="Tahoma" w:cs="Tahoma"/>
          <w:sz w:val="18"/>
          <w:szCs w:val="18"/>
          <w:lang w:val="pt-BR"/>
        </w:rPr>
        <w:t> </w:t>
      </w:r>
      <w:r w:rsidRPr="008D38F6">
        <w:rPr>
          <w:rFonts w:ascii="Tahoma" w:hAnsi="Tahoma" w:cs="Tahoma"/>
          <w:sz w:val="18"/>
          <w:szCs w:val="18"/>
          <w:lang w:val="pt-BR"/>
        </w:rPr>
        <w:t>compra com o OEM. Os Cartões de Chave de Produto (PKC) do Office são considerados uma oferta de</w:t>
      </w:r>
      <w:r w:rsidR="002F0514" w:rsidRPr="008D38F6">
        <w:rPr>
          <w:rFonts w:ascii="Tahoma" w:hAnsi="Tahoma" w:cs="Tahoma"/>
          <w:sz w:val="18"/>
          <w:szCs w:val="18"/>
          <w:lang w:val="pt-BR"/>
        </w:rPr>
        <w:t> </w:t>
      </w:r>
      <w:r w:rsidRPr="008D38F6">
        <w:rPr>
          <w:rFonts w:ascii="Tahoma" w:hAnsi="Tahoma" w:cs="Tahoma"/>
          <w:sz w:val="18"/>
          <w:szCs w:val="18"/>
          <w:lang w:val="pt-BR"/>
        </w:rPr>
        <w:t>Produto em Caixa (Varejo) e não são qualificados para a opção de adquirir o Software Assurance.</w:t>
      </w:r>
    </w:p>
    <w:p w:rsidR="00255158" w:rsidRPr="008D38F6" w:rsidRDefault="00255158" w:rsidP="00B147AB">
      <w:pPr>
        <w:pStyle w:val="AppendixBodyText"/>
        <w:spacing w:after="0"/>
        <w:ind w:right="720"/>
        <w:rPr>
          <w:rFonts w:ascii="Tahoma" w:hAnsi="Tahoma" w:cs="Tahoma"/>
          <w:sz w:val="18"/>
          <w:szCs w:val="18"/>
          <w:lang w:val="pt-BR"/>
        </w:rPr>
      </w:pPr>
    </w:p>
    <w:p w:rsidR="00456002" w:rsidRPr="00416070" w:rsidRDefault="00456002" w:rsidP="00456002">
      <w:pPr>
        <w:pStyle w:val="Heading2"/>
        <w:ind w:left="0" w:right="720"/>
      </w:pPr>
      <w:bookmarkStart w:id="698" w:name="_Toc323819651"/>
      <w:bookmarkStart w:id="699" w:name="_Toc336338202"/>
      <w:bookmarkStart w:id="700" w:name="_Toc352234270"/>
      <w:r w:rsidRPr="00416070">
        <w:rPr>
          <w:rFonts w:ascii="Tahoma" w:hAnsi="Tahoma" w:cs="Tahoma"/>
        </w:rPr>
        <w:t>Licenças Step-up</w:t>
      </w:r>
      <w:bookmarkEnd w:id="698"/>
      <w:bookmarkEnd w:id="699"/>
      <w:bookmarkEnd w:id="700"/>
    </w:p>
    <w:p w:rsidR="00456002" w:rsidRPr="008D38F6" w:rsidRDefault="00456002" w:rsidP="00B147AB">
      <w:pPr>
        <w:ind w:right="720"/>
        <w:rPr>
          <w:lang w:val="pt-BR"/>
        </w:rPr>
      </w:pPr>
    </w:p>
    <w:p w:rsidR="00456002" w:rsidRPr="008D38F6" w:rsidRDefault="00456002" w:rsidP="00B147AB">
      <w:pPr>
        <w:pStyle w:val="AppendixIndent"/>
        <w:ind w:left="0" w:right="720"/>
        <w:rPr>
          <w:lang w:val="pt-BR"/>
        </w:rPr>
      </w:pPr>
      <w:r w:rsidRPr="008D38F6">
        <w:rPr>
          <w:rFonts w:ascii="Tahoma" w:hAnsi="Tahoma" w:cs="Tahoma"/>
          <w:sz w:val="18"/>
          <w:lang w:val="pt-BR"/>
        </w:rPr>
        <w:t>Os clientes podem migrar da edição padrão para uma edição premium de determinados produtos com uma</w:t>
      </w:r>
      <w:r w:rsidR="0065498C" w:rsidRPr="008D38F6">
        <w:rPr>
          <w:rFonts w:ascii="Tahoma" w:hAnsi="Tahoma" w:cs="Tahoma"/>
          <w:sz w:val="18"/>
          <w:lang w:val="pt-BR"/>
        </w:rPr>
        <w:t> </w:t>
      </w:r>
      <w:r w:rsidRPr="008D38F6">
        <w:rPr>
          <w:rFonts w:ascii="Tahoma" w:hAnsi="Tahoma" w:cs="Tahoma"/>
          <w:sz w:val="18"/>
          <w:lang w:val="pt-BR"/>
        </w:rPr>
        <w:t xml:space="preserve">Licença Step-up. Os clientes devem ter uma licença </w:t>
      </w:r>
      <w:r w:rsidRPr="008D38F6">
        <w:rPr>
          <w:rFonts w:ascii="Tahoma" w:hAnsi="Tahoma" w:cs="Tahoma"/>
          <w:sz w:val="18"/>
          <w:szCs w:val="18"/>
          <w:lang w:val="pt-BR"/>
        </w:rPr>
        <w:t xml:space="preserve">com Software </w:t>
      </w:r>
      <w:r w:rsidRPr="008D38F6">
        <w:rPr>
          <w:rFonts w:ascii="Tahoma" w:hAnsi="Tahoma" w:cs="Tahoma"/>
          <w:color w:val="000000"/>
          <w:sz w:val="18"/>
          <w:szCs w:val="18"/>
          <w:lang w:val="pt-BR"/>
        </w:rPr>
        <w:t>Assurance ativo para o produto qualificado para adquirir essa Licença Step-up.</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A Licença Step-up deve ser adquirida, e é válida apenas quando adquirida, sob os mesmos contrato e registro do Programa de Licenciamento por Volume (se</w:t>
      </w:r>
      <w:r w:rsidR="0065498C" w:rsidRPr="008D38F6">
        <w:rPr>
          <w:rFonts w:ascii="Tahoma" w:hAnsi="Tahoma" w:cs="Tahoma"/>
          <w:color w:val="000000"/>
          <w:sz w:val="18"/>
          <w:szCs w:val="18"/>
          <w:lang w:val="pt-BR"/>
        </w:rPr>
        <w:t> </w:t>
      </w:r>
      <w:r w:rsidRPr="008D38F6">
        <w:rPr>
          <w:rFonts w:ascii="Tahoma" w:hAnsi="Tahoma" w:cs="Tahoma"/>
          <w:color w:val="000000"/>
          <w:sz w:val="18"/>
          <w:szCs w:val="18"/>
          <w:lang w:val="pt-BR"/>
        </w:rPr>
        <w:t xml:space="preserve">houver), sob o qual a cobertura de proteção de atualização do produto qualificado foi originalmente adquirida. </w:t>
      </w:r>
      <w:r w:rsidRPr="008D38F6">
        <w:rPr>
          <w:rFonts w:ascii="Tahoma" w:hAnsi="Tahoma" w:cs="Tahoma"/>
          <w:color w:val="000000"/>
          <w:sz w:val="18"/>
          <w:lang w:val="pt-BR"/>
        </w:rPr>
        <w:t>O direito de uso de software do cliente sob uma licença Step-up está condicionado à posse e</w:t>
      </w:r>
      <w:r w:rsidR="0065498C" w:rsidRPr="008D38F6">
        <w:rPr>
          <w:rFonts w:ascii="Tahoma" w:hAnsi="Tahoma" w:cs="Tahoma"/>
          <w:color w:val="000000"/>
          <w:sz w:val="18"/>
          <w:lang w:val="pt-BR"/>
        </w:rPr>
        <w:t> </w:t>
      </w:r>
      <w:r w:rsidRPr="008D38F6">
        <w:rPr>
          <w:rFonts w:ascii="Tahoma" w:hAnsi="Tahoma" w:cs="Tahoma"/>
          <w:color w:val="000000"/>
          <w:sz w:val="18"/>
          <w:lang w:val="pt-BR"/>
        </w:rPr>
        <w:t xml:space="preserve">manutenção de uma Licença do </w:t>
      </w:r>
      <w:r w:rsidRPr="008D38F6">
        <w:rPr>
          <w:rFonts w:ascii="Tahoma" w:hAnsi="Tahoma" w:cs="Tahoma"/>
          <w:sz w:val="18"/>
          <w:lang w:val="pt-BR"/>
        </w:rPr>
        <w:t>produto qualificado.</w:t>
      </w:r>
      <w:r w:rsidR="00FB5496" w:rsidRPr="008D38F6">
        <w:rPr>
          <w:rFonts w:ascii="Tahoma" w:hAnsi="Tahoma" w:cs="Tahoma"/>
          <w:sz w:val="18"/>
          <w:lang w:val="pt-BR"/>
        </w:rPr>
        <w:t xml:space="preserve"> </w:t>
      </w:r>
      <w:r w:rsidRPr="008D38F6">
        <w:rPr>
          <w:rFonts w:ascii="Tahoma" w:hAnsi="Tahoma" w:cs="Tahoma"/>
          <w:sz w:val="18"/>
          <w:lang w:val="pt-BR"/>
        </w:rPr>
        <w:t xml:space="preserve">Os clientes não podem transferir a Licença do produto qualificado separadamente da licença </w:t>
      </w:r>
      <w:r w:rsidRPr="008D38F6">
        <w:rPr>
          <w:rFonts w:ascii="Tahoma" w:hAnsi="Tahoma" w:cs="Tahoma"/>
          <w:sz w:val="18"/>
          <w:szCs w:val="18"/>
          <w:lang w:val="pt-BR"/>
        </w:rPr>
        <w:t>Step-up.</w:t>
      </w:r>
      <w:r w:rsidR="00FB5496" w:rsidRPr="008D38F6">
        <w:rPr>
          <w:rFonts w:ascii="Tahoma" w:hAnsi="Tahoma" w:cs="Tahoma"/>
          <w:sz w:val="18"/>
          <w:szCs w:val="18"/>
          <w:lang w:val="pt-BR"/>
        </w:rPr>
        <w:t xml:space="preserve"> </w:t>
      </w:r>
      <w:r w:rsidRPr="008D38F6">
        <w:rPr>
          <w:rFonts w:ascii="Tahoma" w:hAnsi="Tahoma" w:cs="Tahoma"/>
          <w:sz w:val="18"/>
          <w:szCs w:val="18"/>
          <w:lang w:val="pt-BR"/>
        </w:rPr>
        <w:t>Para obter mais detalhes e informações sobre a</w:t>
      </w:r>
      <w:r w:rsidR="0065498C" w:rsidRPr="008D38F6">
        <w:rPr>
          <w:rFonts w:ascii="Tahoma" w:hAnsi="Tahoma" w:cs="Tahoma"/>
          <w:sz w:val="18"/>
          <w:szCs w:val="18"/>
          <w:lang w:val="pt-BR"/>
        </w:rPr>
        <w:t> </w:t>
      </w:r>
      <w:r w:rsidRPr="008D38F6">
        <w:rPr>
          <w:rFonts w:ascii="Tahoma" w:hAnsi="Tahoma" w:cs="Tahoma"/>
          <w:sz w:val="18"/>
          <w:szCs w:val="18"/>
          <w:lang w:val="pt-BR"/>
        </w:rPr>
        <w:t>disponibilidade da licença, consulte o Resumo de Licenciamento por Volume da Licença Step-up para Enterprise Edition no site: http://</w:t>
      </w:r>
      <w:hyperlink r:id="rId25" w:history="1">
        <w:r w:rsidRPr="00715ABE">
          <w:rPr>
            <w:rStyle w:val="Hyperlink"/>
            <w:rFonts w:ascii="Tahoma" w:hAnsi="Tahoma" w:cs="Tahoma"/>
            <w:sz w:val="18"/>
            <w:szCs w:val="18"/>
            <w:lang w:val="pt-BR"/>
          </w:rPr>
          <w:t>www.microsoft.com/licensing</w:t>
        </w:r>
      </w:hyperlink>
      <w:r w:rsidRPr="008D38F6">
        <w:rPr>
          <w:rFonts w:ascii="Tahoma" w:hAnsi="Tahoma" w:cs="Tahoma"/>
          <w:sz w:val="18"/>
          <w:szCs w:val="18"/>
          <w:lang w:val="pt-BR"/>
        </w:rPr>
        <w:t>.</w:t>
      </w:r>
    </w:p>
    <w:p w:rsidR="00ED589D" w:rsidRPr="008D38F6" w:rsidRDefault="00ED589D" w:rsidP="00ED589D">
      <w:pPr>
        <w:rPr>
          <w:lang w:val="pt-BR"/>
        </w:rPr>
      </w:pPr>
    </w:p>
    <w:p w:rsidR="00456002" w:rsidRPr="00416070" w:rsidRDefault="00456002" w:rsidP="00456002">
      <w:pPr>
        <w:pStyle w:val="Heading2"/>
        <w:ind w:left="0" w:right="720"/>
      </w:pPr>
      <w:bookmarkStart w:id="701" w:name="_Toc323819652"/>
      <w:bookmarkStart w:id="702" w:name="_Toc336338203"/>
      <w:bookmarkStart w:id="703" w:name="_Toc352234271"/>
      <w:r w:rsidRPr="00416070">
        <w:rPr>
          <w:rFonts w:ascii="Tahoma" w:hAnsi="Tahoma" w:cs="Tahoma"/>
        </w:rPr>
        <w:t>Licenças de Assinatura</w:t>
      </w:r>
      <w:bookmarkEnd w:id="701"/>
      <w:bookmarkEnd w:id="702"/>
      <w:bookmarkEnd w:id="703"/>
      <w:r w:rsidRPr="00416070">
        <w:rPr>
          <w:rFonts w:ascii="Tahoma" w:hAnsi="Tahoma" w:cs="Tahoma"/>
        </w:rPr>
        <w:t xml:space="preserve"> </w:t>
      </w:r>
    </w:p>
    <w:p w:rsidR="00456002" w:rsidRPr="008D38F6" w:rsidRDefault="00456002" w:rsidP="007C05C1">
      <w:pPr>
        <w:ind w:right="720"/>
        <w:rPr>
          <w:lang w:val="pt-BR"/>
        </w:rPr>
      </w:pPr>
    </w:p>
    <w:p w:rsidR="00456002" w:rsidRPr="00416070" w:rsidRDefault="00456002" w:rsidP="00B147AB">
      <w:pPr>
        <w:pStyle w:val="AppendixIndent"/>
        <w:spacing w:before="0"/>
        <w:ind w:left="0" w:right="720"/>
      </w:pPr>
      <w:r w:rsidRPr="008D38F6">
        <w:rPr>
          <w:rFonts w:ascii="Tahoma" w:hAnsi="Tahoma" w:cs="Tahoma"/>
          <w:sz w:val="18"/>
          <w:lang w:val="pt-BR"/>
        </w:rPr>
        <w:t>Este tipo de produto está disponível para Serviços Online e alguns produtos de software, não é específico à</w:t>
      </w:r>
      <w:r w:rsidR="0065498C" w:rsidRPr="008D38F6">
        <w:rPr>
          <w:rFonts w:ascii="Tahoma" w:hAnsi="Tahoma" w:cs="Tahoma"/>
          <w:sz w:val="18"/>
          <w:lang w:val="pt-BR"/>
        </w:rPr>
        <w:t> </w:t>
      </w:r>
      <w:r w:rsidRPr="008D38F6">
        <w:rPr>
          <w:rFonts w:ascii="Tahoma" w:hAnsi="Tahoma" w:cs="Tahoma"/>
          <w:sz w:val="18"/>
          <w:lang w:val="pt-BR"/>
        </w:rPr>
        <w:t>versão e permite que os clientes usem o software e, no caso de um Serviço Online, o serviço durante o</w:t>
      </w:r>
      <w:r w:rsidR="0065498C" w:rsidRPr="008D38F6">
        <w:rPr>
          <w:rFonts w:ascii="Tahoma" w:hAnsi="Tahoma" w:cs="Tahoma"/>
          <w:sz w:val="18"/>
          <w:lang w:val="pt-BR"/>
        </w:rPr>
        <w:t> </w:t>
      </w:r>
      <w:r w:rsidRPr="008D38F6">
        <w:rPr>
          <w:rFonts w:ascii="Tahoma" w:hAnsi="Tahoma" w:cs="Tahoma"/>
          <w:sz w:val="18"/>
          <w:lang w:val="pt-BR"/>
        </w:rPr>
        <w:t>prazo do registro Select ou Enterprise ou do contrato Open sob o qual ele foi adquirido.</w:t>
      </w:r>
      <w:r w:rsidR="00FB5496" w:rsidRPr="008D38F6">
        <w:rPr>
          <w:rFonts w:ascii="Tahoma" w:hAnsi="Tahoma" w:cs="Tahoma"/>
          <w:sz w:val="18"/>
          <w:lang w:val="pt-BR"/>
        </w:rPr>
        <w:t xml:space="preserve"> </w:t>
      </w:r>
      <w:r w:rsidRPr="008D38F6">
        <w:rPr>
          <w:rFonts w:ascii="Tahoma" w:hAnsi="Tahoma" w:cs="Tahoma"/>
          <w:sz w:val="18"/>
          <w:lang w:val="pt-BR"/>
        </w:rPr>
        <w:t xml:space="preserve">As licenças de assinatura adquiridas sob um Contrato Enterprise ou um Contrato Enterprise Subscription deverão ser adquiridas na ocasião do primeiro acesso ao serviço e são rateadas com base no número de meses restantes no prazo do registro ou contrato. </w:t>
      </w:r>
      <w:r w:rsidRPr="00416070">
        <w:rPr>
          <w:rFonts w:ascii="Tahoma" w:hAnsi="Tahoma" w:cs="Tahoma"/>
          <w:sz w:val="18"/>
        </w:rPr>
        <w:t xml:space="preserve">Estão disponíveis nos seguintes programas: </w:t>
      </w:r>
    </w:p>
    <w:p w:rsidR="00456002" w:rsidRPr="00416070" w:rsidRDefault="00456002" w:rsidP="00B147AB">
      <w:pPr>
        <w:pStyle w:val="AppendixIndent"/>
        <w:spacing w:before="0"/>
        <w:ind w:left="0" w:right="720"/>
        <w:rPr>
          <w:rFonts w:ascii="Tahoma" w:hAnsi="Tahoma" w:cs="Tahoma"/>
          <w:sz w:val="18"/>
          <w:szCs w:val="18"/>
        </w:rPr>
      </w:pPr>
    </w:p>
    <w:p w:rsidR="00456002" w:rsidRPr="00416070" w:rsidRDefault="00456002" w:rsidP="002C1048">
      <w:pPr>
        <w:pStyle w:val="AppendixBulletIndent"/>
        <w:numPr>
          <w:ilvl w:val="0"/>
          <w:numId w:val="84"/>
        </w:numPr>
        <w:tabs>
          <w:tab w:val="left" w:pos="1440"/>
        </w:tabs>
        <w:spacing w:after="60"/>
        <w:ind w:left="1440" w:right="720"/>
      </w:pPr>
      <w:r w:rsidRPr="00416070">
        <w:rPr>
          <w:rFonts w:ascii="Tahoma" w:hAnsi="Tahoma" w:cs="Tahoma"/>
          <w:sz w:val="18"/>
        </w:rPr>
        <w:t>Open Value</w:t>
      </w:r>
    </w:p>
    <w:p w:rsidR="00456002" w:rsidRPr="00416070" w:rsidRDefault="00456002" w:rsidP="002C1048">
      <w:pPr>
        <w:pStyle w:val="AppendixBulletIndent"/>
        <w:numPr>
          <w:ilvl w:val="0"/>
          <w:numId w:val="84"/>
        </w:numPr>
        <w:tabs>
          <w:tab w:val="left" w:pos="1440"/>
        </w:tabs>
        <w:spacing w:after="60"/>
        <w:ind w:left="1440" w:right="720"/>
      </w:pPr>
      <w:r w:rsidRPr="00416070">
        <w:rPr>
          <w:rFonts w:ascii="Tahoma" w:hAnsi="Tahoma" w:cs="Tahoma"/>
          <w:sz w:val="18"/>
        </w:rPr>
        <w:t xml:space="preserve">Open Value Subscription </w:t>
      </w:r>
    </w:p>
    <w:p w:rsidR="00456002" w:rsidRPr="00416070" w:rsidRDefault="00456002" w:rsidP="002C1048">
      <w:pPr>
        <w:pStyle w:val="AppendixBulletIndent"/>
        <w:numPr>
          <w:ilvl w:val="0"/>
          <w:numId w:val="84"/>
        </w:numPr>
        <w:tabs>
          <w:tab w:val="left" w:pos="1440"/>
        </w:tabs>
        <w:spacing w:after="60"/>
        <w:ind w:left="1440" w:right="720"/>
      </w:pPr>
      <w:r w:rsidRPr="00416070">
        <w:rPr>
          <w:rFonts w:ascii="Tahoma" w:hAnsi="Tahoma" w:cs="Tahoma"/>
          <w:sz w:val="18"/>
        </w:rPr>
        <w:t xml:space="preserve">Select </w:t>
      </w:r>
    </w:p>
    <w:p w:rsidR="00456002" w:rsidRPr="00416070" w:rsidRDefault="00456002" w:rsidP="002C1048">
      <w:pPr>
        <w:pStyle w:val="AppendixBulletIndent"/>
        <w:numPr>
          <w:ilvl w:val="0"/>
          <w:numId w:val="84"/>
        </w:numPr>
        <w:tabs>
          <w:tab w:val="left" w:pos="1440"/>
        </w:tabs>
        <w:spacing w:after="60"/>
        <w:ind w:left="1440" w:right="720"/>
      </w:pPr>
      <w:r w:rsidRPr="00416070">
        <w:rPr>
          <w:rFonts w:ascii="Tahoma" w:hAnsi="Tahoma" w:cs="Tahoma"/>
          <w:sz w:val="18"/>
        </w:rPr>
        <w:t>Select Plus</w:t>
      </w:r>
    </w:p>
    <w:p w:rsidR="00456002" w:rsidRPr="00416070" w:rsidRDefault="00456002" w:rsidP="002C1048">
      <w:pPr>
        <w:pStyle w:val="AppendixBulletIndent"/>
        <w:numPr>
          <w:ilvl w:val="0"/>
          <w:numId w:val="84"/>
        </w:numPr>
        <w:tabs>
          <w:tab w:val="left" w:pos="1440"/>
        </w:tabs>
        <w:spacing w:after="60"/>
        <w:ind w:left="1440" w:right="720"/>
      </w:pPr>
      <w:r w:rsidRPr="00416070">
        <w:rPr>
          <w:rFonts w:ascii="Tahoma" w:hAnsi="Tahoma" w:cs="Tahoma"/>
          <w:sz w:val="18"/>
        </w:rPr>
        <w:t>Contrato School</w:t>
      </w:r>
    </w:p>
    <w:p w:rsidR="00456002" w:rsidRPr="00416070" w:rsidRDefault="00456002" w:rsidP="002C1048">
      <w:pPr>
        <w:pStyle w:val="AppendixBulletIndent"/>
        <w:numPr>
          <w:ilvl w:val="0"/>
          <w:numId w:val="84"/>
        </w:numPr>
        <w:tabs>
          <w:tab w:val="left" w:pos="1440"/>
        </w:tabs>
        <w:spacing w:after="60"/>
        <w:ind w:left="1440" w:right="720"/>
      </w:pPr>
      <w:r w:rsidRPr="00416070">
        <w:rPr>
          <w:rFonts w:ascii="Tahoma" w:hAnsi="Tahoma" w:cs="Tahoma"/>
          <w:sz w:val="18"/>
        </w:rPr>
        <w:t>EES</w:t>
      </w:r>
    </w:p>
    <w:p w:rsidR="00456002" w:rsidRPr="00416070" w:rsidRDefault="00456002" w:rsidP="002C1048">
      <w:pPr>
        <w:pStyle w:val="AppendixBulletIndent"/>
        <w:numPr>
          <w:ilvl w:val="0"/>
          <w:numId w:val="84"/>
        </w:numPr>
        <w:tabs>
          <w:tab w:val="left" w:pos="1440"/>
        </w:tabs>
        <w:spacing w:after="60"/>
        <w:ind w:left="1440" w:right="720"/>
      </w:pPr>
      <w:r w:rsidRPr="00416070">
        <w:rPr>
          <w:rFonts w:ascii="Tahoma" w:hAnsi="Tahoma" w:cs="Tahoma"/>
          <w:sz w:val="18"/>
        </w:rPr>
        <w:t>Contrato Enterprise</w:t>
      </w:r>
    </w:p>
    <w:p w:rsidR="00456002" w:rsidRPr="00416070" w:rsidRDefault="00456002" w:rsidP="00B147AB">
      <w:pPr>
        <w:pStyle w:val="AppendixIndent"/>
        <w:numPr>
          <w:ilvl w:val="0"/>
          <w:numId w:val="84"/>
        </w:numPr>
        <w:tabs>
          <w:tab w:val="left" w:pos="1440"/>
        </w:tabs>
        <w:spacing w:before="0"/>
        <w:ind w:left="1440" w:right="720"/>
      </w:pPr>
      <w:r w:rsidRPr="00416070">
        <w:rPr>
          <w:rFonts w:ascii="Tahoma" w:hAnsi="Tahoma" w:cs="Tahoma"/>
          <w:sz w:val="18"/>
        </w:rPr>
        <w:t>Contrato Enterprise Subscription</w:t>
      </w:r>
    </w:p>
    <w:p w:rsidR="00ED589D" w:rsidRPr="00416070" w:rsidRDefault="00ED589D" w:rsidP="00B147AB"/>
    <w:p w:rsidR="0065498C" w:rsidRPr="00416070" w:rsidRDefault="0065498C" w:rsidP="00B147AB"/>
    <w:p w:rsidR="0065498C" w:rsidRPr="00416070" w:rsidRDefault="0065498C" w:rsidP="00B147AB"/>
    <w:p w:rsidR="0065498C" w:rsidRPr="00416070" w:rsidRDefault="0065498C" w:rsidP="00B147AB"/>
    <w:p w:rsidR="0065498C" w:rsidRPr="00416070" w:rsidRDefault="0065498C" w:rsidP="00B147AB"/>
    <w:p w:rsidR="0065498C" w:rsidRPr="00416070" w:rsidRDefault="0065498C" w:rsidP="00B147AB"/>
    <w:p w:rsidR="0065498C" w:rsidRPr="00416070" w:rsidRDefault="0065498C" w:rsidP="00B147AB"/>
    <w:p w:rsidR="00456002" w:rsidRPr="00416070" w:rsidRDefault="00456002" w:rsidP="00456002">
      <w:pPr>
        <w:pStyle w:val="Heading2"/>
        <w:ind w:left="0" w:right="720"/>
      </w:pPr>
      <w:bookmarkStart w:id="704" w:name="_Toc323819653"/>
      <w:bookmarkStart w:id="705" w:name="_Toc336338204"/>
      <w:bookmarkStart w:id="706" w:name="_Toc352234272"/>
      <w:r w:rsidRPr="00416070">
        <w:rPr>
          <w:rFonts w:ascii="Tahoma" w:hAnsi="Tahoma" w:cs="Tahoma"/>
        </w:rPr>
        <w:lastRenderedPageBreak/>
        <w:t>Atualização</w:t>
      </w:r>
      <w:bookmarkEnd w:id="704"/>
      <w:bookmarkEnd w:id="705"/>
      <w:bookmarkEnd w:id="706"/>
    </w:p>
    <w:p w:rsidR="00456002" w:rsidRPr="00416070" w:rsidRDefault="00456002" w:rsidP="00B147AB">
      <w:pPr>
        <w:pStyle w:val="AppendixIndent"/>
        <w:spacing w:before="0"/>
        <w:ind w:left="0" w:right="720"/>
        <w:rPr>
          <w:rFonts w:ascii="Tahoma" w:hAnsi="Tahoma" w:cs="Tahoma"/>
          <w:sz w:val="18"/>
          <w:szCs w:val="18"/>
        </w:rPr>
      </w:pPr>
    </w:p>
    <w:p w:rsidR="00456002" w:rsidRPr="00416070" w:rsidRDefault="00456002" w:rsidP="00B147AB">
      <w:pPr>
        <w:pStyle w:val="AppendixIndent"/>
        <w:spacing w:before="0"/>
        <w:ind w:left="0" w:right="720"/>
      </w:pPr>
      <w:r w:rsidRPr="008D38F6">
        <w:rPr>
          <w:rFonts w:ascii="Tahoma" w:hAnsi="Tahoma" w:cs="Tahoma"/>
          <w:sz w:val="18"/>
          <w:lang w:val="pt-BR"/>
        </w:rPr>
        <w:t xml:space="preserve">Este tipo de produto está disponível somente para o </w:t>
      </w:r>
      <w:r w:rsidRPr="008D38F6">
        <w:rPr>
          <w:rFonts w:ascii="Tahoma" w:hAnsi="Tahoma" w:cs="Tahoma"/>
          <w:sz w:val="18"/>
          <w:u w:val="single"/>
          <w:lang w:val="pt-BR"/>
        </w:rPr>
        <w:t>Sistema Operacional Windows Desktop</w:t>
      </w:r>
      <w:r w:rsidRPr="008D38F6">
        <w:rPr>
          <w:rFonts w:ascii="Tahoma" w:hAnsi="Tahoma" w:cs="Tahoma"/>
          <w:sz w:val="18"/>
          <w:lang w:val="pt-BR"/>
        </w:rPr>
        <w:t>, é específico à</w:t>
      </w:r>
      <w:r w:rsidR="0065498C" w:rsidRPr="008D38F6">
        <w:rPr>
          <w:rFonts w:ascii="Tahoma" w:hAnsi="Tahoma" w:cs="Tahoma"/>
          <w:sz w:val="18"/>
          <w:lang w:val="pt-BR"/>
        </w:rPr>
        <w:t> </w:t>
      </w:r>
      <w:r w:rsidRPr="008D38F6">
        <w:rPr>
          <w:rFonts w:ascii="Tahoma" w:hAnsi="Tahoma" w:cs="Tahoma"/>
          <w:sz w:val="18"/>
          <w:lang w:val="pt-BR"/>
        </w:rPr>
        <w:t>versão e confere o direito de executar a versão do produto para a qual foi solicitado.</w:t>
      </w:r>
      <w:r w:rsidR="00FB5496" w:rsidRPr="008D38F6">
        <w:rPr>
          <w:rFonts w:ascii="Tahoma" w:hAnsi="Tahoma" w:cs="Tahoma"/>
          <w:sz w:val="18"/>
          <w:lang w:val="pt-BR"/>
        </w:rPr>
        <w:t xml:space="preserve"> </w:t>
      </w:r>
      <w:r w:rsidRPr="00416070">
        <w:rPr>
          <w:rFonts w:ascii="Tahoma" w:hAnsi="Tahoma" w:cs="Tahoma"/>
          <w:sz w:val="18"/>
        </w:rPr>
        <w:t>Estão disponíveis nos</w:t>
      </w:r>
      <w:r w:rsidR="0065498C" w:rsidRPr="00416070">
        <w:rPr>
          <w:rFonts w:ascii="Tahoma" w:hAnsi="Tahoma" w:cs="Tahoma"/>
          <w:sz w:val="18"/>
        </w:rPr>
        <w:t> </w:t>
      </w:r>
      <w:r w:rsidRPr="00416070">
        <w:rPr>
          <w:rFonts w:ascii="Tahoma" w:hAnsi="Tahoma" w:cs="Tahoma"/>
          <w:sz w:val="18"/>
        </w:rPr>
        <w:t>seguintes programas:</w:t>
      </w:r>
    </w:p>
    <w:p w:rsidR="00456002" w:rsidRPr="00416070" w:rsidRDefault="00456002" w:rsidP="00B147AB">
      <w:pPr>
        <w:pStyle w:val="AppendixIndent"/>
        <w:spacing w:before="0"/>
        <w:ind w:left="0" w:right="720"/>
        <w:rPr>
          <w:rFonts w:ascii="Tahoma" w:hAnsi="Tahoma" w:cs="Tahoma"/>
          <w:sz w:val="18"/>
          <w:szCs w:val="18"/>
        </w:rPr>
      </w:pPr>
    </w:p>
    <w:p w:rsidR="00385C82" w:rsidRPr="00416070" w:rsidRDefault="00385C82" w:rsidP="00B147AB">
      <w:pPr>
        <w:pStyle w:val="AppendixBulletIndent"/>
        <w:numPr>
          <w:ilvl w:val="0"/>
          <w:numId w:val="77"/>
        </w:numPr>
        <w:tabs>
          <w:tab w:val="left" w:pos="1440"/>
        </w:tabs>
        <w:spacing w:after="60"/>
        <w:ind w:left="1440" w:right="720"/>
      </w:pPr>
      <w:r w:rsidRPr="00416070">
        <w:rPr>
          <w:rFonts w:ascii="Tahoma" w:hAnsi="Tahoma" w:cs="Tahoma"/>
          <w:sz w:val="18"/>
          <w:szCs w:val="18"/>
        </w:rPr>
        <w:t>Licença Open</w:t>
      </w:r>
    </w:p>
    <w:p w:rsidR="00385C82" w:rsidRPr="008D38F6" w:rsidRDefault="00385C82" w:rsidP="002C1048">
      <w:pPr>
        <w:pStyle w:val="AppendixBulletIndent"/>
        <w:numPr>
          <w:ilvl w:val="0"/>
          <w:numId w:val="77"/>
        </w:numPr>
        <w:tabs>
          <w:tab w:val="left" w:pos="1440"/>
        </w:tabs>
        <w:spacing w:after="60"/>
        <w:ind w:left="1440" w:right="720"/>
        <w:rPr>
          <w:lang w:val="pt-BR"/>
        </w:rPr>
      </w:pPr>
      <w:r w:rsidRPr="008D38F6">
        <w:rPr>
          <w:rFonts w:ascii="Tahoma" w:hAnsi="Tahoma" w:cs="Tahoma"/>
          <w:sz w:val="18"/>
          <w:szCs w:val="18"/>
          <w:lang w:val="pt-BR"/>
        </w:rPr>
        <w:t xml:space="preserve">Open Value Subscription [somente para pedidos com opção de compra (“buy-out”)] </w:t>
      </w:r>
    </w:p>
    <w:p w:rsidR="00385C82" w:rsidRPr="00416070" w:rsidRDefault="00385C82" w:rsidP="002C1048">
      <w:pPr>
        <w:pStyle w:val="AppendixBulletIndent"/>
        <w:numPr>
          <w:ilvl w:val="0"/>
          <w:numId w:val="77"/>
        </w:numPr>
        <w:tabs>
          <w:tab w:val="left" w:pos="1440"/>
        </w:tabs>
        <w:spacing w:after="60"/>
        <w:ind w:left="1440" w:right="720"/>
      </w:pPr>
      <w:r w:rsidRPr="00416070">
        <w:rPr>
          <w:rFonts w:ascii="Tahoma" w:hAnsi="Tahoma" w:cs="Tahoma"/>
          <w:sz w:val="18"/>
          <w:szCs w:val="18"/>
        </w:rPr>
        <w:t xml:space="preserve">Select </w:t>
      </w:r>
    </w:p>
    <w:p w:rsidR="00385C82" w:rsidRPr="00416070" w:rsidRDefault="00385C82" w:rsidP="002C1048">
      <w:pPr>
        <w:pStyle w:val="AppendixBulletIndent"/>
        <w:numPr>
          <w:ilvl w:val="0"/>
          <w:numId w:val="77"/>
        </w:numPr>
        <w:tabs>
          <w:tab w:val="left" w:pos="1440"/>
        </w:tabs>
        <w:spacing w:after="60"/>
        <w:ind w:left="1440" w:right="720"/>
      </w:pPr>
      <w:r w:rsidRPr="00416070">
        <w:rPr>
          <w:rFonts w:ascii="Tahoma" w:hAnsi="Tahoma" w:cs="Tahoma"/>
          <w:sz w:val="18"/>
          <w:szCs w:val="18"/>
        </w:rPr>
        <w:t>Select Plus</w:t>
      </w:r>
    </w:p>
    <w:p w:rsidR="00385C82" w:rsidRPr="008D38F6" w:rsidRDefault="00385C82" w:rsidP="002C1048">
      <w:pPr>
        <w:pStyle w:val="AppendixBulletIndent"/>
        <w:numPr>
          <w:ilvl w:val="0"/>
          <w:numId w:val="77"/>
        </w:numPr>
        <w:tabs>
          <w:tab w:val="left" w:pos="1440"/>
        </w:tabs>
        <w:spacing w:after="60"/>
        <w:ind w:left="1440" w:right="720"/>
        <w:rPr>
          <w:lang w:val="pt-BR"/>
        </w:rPr>
      </w:pPr>
      <w:r w:rsidRPr="008D38F6">
        <w:rPr>
          <w:rFonts w:ascii="Tahoma" w:hAnsi="Tahoma" w:cs="Tahoma"/>
          <w:sz w:val="18"/>
          <w:szCs w:val="18"/>
          <w:lang w:val="pt-BR"/>
        </w:rPr>
        <w:t>Contrato School (somente para pedidos com opção de compra (“buy-out”))</w:t>
      </w:r>
    </w:p>
    <w:p w:rsidR="00385C82" w:rsidRPr="008D38F6" w:rsidRDefault="00385C82" w:rsidP="002C1048">
      <w:pPr>
        <w:pStyle w:val="AppendixBulletIndent"/>
        <w:numPr>
          <w:ilvl w:val="0"/>
          <w:numId w:val="77"/>
        </w:numPr>
        <w:tabs>
          <w:tab w:val="left" w:pos="1440"/>
        </w:tabs>
        <w:spacing w:after="60"/>
        <w:ind w:left="1440" w:right="720"/>
        <w:rPr>
          <w:lang w:val="pt-BR"/>
        </w:rPr>
      </w:pPr>
      <w:r w:rsidRPr="008D38F6">
        <w:rPr>
          <w:rFonts w:ascii="Tahoma" w:hAnsi="Tahoma" w:cs="Tahoma"/>
          <w:sz w:val="18"/>
          <w:szCs w:val="18"/>
          <w:lang w:val="pt-BR"/>
        </w:rPr>
        <w:t>EES (somente para pedidos com opção de compra (“buy-out”))</w:t>
      </w:r>
    </w:p>
    <w:p w:rsidR="00385C82" w:rsidRPr="008D38F6" w:rsidRDefault="00385C82" w:rsidP="00430DF6">
      <w:pPr>
        <w:pStyle w:val="AppendixBulletIndent"/>
        <w:numPr>
          <w:ilvl w:val="0"/>
          <w:numId w:val="77"/>
        </w:numPr>
        <w:tabs>
          <w:tab w:val="left" w:pos="1440"/>
        </w:tabs>
        <w:ind w:left="1440" w:right="450"/>
        <w:rPr>
          <w:lang w:val="pt-BR"/>
        </w:rPr>
      </w:pPr>
      <w:r w:rsidRPr="008D38F6">
        <w:rPr>
          <w:rFonts w:ascii="Tahoma" w:hAnsi="Tahoma" w:cs="Tahoma"/>
          <w:sz w:val="18"/>
          <w:szCs w:val="18"/>
          <w:lang w:val="pt-BR"/>
        </w:rPr>
        <w:t>Contrato Enterprise Subscription (somente para pedidos com opção de compra (“buy-out”))</w:t>
      </w:r>
    </w:p>
    <w:p w:rsidR="00456002" w:rsidRPr="008D38F6" w:rsidRDefault="00456002" w:rsidP="00B147AB">
      <w:pPr>
        <w:pStyle w:val="AppendixIndent"/>
        <w:spacing w:before="0"/>
        <w:ind w:left="0" w:right="720"/>
        <w:rPr>
          <w:rFonts w:ascii="Tahoma" w:hAnsi="Tahoma" w:cs="Tahoma"/>
          <w:sz w:val="18"/>
          <w:szCs w:val="18"/>
          <w:lang w:val="pt-BR"/>
        </w:rPr>
      </w:pPr>
    </w:p>
    <w:p w:rsidR="00456002" w:rsidRPr="008D38F6" w:rsidRDefault="00456002" w:rsidP="00B147AB">
      <w:pPr>
        <w:pStyle w:val="AppendixIndent"/>
        <w:spacing w:before="0"/>
        <w:ind w:left="0" w:right="720"/>
        <w:rPr>
          <w:lang w:val="pt-BR"/>
        </w:rPr>
      </w:pPr>
      <w:r w:rsidRPr="008D38F6">
        <w:rPr>
          <w:rFonts w:ascii="Tahoma" w:hAnsi="Tahoma" w:cs="Tahoma"/>
          <w:sz w:val="18"/>
          <w:lang w:val="pt-BR"/>
        </w:rPr>
        <w:t>O cliente deverá ter uma licença básica de sistema operacional de desktop qualificada para poder adquirir a</w:t>
      </w:r>
      <w:r w:rsidR="0065498C" w:rsidRPr="008D38F6">
        <w:rPr>
          <w:rFonts w:ascii="Tahoma" w:hAnsi="Tahoma" w:cs="Tahoma"/>
          <w:sz w:val="18"/>
          <w:lang w:val="pt-BR"/>
        </w:rPr>
        <w:t> </w:t>
      </w:r>
      <w:r w:rsidRPr="008D38F6">
        <w:rPr>
          <w:rFonts w:ascii="Tahoma" w:hAnsi="Tahoma" w:cs="Tahoma"/>
          <w:sz w:val="18"/>
          <w:lang w:val="pt-BR"/>
        </w:rPr>
        <w:t>licença de Atualização de Sistema Operacional Windows Desktop. Consulte a seção sobre produtos de sistema para obter uma lista dos sistemas operacionais de desktop qualificados. Essa lista varia conforme o</w:t>
      </w:r>
      <w:r w:rsidR="0065498C" w:rsidRPr="008D38F6">
        <w:rPr>
          <w:rFonts w:ascii="Tahoma" w:hAnsi="Tahoma" w:cs="Tahoma"/>
          <w:sz w:val="18"/>
          <w:lang w:val="pt-BR"/>
        </w:rPr>
        <w:t> </w:t>
      </w:r>
      <w:r w:rsidRPr="008D38F6">
        <w:rPr>
          <w:rFonts w:ascii="Tahoma" w:hAnsi="Tahoma" w:cs="Tahoma"/>
          <w:sz w:val="18"/>
          <w:lang w:val="pt-BR"/>
        </w:rPr>
        <w:t>programa e as circunstâncias do pedido.</w:t>
      </w:r>
    </w:p>
    <w:p w:rsidR="001C1727" w:rsidRPr="008D38F6" w:rsidRDefault="001C1727">
      <w:pPr>
        <w:rPr>
          <w:lang w:val="pt-BR"/>
        </w:rPr>
      </w:pPr>
      <w:bookmarkStart w:id="707" w:name="_Toc323819654"/>
      <w:bookmarkStart w:id="708" w:name="_Toc336338205"/>
    </w:p>
    <w:p w:rsidR="00456002" w:rsidRPr="00416070" w:rsidRDefault="00456002" w:rsidP="00456002">
      <w:pPr>
        <w:pStyle w:val="Heading2"/>
        <w:ind w:left="0" w:right="720"/>
      </w:pPr>
      <w:bookmarkStart w:id="709" w:name="_Toc352234273"/>
      <w:r w:rsidRPr="00416070">
        <w:rPr>
          <w:rFonts w:ascii="Tahoma" w:hAnsi="Tahoma" w:cs="Tahoma"/>
        </w:rPr>
        <w:t>Atualização e Software Assurance</w:t>
      </w:r>
      <w:bookmarkEnd w:id="707"/>
      <w:bookmarkEnd w:id="708"/>
      <w:bookmarkEnd w:id="709"/>
      <w:r w:rsidRPr="00416070">
        <w:rPr>
          <w:rFonts w:ascii="Tahoma" w:hAnsi="Tahoma" w:cs="Tahoma"/>
        </w:rPr>
        <w:t xml:space="preserve"> </w:t>
      </w:r>
    </w:p>
    <w:p w:rsidR="00456002" w:rsidRPr="008D38F6" w:rsidRDefault="00456002" w:rsidP="00B147AB">
      <w:pPr>
        <w:ind w:right="720"/>
        <w:rPr>
          <w:lang w:val="pt-BR"/>
        </w:rPr>
      </w:pPr>
    </w:p>
    <w:p w:rsidR="00456002" w:rsidRPr="00416070" w:rsidRDefault="00456002" w:rsidP="00B147AB">
      <w:pPr>
        <w:pStyle w:val="AppendixIndent"/>
        <w:spacing w:before="0"/>
        <w:ind w:left="0" w:right="720"/>
      </w:pPr>
      <w:r w:rsidRPr="008D38F6">
        <w:rPr>
          <w:rFonts w:ascii="Tahoma" w:hAnsi="Tahoma" w:cs="Tahoma"/>
          <w:sz w:val="18"/>
          <w:lang w:val="pt-BR"/>
        </w:rPr>
        <w:t>Este tipo de produto está disponível somente para o Sistema Operacional Windows Desktop, não é</w:t>
      </w:r>
      <w:r w:rsidR="00430DF6" w:rsidRPr="008D38F6">
        <w:rPr>
          <w:rFonts w:ascii="Tahoma" w:hAnsi="Tahoma" w:cs="Tahoma"/>
          <w:sz w:val="18"/>
          <w:lang w:val="pt-BR"/>
        </w:rPr>
        <w:t> </w:t>
      </w:r>
      <w:r w:rsidRPr="008D38F6">
        <w:rPr>
          <w:rFonts w:ascii="Tahoma" w:hAnsi="Tahoma" w:cs="Tahoma"/>
          <w:sz w:val="18"/>
          <w:lang w:val="pt-BR"/>
        </w:rPr>
        <w:t>específico à versão e permite que os clientes adquiram a Atualização e o Software Assurance para o</w:t>
      </w:r>
      <w:r w:rsidR="00430DF6" w:rsidRPr="008D38F6">
        <w:rPr>
          <w:rFonts w:ascii="Tahoma" w:hAnsi="Tahoma" w:cs="Tahoma"/>
          <w:sz w:val="18"/>
          <w:lang w:val="pt-BR"/>
        </w:rPr>
        <w:t> </w:t>
      </w:r>
      <w:r w:rsidRPr="008D38F6">
        <w:rPr>
          <w:rFonts w:ascii="Tahoma" w:hAnsi="Tahoma" w:cs="Tahoma"/>
          <w:sz w:val="18"/>
          <w:lang w:val="pt-BR"/>
        </w:rPr>
        <w:t xml:space="preserve">sistema operacional de desktop ao mesmo tempo. </w:t>
      </w:r>
      <w:r w:rsidRPr="00416070">
        <w:rPr>
          <w:rFonts w:ascii="Tahoma" w:hAnsi="Tahoma" w:cs="Tahoma"/>
          <w:sz w:val="18"/>
        </w:rPr>
        <w:t>Estão disponíveis nos seguintes programas:</w:t>
      </w:r>
    </w:p>
    <w:p w:rsidR="00116EDC" w:rsidRPr="00416070" w:rsidRDefault="00116EDC" w:rsidP="00B147AB">
      <w:pPr>
        <w:pStyle w:val="AppendixIndent"/>
        <w:spacing w:before="0"/>
        <w:ind w:left="0" w:right="720"/>
        <w:rPr>
          <w:rFonts w:ascii="Tahoma" w:hAnsi="Tahoma" w:cs="Tahoma"/>
          <w:sz w:val="18"/>
          <w:szCs w:val="18"/>
        </w:rPr>
      </w:pPr>
    </w:p>
    <w:p w:rsidR="00456002" w:rsidRPr="00416070" w:rsidRDefault="00456002" w:rsidP="002C1048">
      <w:pPr>
        <w:pStyle w:val="AppendixBulletIndent"/>
        <w:numPr>
          <w:ilvl w:val="0"/>
          <w:numId w:val="78"/>
        </w:numPr>
        <w:tabs>
          <w:tab w:val="clear" w:pos="360"/>
          <w:tab w:val="num" w:pos="1440"/>
        </w:tabs>
        <w:spacing w:after="60"/>
        <w:ind w:left="1440" w:right="720"/>
      </w:pPr>
      <w:r w:rsidRPr="00416070">
        <w:rPr>
          <w:rFonts w:ascii="Tahoma" w:hAnsi="Tahoma" w:cs="Tahoma"/>
          <w:sz w:val="18"/>
        </w:rPr>
        <w:t>Licença Open</w:t>
      </w:r>
    </w:p>
    <w:p w:rsidR="00456002" w:rsidRPr="00416070" w:rsidRDefault="00456002" w:rsidP="002C1048">
      <w:pPr>
        <w:pStyle w:val="AppendixBulletIndent"/>
        <w:numPr>
          <w:ilvl w:val="0"/>
          <w:numId w:val="78"/>
        </w:numPr>
        <w:tabs>
          <w:tab w:val="clear" w:pos="360"/>
          <w:tab w:val="num" w:pos="1440"/>
        </w:tabs>
        <w:spacing w:after="60"/>
        <w:ind w:left="1440" w:right="720"/>
      </w:pPr>
      <w:r w:rsidRPr="00416070">
        <w:rPr>
          <w:rFonts w:ascii="Tahoma" w:hAnsi="Tahoma" w:cs="Tahoma"/>
          <w:sz w:val="18"/>
        </w:rPr>
        <w:t>Open Value</w:t>
      </w:r>
    </w:p>
    <w:p w:rsidR="00456002" w:rsidRPr="00416070" w:rsidRDefault="00456002" w:rsidP="002C1048">
      <w:pPr>
        <w:pStyle w:val="AppendixBulletIndent"/>
        <w:numPr>
          <w:ilvl w:val="0"/>
          <w:numId w:val="78"/>
        </w:numPr>
        <w:tabs>
          <w:tab w:val="clear" w:pos="360"/>
          <w:tab w:val="num" w:pos="1440"/>
        </w:tabs>
        <w:spacing w:after="60"/>
        <w:ind w:left="1440" w:right="720"/>
      </w:pPr>
      <w:r w:rsidRPr="00416070">
        <w:rPr>
          <w:rFonts w:ascii="Tahoma" w:hAnsi="Tahoma" w:cs="Tahoma"/>
          <w:sz w:val="18"/>
        </w:rPr>
        <w:t>Open Value Subscription</w:t>
      </w:r>
    </w:p>
    <w:p w:rsidR="00456002" w:rsidRPr="00416070" w:rsidRDefault="00456002" w:rsidP="002C1048">
      <w:pPr>
        <w:pStyle w:val="AppendixBulletIndent"/>
        <w:numPr>
          <w:ilvl w:val="0"/>
          <w:numId w:val="78"/>
        </w:numPr>
        <w:tabs>
          <w:tab w:val="clear" w:pos="360"/>
          <w:tab w:val="num" w:pos="1440"/>
        </w:tabs>
        <w:spacing w:after="60"/>
        <w:ind w:left="1440" w:right="720"/>
      </w:pPr>
      <w:r w:rsidRPr="00416070">
        <w:rPr>
          <w:rFonts w:ascii="Tahoma" w:hAnsi="Tahoma" w:cs="Tahoma"/>
          <w:sz w:val="18"/>
        </w:rPr>
        <w:t xml:space="preserve">Select </w:t>
      </w:r>
    </w:p>
    <w:p w:rsidR="00456002" w:rsidRPr="00416070" w:rsidRDefault="00456002" w:rsidP="002C1048">
      <w:pPr>
        <w:pStyle w:val="AppendixBulletIndent"/>
        <w:numPr>
          <w:ilvl w:val="0"/>
          <w:numId w:val="78"/>
        </w:numPr>
        <w:tabs>
          <w:tab w:val="clear" w:pos="360"/>
          <w:tab w:val="num" w:pos="1440"/>
        </w:tabs>
        <w:spacing w:after="60"/>
        <w:ind w:left="1440" w:right="720"/>
      </w:pPr>
      <w:r w:rsidRPr="00416070">
        <w:rPr>
          <w:rFonts w:ascii="Tahoma" w:hAnsi="Tahoma" w:cs="Tahoma"/>
          <w:sz w:val="18"/>
        </w:rPr>
        <w:t>Select Plus</w:t>
      </w:r>
    </w:p>
    <w:p w:rsidR="00456002" w:rsidRPr="00416070" w:rsidRDefault="00456002" w:rsidP="002C1048">
      <w:pPr>
        <w:pStyle w:val="AppendixBulletIndent"/>
        <w:numPr>
          <w:ilvl w:val="0"/>
          <w:numId w:val="78"/>
        </w:numPr>
        <w:tabs>
          <w:tab w:val="clear" w:pos="360"/>
          <w:tab w:val="num" w:pos="1440"/>
        </w:tabs>
        <w:spacing w:after="60"/>
        <w:ind w:left="1440" w:right="720"/>
      </w:pPr>
      <w:r w:rsidRPr="00416070">
        <w:rPr>
          <w:rFonts w:ascii="Tahoma" w:hAnsi="Tahoma" w:cs="Tahoma"/>
          <w:sz w:val="18"/>
        </w:rPr>
        <w:t>Contrato School</w:t>
      </w:r>
    </w:p>
    <w:p w:rsidR="00456002" w:rsidRPr="00416070" w:rsidRDefault="00456002" w:rsidP="002C1048">
      <w:pPr>
        <w:pStyle w:val="AppendixBulletIndent"/>
        <w:numPr>
          <w:ilvl w:val="0"/>
          <w:numId w:val="78"/>
        </w:numPr>
        <w:tabs>
          <w:tab w:val="clear" w:pos="360"/>
          <w:tab w:val="num" w:pos="1440"/>
        </w:tabs>
        <w:spacing w:after="60"/>
        <w:ind w:left="1440" w:right="720"/>
      </w:pPr>
      <w:r w:rsidRPr="00416070">
        <w:rPr>
          <w:rFonts w:ascii="Tahoma" w:hAnsi="Tahoma" w:cs="Tahoma"/>
          <w:sz w:val="18"/>
        </w:rPr>
        <w:t>ESS</w:t>
      </w:r>
    </w:p>
    <w:p w:rsidR="00456002" w:rsidRPr="00416070" w:rsidRDefault="00456002" w:rsidP="002C1048">
      <w:pPr>
        <w:pStyle w:val="AppendixBulletIndent"/>
        <w:numPr>
          <w:ilvl w:val="0"/>
          <w:numId w:val="78"/>
        </w:numPr>
        <w:tabs>
          <w:tab w:val="clear" w:pos="360"/>
          <w:tab w:val="num" w:pos="1440"/>
        </w:tabs>
        <w:spacing w:after="60"/>
        <w:ind w:left="1440" w:right="720"/>
      </w:pPr>
      <w:r w:rsidRPr="00416070">
        <w:rPr>
          <w:rFonts w:ascii="Tahoma" w:hAnsi="Tahoma" w:cs="Tahoma"/>
          <w:sz w:val="18"/>
        </w:rPr>
        <w:t>Contrato Enterprise</w:t>
      </w:r>
    </w:p>
    <w:p w:rsidR="00456002" w:rsidRPr="00416070" w:rsidRDefault="00456002" w:rsidP="00B147AB">
      <w:pPr>
        <w:pStyle w:val="AppendixBulletIndent"/>
        <w:numPr>
          <w:ilvl w:val="0"/>
          <w:numId w:val="78"/>
        </w:numPr>
        <w:tabs>
          <w:tab w:val="clear" w:pos="360"/>
          <w:tab w:val="num" w:pos="1440"/>
        </w:tabs>
        <w:ind w:left="1440" w:right="720"/>
      </w:pPr>
      <w:r w:rsidRPr="00416070">
        <w:rPr>
          <w:rFonts w:ascii="Tahoma" w:hAnsi="Tahoma" w:cs="Tahoma"/>
          <w:sz w:val="18"/>
        </w:rPr>
        <w:t>Contrato Enterprise Subscription</w:t>
      </w:r>
    </w:p>
    <w:p w:rsidR="00456002" w:rsidRPr="00416070" w:rsidRDefault="00456002" w:rsidP="00B147AB">
      <w:pPr>
        <w:pStyle w:val="AppendixIndent"/>
        <w:spacing w:before="0"/>
        <w:ind w:left="0" w:right="720"/>
        <w:rPr>
          <w:rFonts w:ascii="Tahoma" w:hAnsi="Tahoma" w:cs="Tahoma"/>
          <w:sz w:val="18"/>
          <w:szCs w:val="18"/>
        </w:rPr>
      </w:pPr>
    </w:p>
    <w:p w:rsidR="00456002" w:rsidRPr="008D38F6" w:rsidRDefault="00456002" w:rsidP="00A56037">
      <w:pPr>
        <w:pStyle w:val="AppendixIndent"/>
        <w:spacing w:before="0"/>
        <w:ind w:left="0" w:right="720"/>
        <w:rPr>
          <w:lang w:val="pt-BR"/>
        </w:rPr>
      </w:pPr>
      <w:r w:rsidRPr="008D38F6">
        <w:rPr>
          <w:rFonts w:ascii="Tahoma" w:hAnsi="Tahoma" w:cs="Tahoma"/>
          <w:sz w:val="18"/>
          <w:lang w:val="pt-BR"/>
        </w:rPr>
        <w:t>O cliente deverá ter a licença básica do sistema operacional de desktop qualificada para poder adquirir a</w:t>
      </w:r>
      <w:r w:rsidR="00430DF6" w:rsidRPr="008D38F6">
        <w:rPr>
          <w:rFonts w:ascii="Tahoma" w:hAnsi="Tahoma" w:cs="Tahoma"/>
          <w:sz w:val="18"/>
          <w:lang w:val="pt-BR"/>
        </w:rPr>
        <w:t> </w:t>
      </w:r>
      <w:r w:rsidRPr="008D38F6">
        <w:rPr>
          <w:rFonts w:ascii="Tahoma" w:hAnsi="Tahoma" w:cs="Tahoma"/>
          <w:sz w:val="18"/>
          <w:lang w:val="pt-BR"/>
        </w:rPr>
        <w:t>Atualização. O Software Assurance deverá ser adquirido por ocasião da aquisição da Atualização correspondente, exceto no caso de programas de assinatura, quando a atualização deverá ser comprada</w:t>
      </w:r>
      <w:r w:rsidR="00A56037" w:rsidRPr="008D38F6">
        <w:rPr>
          <w:rFonts w:ascii="Tahoma" w:hAnsi="Tahoma" w:cs="Tahoma"/>
          <w:sz w:val="18"/>
          <w:lang w:val="pt-BR"/>
        </w:rPr>
        <w:t> </w:t>
      </w:r>
      <w:r w:rsidRPr="008D38F6">
        <w:rPr>
          <w:rFonts w:ascii="Tahoma" w:hAnsi="Tahoma" w:cs="Tahoma"/>
          <w:sz w:val="18"/>
          <w:lang w:val="pt-BR"/>
        </w:rPr>
        <w:t>na</w:t>
      </w:r>
      <w:r w:rsidR="00430DF6" w:rsidRPr="008D38F6">
        <w:rPr>
          <w:rFonts w:ascii="Tahoma" w:hAnsi="Tahoma" w:cs="Tahoma"/>
          <w:sz w:val="18"/>
          <w:lang w:val="pt-BR"/>
        </w:rPr>
        <w:t> </w:t>
      </w:r>
      <w:r w:rsidRPr="008D38F6">
        <w:rPr>
          <w:rFonts w:ascii="Tahoma" w:hAnsi="Tahoma" w:cs="Tahoma"/>
          <w:sz w:val="18"/>
          <w:lang w:val="pt-BR"/>
        </w:rPr>
        <w:t>renovação do prazo de um Software Assurance existente.</w:t>
      </w:r>
    </w:p>
    <w:p w:rsidR="00ED589D" w:rsidRPr="008D38F6" w:rsidRDefault="00ED589D" w:rsidP="00B147AB">
      <w:pPr>
        <w:pStyle w:val="AppendixIndent"/>
        <w:spacing w:before="0"/>
        <w:ind w:left="0" w:right="720"/>
        <w:rPr>
          <w:rFonts w:ascii="Tahoma" w:hAnsi="Tahoma" w:cs="Tahoma"/>
          <w:sz w:val="18"/>
          <w:szCs w:val="18"/>
          <w:lang w:val="pt-BR"/>
        </w:rPr>
      </w:pPr>
    </w:p>
    <w:p w:rsidR="00456002" w:rsidRPr="00416070" w:rsidRDefault="00456002" w:rsidP="00456002">
      <w:pPr>
        <w:pStyle w:val="Heading2"/>
        <w:ind w:left="0" w:right="720"/>
      </w:pPr>
      <w:bookmarkStart w:id="710" w:name="_Toc323819656"/>
      <w:bookmarkStart w:id="711" w:name="_Toc336338206"/>
      <w:bookmarkStart w:id="712" w:name="_Toc352234274"/>
      <w:r w:rsidRPr="00416070">
        <w:rPr>
          <w:rFonts w:ascii="Tahoma" w:hAnsi="Tahoma" w:cs="Tahoma"/>
        </w:rPr>
        <w:t>Licenças Work-at-Home</w:t>
      </w:r>
      <w:bookmarkEnd w:id="710"/>
      <w:bookmarkEnd w:id="711"/>
      <w:bookmarkEnd w:id="712"/>
    </w:p>
    <w:p w:rsidR="00456002" w:rsidRPr="008D38F6" w:rsidRDefault="00456002" w:rsidP="00B147AB">
      <w:pPr>
        <w:ind w:right="720"/>
        <w:rPr>
          <w:lang w:val="pt-BR"/>
        </w:rPr>
      </w:pPr>
    </w:p>
    <w:p w:rsidR="00456002" w:rsidRPr="008D38F6" w:rsidRDefault="00456002" w:rsidP="00B147AB">
      <w:pPr>
        <w:pStyle w:val="AppendixIndent"/>
        <w:spacing w:before="0"/>
        <w:ind w:left="0" w:right="720"/>
        <w:rPr>
          <w:lang w:val="pt-BR"/>
        </w:rPr>
      </w:pPr>
      <w:r w:rsidRPr="008D38F6">
        <w:rPr>
          <w:rFonts w:ascii="Tahoma" w:hAnsi="Tahoma" w:cs="Tahoma"/>
          <w:sz w:val="18"/>
          <w:lang w:val="pt-BR"/>
        </w:rPr>
        <w:t>Estão disponíveis nos seguintes programas:</w:t>
      </w:r>
    </w:p>
    <w:p w:rsidR="00456002" w:rsidRPr="008D38F6" w:rsidRDefault="00323791" w:rsidP="00B147AB">
      <w:pPr>
        <w:pStyle w:val="AppendixBulletIndent"/>
        <w:ind w:left="0" w:right="720" w:firstLine="0"/>
        <w:rPr>
          <w:rFonts w:ascii="Tahoma" w:hAnsi="Tahoma" w:cs="Tahoma"/>
          <w:sz w:val="18"/>
          <w:szCs w:val="18"/>
          <w:lang w:val="pt-BR"/>
        </w:rPr>
      </w:pPr>
      <w:r w:rsidRPr="008D38F6">
        <w:rPr>
          <w:rFonts w:ascii="Tahoma" w:hAnsi="Tahoma" w:cs="Tahoma"/>
          <w:sz w:val="18"/>
          <w:szCs w:val="18"/>
          <w:lang w:val="pt-BR"/>
        </w:rPr>
        <w:tab/>
      </w:r>
    </w:p>
    <w:p w:rsidR="00456002" w:rsidRPr="00416070" w:rsidRDefault="00456002" w:rsidP="002C1048">
      <w:pPr>
        <w:pStyle w:val="AppendixBulletIndent"/>
        <w:numPr>
          <w:ilvl w:val="0"/>
          <w:numId w:val="80"/>
        </w:numPr>
        <w:tabs>
          <w:tab w:val="clear" w:pos="360"/>
          <w:tab w:val="num" w:pos="1440"/>
        </w:tabs>
        <w:spacing w:after="60"/>
        <w:ind w:left="1440" w:right="720"/>
      </w:pPr>
      <w:r w:rsidRPr="00416070">
        <w:rPr>
          <w:rFonts w:ascii="Tahoma" w:hAnsi="Tahoma" w:cs="Tahoma"/>
          <w:sz w:val="18"/>
        </w:rPr>
        <w:t xml:space="preserve">Select </w:t>
      </w:r>
    </w:p>
    <w:p w:rsidR="00456002" w:rsidRPr="00416070" w:rsidRDefault="00456002" w:rsidP="002C1048">
      <w:pPr>
        <w:pStyle w:val="AppendixBulletIndent"/>
        <w:numPr>
          <w:ilvl w:val="0"/>
          <w:numId w:val="80"/>
        </w:numPr>
        <w:tabs>
          <w:tab w:val="clear" w:pos="360"/>
          <w:tab w:val="num" w:pos="1440"/>
        </w:tabs>
        <w:spacing w:after="60"/>
        <w:ind w:left="1440" w:right="720"/>
      </w:pPr>
      <w:r w:rsidRPr="00416070">
        <w:rPr>
          <w:rFonts w:ascii="Tahoma" w:hAnsi="Tahoma" w:cs="Tahoma"/>
          <w:sz w:val="18"/>
        </w:rPr>
        <w:t>Select Plus</w:t>
      </w:r>
    </w:p>
    <w:p w:rsidR="00456002" w:rsidRPr="00416070" w:rsidRDefault="00456002" w:rsidP="00B147AB">
      <w:pPr>
        <w:pStyle w:val="AppendixBulletIndent"/>
        <w:numPr>
          <w:ilvl w:val="0"/>
          <w:numId w:val="80"/>
        </w:numPr>
        <w:tabs>
          <w:tab w:val="clear" w:pos="360"/>
          <w:tab w:val="num" w:pos="1440"/>
        </w:tabs>
        <w:ind w:left="1440" w:right="720"/>
      </w:pPr>
      <w:r w:rsidRPr="00416070">
        <w:rPr>
          <w:rFonts w:ascii="Tahoma" w:hAnsi="Tahoma" w:cs="Tahoma"/>
          <w:sz w:val="18"/>
        </w:rPr>
        <w:t>Contrato Enterprise</w:t>
      </w:r>
    </w:p>
    <w:p w:rsidR="00456002" w:rsidRPr="00416070" w:rsidRDefault="00456002" w:rsidP="00B147AB">
      <w:pPr>
        <w:pStyle w:val="AppendixBulletIndent"/>
        <w:ind w:left="0" w:right="720" w:firstLine="0"/>
        <w:rPr>
          <w:rFonts w:ascii="Tahoma" w:hAnsi="Tahoma" w:cs="Tahoma"/>
          <w:sz w:val="18"/>
          <w:szCs w:val="18"/>
        </w:rPr>
      </w:pPr>
    </w:p>
    <w:p w:rsidR="00A86016" w:rsidRPr="008D38F6" w:rsidRDefault="00456002" w:rsidP="00A86016">
      <w:pPr>
        <w:rPr>
          <w:lang w:val="pt-BR"/>
        </w:rPr>
      </w:pPr>
      <w:r w:rsidRPr="008D38F6">
        <w:rPr>
          <w:lang w:val="pt-BR"/>
        </w:rPr>
        <w:t>Uma licença Work-at-Home só poderá ser adquirida em conjunto com um produto que ela estiver licenciada para executar em um desktop At Work. A oferta Work-at-Home não é uma oferta de plano de compra para funcionários. O</w:t>
      </w:r>
      <w:r w:rsidR="00430DF6" w:rsidRPr="008D38F6">
        <w:rPr>
          <w:lang w:val="pt-BR"/>
        </w:rPr>
        <w:t> </w:t>
      </w:r>
      <w:r w:rsidRPr="008D38F6">
        <w:rPr>
          <w:lang w:val="pt-BR"/>
        </w:rPr>
        <w:t>cliente da Licença Select, do Select Plus ou do Contrato Enterprise (não o funcionário) detém os direitos da licença</w:t>
      </w:r>
      <w:r w:rsidR="00430DF6" w:rsidRPr="008D38F6">
        <w:rPr>
          <w:lang w:val="pt-BR"/>
        </w:rPr>
        <w:t> </w:t>
      </w:r>
      <w:r w:rsidRPr="008D38F6">
        <w:rPr>
          <w:lang w:val="pt-BR"/>
        </w:rPr>
        <w:t>Work-at-Home.</w:t>
      </w:r>
      <w:r w:rsidR="00FB5496" w:rsidRPr="008D38F6">
        <w:rPr>
          <w:lang w:val="pt-BR"/>
        </w:rPr>
        <w:t xml:space="preserve"> </w:t>
      </w:r>
      <w:r w:rsidRPr="008D38F6">
        <w:rPr>
          <w:lang w:val="pt-BR"/>
        </w:rPr>
        <w:t>Para os direitos da licença Work-at-Home disponíveis para clientes qualificados da instituição acadêmica, consulte o Contrato/Registro.</w:t>
      </w:r>
      <w:r w:rsidR="00FB5496" w:rsidRPr="008D38F6">
        <w:rPr>
          <w:lang w:val="pt-BR"/>
        </w:rPr>
        <w:t xml:space="preserve"> </w:t>
      </w:r>
      <w:bookmarkStart w:id="713" w:name="_Section_5_–"/>
      <w:bookmarkEnd w:id="713"/>
      <w:r w:rsidR="00023FE7" w:rsidRPr="008D38F6">
        <w:rPr>
          <w:lang w:val="pt-BR"/>
        </w:rPr>
        <w:br w:type="page"/>
      </w:r>
      <w:bookmarkStart w:id="714" w:name="_Toc336338207"/>
    </w:p>
    <w:p w:rsidR="00A86016" w:rsidRPr="008D38F6" w:rsidRDefault="00A86016" w:rsidP="00A86016">
      <w:pPr>
        <w:rPr>
          <w:sz w:val="2"/>
          <w:szCs w:val="2"/>
          <w:lang w:val="pt-BR"/>
        </w:rPr>
      </w:pPr>
    </w:p>
    <w:p w:rsidR="00456002" w:rsidRPr="00416070" w:rsidRDefault="00023FE7" w:rsidP="003179E3">
      <w:pPr>
        <w:pStyle w:val="Heading1"/>
        <w:spacing w:before="0"/>
      </w:pPr>
      <w:bookmarkStart w:id="715" w:name="_Seção_5_–"/>
      <w:bookmarkStart w:id="716" w:name="_Toc352234275"/>
      <w:bookmarkEnd w:id="715"/>
      <w:r w:rsidRPr="00416070">
        <w:t>Seção 5 –</w:t>
      </w:r>
      <w:bookmarkStart w:id="717" w:name="Sect5_OnlineServices"/>
      <w:r w:rsidRPr="00416070">
        <w:t xml:space="preserve"> TERMOS DE PAGAMENTO E PREÇOS DE</w:t>
      </w:r>
      <w:r w:rsidR="00323791" w:rsidRPr="008D38F6">
        <w:rPr>
          <w:lang w:val="pt-BR"/>
        </w:rPr>
        <w:t> </w:t>
      </w:r>
      <w:r w:rsidRPr="00416070">
        <w:t>SERVIÇOS ONLINE</w:t>
      </w:r>
      <w:bookmarkEnd w:id="714"/>
      <w:bookmarkEnd w:id="716"/>
      <w:bookmarkEnd w:id="717"/>
    </w:p>
    <w:p w:rsidR="00456002" w:rsidRPr="008D38F6" w:rsidRDefault="00456002" w:rsidP="00456002">
      <w:pPr>
        <w:outlineLvl w:val="2"/>
        <w:rPr>
          <w:sz w:val="24"/>
          <w:szCs w:val="24"/>
          <w:lang w:val="pt-BR"/>
        </w:rPr>
      </w:pPr>
    </w:p>
    <w:p w:rsidR="00456002" w:rsidRPr="00416070" w:rsidRDefault="00456002" w:rsidP="00212CC6">
      <w:pPr>
        <w:outlineLvl w:val="2"/>
      </w:pPr>
      <w:r w:rsidRPr="008D38F6">
        <w:rPr>
          <w:rFonts w:cs="Tahoma"/>
          <w:szCs w:val="18"/>
          <w:lang w:val="pt-BR"/>
        </w:rPr>
        <w:t>Os Serviços Online são produtos que incluem software com serviços disponíveis em uma assinatura baseada conforme descrito nos Direitos de Uso de Produto e fornecidos online.</w:t>
      </w:r>
      <w:r w:rsidR="00FB5496" w:rsidRPr="008D38F6">
        <w:rPr>
          <w:rFonts w:cs="Tahoma"/>
          <w:szCs w:val="18"/>
          <w:lang w:val="pt-BR"/>
        </w:rPr>
        <w:t xml:space="preserve"> </w:t>
      </w:r>
      <w:r w:rsidRPr="008D38F6">
        <w:rPr>
          <w:rFonts w:cs="Tahoma"/>
          <w:szCs w:val="18"/>
          <w:lang w:val="pt-BR"/>
        </w:rPr>
        <w:t xml:space="preserve">Alguns contratos de licença por volume direcionam os clientes para a Lista de Produtos para obter uma lista dos “Serviços Online” disponíveis. </w:t>
      </w:r>
      <w:r w:rsidRPr="00416070">
        <w:rPr>
          <w:rFonts w:cs="Tahoma"/>
          <w:szCs w:val="18"/>
        </w:rPr>
        <w:t>Para fins dessa referência, os Serviços Online incluem:</w:t>
      </w:r>
    </w:p>
    <w:p w:rsidR="002D25C8" w:rsidRPr="00416070" w:rsidRDefault="002D25C8" w:rsidP="00212CC6">
      <w:pPr>
        <w:outlineLvl w:val="2"/>
      </w:pPr>
    </w:p>
    <w:p w:rsidR="00456002" w:rsidRPr="00416070" w:rsidRDefault="00456002" w:rsidP="002C1048">
      <w:pPr>
        <w:numPr>
          <w:ilvl w:val="0"/>
          <w:numId w:val="85"/>
        </w:numPr>
        <w:spacing w:after="60"/>
      </w:pPr>
      <w:r w:rsidRPr="00416070">
        <w:rPr>
          <w:rFonts w:eastAsia="Calibri" w:cs="Tahoma"/>
          <w:color w:val="000000"/>
          <w:szCs w:val="18"/>
        </w:rPr>
        <w:t>Dynamics CRM Online</w:t>
      </w:r>
    </w:p>
    <w:p w:rsidR="00456002" w:rsidRPr="008D38F6" w:rsidRDefault="00456002" w:rsidP="002C1048">
      <w:pPr>
        <w:numPr>
          <w:ilvl w:val="0"/>
          <w:numId w:val="85"/>
        </w:numPr>
        <w:spacing w:after="60"/>
        <w:rPr>
          <w:lang w:val="pt-BR"/>
        </w:rPr>
      </w:pPr>
      <w:r w:rsidRPr="008D38F6">
        <w:rPr>
          <w:rFonts w:eastAsia="Calibri" w:cs="Tahoma"/>
          <w:color w:val="000000"/>
          <w:szCs w:val="18"/>
          <w:lang w:val="pt-BR"/>
        </w:rPr>
        <w:t>Arquivamento do Exchange Online para Exchange Server</w:t>
      </w:r>
    </w:p>
    <w:p w:rsidR="00456002" w:rsidRPr="008D38F6" w:rsidRDefault="00456002" w:rsidP="002C1048">
      <w:pPr>
        <w:numPr>
          <w:ilvl w:val="0"/>
          <w:numId w:val="85"/>
        </w:numPr>
        <w:spacing w:after="60"/>
        <w:rPr>
          <w:lang w:val="pt-BR"/>
        </w:rPr>
      </w:pPr>
      <w:r w:rsidRPr="008D38F6">
        <w:rPr>
          <w:rFonts w:eastAsia="Calibri" w:cs="Tahoma"/>
          <w:color w:val="000000"/>
          <w:szCs w:val="18"/>
          <w:lang w:val="pt-BR"/>
        </w:rPr>
        <w:t xml:space="preserve">Quiosque do Exchange Online, Plano 1 e Plano 2 </w:t>
      </w:r>
    </w:p>
    <w:p w:rsidR="00456002" w:rsidRPr="00416070" w:rsidRDefault="00456002" w:rsidP="002C1048">
      <w:pPr>
        <w:numPr>
          <w:ilvl w:val="0"/>
          <w:numId w:val="85"/>
        </w:numPr>
        <w:spacing w:after="60"/>
      </w:pPr>
      <w:r w:rsidRPr="00416070">
        <w:rPr>
          <w:rFonts w:eastAsia="Calibri" w:cs="Tahoma"/>
          <w:color w:val="000000"/>
          <w:szCs w:val="18"/>
        </w:rPr>
        <w:t>Lync Online Planos 1, 2 e 3</w:t>
      </w:r>
    </w:p>
    <w:p w:rsidR="00456002" w:rsidRPr="00416070" w:rsidRDefault="00456002" w:rsidP="002C1048">
      <w:pPr>
        <w:numPr>
          <w:ilvl w:val="0"/>
          <w:numId w:val="85"/>
        </w:numPr>
        <w:spacing w:after="60"/>
      </w:pPr>
      <w:r w:rsidRPr="00416070">
        <w:rPr>
          <w:rFonts w:eastAsia="Calibri" w:cs="Tahoma"/>
          <w:color w:val="000000"/>
          <w:szCs w:val="18"/>
        </w:rPr>
        <w:t>Microsoft Exchange Hosted Continuity</w:t>
      </w:r>
    </w:p>
    <w:p w:rsidR="00456002" w:rsidRPr="00416070" w:rsidRDefault="00456002" w:rsidP="002C1048">
      <w:pPr>
        <w:numPr>
          <w:ilvl w:val="0"/>
          <w:numId w:val="85"/>
        </w:numPr>
        <w:spacing w:after="60"/>
      </w:pPr>
      <w:r w:rsidRPr="00416070">
        <w:rPr>
          <w:rFonts w:eastAsia="Calibri" w:cs="Tahoma"/>
          <w:color w:val="000000"/>
          <w:szCs w:val="18"/>
        </w:rPr>
        <w:t>Microsoft Exchange Hosted Encryption</w:t>
      </w:r>
      <w:r w:rsidR="00FB5496" w:rsidRPr="00416070">
        <w:rPr>
          <w:rFonts w:eastAsia="Calibri" w:cs="Tahoma"/>
          <w:color w:val="000000"/>
          <w:szCs w:val="18"/>
        </w:rPr>
        <w:t xml:space="preserve"> </w:t>
      </w:r>
    </w:p>
    <w:p w:rsidR="00456002" w:rsidRPr="00416070" w:rsidRDefault="00456002" w:rsidP="002C1048">
      <w:pPr>
        <w:numPr>
          <w:ilvl w:val="0"/>
          <w:numId w:val="85"/>
        </w:numPr>
        <w:spacing w:after="60"/>
      </w:pPr>
      <w:r w:rsidRPr="00416070">
        <w:rPr>
          <w:rFonts w:eastAsia="Calibri" w:cs="Tahoma"/>
          <w:color w:val="000000"/>
          <w:szCs w:val="18"/>
        </w:rPr>
        <w:t>Office 365 Enterprise K1, E1, E2, E2, E3 e E4</w:t>
      </w:r>
    </w:p>
    <w:p w:rsidR="00456002" w:rsidRPr="00416070" w:rsidRDefault="00456002" w:rsidP="002C1048">
      <w:pPr>
        <w:numPr>
          <w:ilvl w:val="0"/>
          <w:numId w:val="85"/>
        </w:numPr>
        <w:spacing w:after="60"/>
      </w:pPr>
      <w:r w:rsidRPr="00416070">
        <w:rPr>
          <w:rFonts w:eastAsia="Calibri" w:cs="Tahoma"/>
          <w:color w:val="000000"/>
          <w:szCs w:val="18"/>
        </w:rPr>
        <w:t>O Lync Server Public Instant Messaging Connectivity com Serviço de Mensagens Instantâneas AOL (America Online) e Serviço Windows Live Messenger</w:t>
      </w:r>
    </w:p>
    <w:p w:rsidR="00456002" w:rsidRPr="00416070" w:rsidRDefault="00456002" w:rsidP="002C1048">
      <w:pPr>
        <w:numPr>
          <w:ilvl w:val="0"/>
          <w:numId w:val="85"/>
        </w:numPr>
        <w:spacing w:after="60"/>
      </w:pPr>
      <w:r w:rsidRPr="00416070">
        <w:rPr>
          <w:rFonts w:eastAsia="Calibri" w:cs="Tahoma"/>
          <w:color w:val="000000"/>
          <w:szCs w:val="18"/>
        </w:rPr>
        <w:t xml:space="preserve">Lync Server Public Instant Messaging Connectivity com Serviço de Mensagens Instantâneas Yahoo </w:t>
      </w:r>
    </w:p>
    <w:p w:rsidR="00456002" w:rsidRPr="00416070" w:rsidRDefault="00456002" w:rsidP="002C1048">
      <w:pPr>
        <w:numPr>
          <w:ilvl w:val="0"/>
          <w:numId w:val="85"/>
        </w:numPr>
        <w:spacing w:after="60"/>
      </w:pPr>
      <w:r w:rsidRPr="00416070">
        <w:rPr>
          <w:rFonts w:eastAsia="Calibri" w:cs="Tahoma"/>
          <w:color w:val="000000"/>
          <w:szCs w:val="18"/>
        </w:rPr>
        <w:t>Office Groove Enterprise Services</w:t>
      </w:r>
    </w:p>
    <w:p w:rsidR="00061A45" w:rsidRPr="00416070" w:rsidRDefault="008368B4" w:rsidP="002C1048">
      <w:pPr>
        <w:numPr>
          <w:ilvl w:val="0"/>
          <w:numId w:val="85"/>
        </w:numPr>
        <w:spacing w:after="60"/>
      </w:pPr>
      <w:r w:rsidRPr="00416070">
        <w:rPr>
          <w:rFonts w:eastAsia="Calibri" w:cs="Tahoma"/>
          <w:color w:val="000000"/>
          <w:szCs w:val="18"/>
        </w:rPr>
        <w:t>Office 365 ProPlus</w:t>
      </w:r>
    </w:p>
    <w:p w:rsidR="00456002" w:rsidRPr="00416070" w:rsidRDefault="00456002" w:rsidP="002C1048">
      <w:pPr>
        <w:numPr>
          <w:ilvl w:val="0"/>
          <w:numId w:val="85"/>
        </w:numPr>
        <w:spacing w:after="60"/>
      </w:pPr>
      <w:r w:rsidRPr="00416070">
        <w:rPr>
          <w:rFonts w:eastAsia="Calibri" w:cs="Tahoma"/>
          <w:color w:val="000000"/>
          <w:szCs w:val="18"/>
        </w:rPr>
        <w:t>Office Live Meeting Standard e Professional Editions</w:t>
      </w:r>
    </w:p>
    <w:p w:rsidR="008368B4" w:rsidRPr="00416070" w:rsidRDefault="008368B4" w:rsidP="002C1048">
      <w:pPr>
        <w:numPr>
          <w:ilvl w:val="0"/>
          <w:numId w:val="85"/>
        </w:numPr>
        <w:spacing w:after="60"/>
      </w:pPr>
      <w:r w:rsidRPr="00416070">
        <w:rPr>
          <w:rFonts w:eastAsia="Calibri" w:cs="Tahoma"/>
          <w:color w:val="000000"/>
          <w:szCs w:val="18"/>
        </w:rPr>
        <w:t>Project Online</w:t>
      </w:r>
    </w:p>
    <w:p w:rsidR="008368B4" w:rsidRPr="00416070" w:rsidRDefault="008368B4" w:rsidP="002C1048">
      <w:pPr>
        <w:numPr>
          <w:ilvl w:val="0"/>
          <w:numId w:val="85"/>
        </w:numPr>
        <w:spacing w:after="60"/>
      </w:pPr>
      <w:r w:rsidRPr="00416070">
        <w:rPr>
          <w:rFonts w:eastAsia="Calibri" w:cs="Tahoma"/>
          <w:color w:val="000000"/>
          <w:szCs w:val="18"/>
        </w:rPr>
        <w:t>Project Pro para Office 365</w:t>
      </w:r>
    </w:p>
    <w:p w:rsidR="00456002" w:rsidRPr="00416070" w:rsidRDefault="00456002" w:rsidP="002C1048">
      <w:pPr>
        <w:numPr>
          <w:ilvl w:val="0"/>
          <w:numId w:val="85"/>
        </w:numPr>
        <w:spacing w:after="60"/>
      </w:pPr>
      <w:r w:rsidRPr="00416070">
        <w:rPr>
          <w:rFonts w:eastAsia="Calibri" w:cs="Tahoma"/>
          <w:color w:val="000000"/>
          <w:szCs w:val="18"/>
        </w:rPr>
        <w:t xml:space="preserve">SharePoint Online Plan 1 e Plano 2 </w:t>
      </w:r>
    </w:p>
    <w:p w:rsidR="00456002" w:rsidRPr="00416070" w:rsidRDefault="00456002" w:rsidP="002C1048">
      <w:pPr>
        <w:numPr>
          <w:ilvl w:val="0"/>
          <w:numId w:val="85"/>
        </w:numPr>
        <w:spacing w:after="60"/>
      </w:pPr>
      <w:r w:rsidRPr="00416070">
        <w:rPr>
          <w:rFonts w:eastAsia="Calibri" w:cs="Tahoma"/>
          <w:color w:val="000000"/>
          <w:szCs w:val="18"/>
        </w:rPr>
        <w:t>System Center Advisor</w:t>
      </w:r>
    </w:p>
    <w:p w:rsidR="008368B4" w:rsidRPr="00416070" w:rsidRDefault="008368B4" w:rsidP="002C1048">
      <w:pPr>
        <w:numPr>
          <w:ilvl w:val="0"/>
          <w:numId w:val="85"/>
        </w:numPr>
        <w:spacing w:after="60"/>
      </w:pPr>
      <w:r w:rsidRPr="00416070">
        <w:rPr>
          <w:rFonts w:eastAsia="Calibri" w:cs="Tahoma"/>
          <w:color w:val="000000"/>
          <w:szCs w:val="18"/>
        </w:rPr>
        <w:t>Visio Pro para Office 365</w:t>
      </w:r>
    </w:p>
    <w:p w:rsidR="00456002" w:rsidRPr="00416070" w:rsidRDefault="00456002" w:rsidP="002C1048">
      <w:pPr>
        <w:numPr>
          <w:ilvl w:val="0"/>
          <w:numId w:val="85"/>
        </w:numPr>
        <w:spacing w:after="60"/>
      </w:pPr>
      <w:r w:rsidRPr="00416070">
        <w:rPr>
          <w:rFonts w:eastAsia="Calibri" w:cs="Tahoma"/>
          <w:color w:val="000000"/>
          <w:szCs w:val="18"/>
        </w:rPr>
        <w:t>Serviços do Windows Azure</w:t>
      </w:r>
    </w:p>
    <w:p w:rsidR="00456002" w:rsidRPr="00416070" w:rsidRDefault="00456002" w:rsidP="002C1048">
      <w:pPr>
        <w:numPr>
          <w:ilvl w:val="0"/>
          <w:numId w:val="85"/>
        </w:numPr>
        <w:spacing w:after="60"/>
      </w:pPr>
      <w:r w:rsidRPr="00416070">
        <w:rPr>
          <w:rFonts w:eastAsia="Calibri" w:cs="Tahoma"/>
          <w:color w:val="000000"/>
          <w:szCs w:val="18"/>
        </w:rPr>
        <w:t>Windows Intune e Complemento do Windows Intune para System Center Configuration Manager e</w:t>
      </w:r>
      <w:r w:rsidR="00323791" w:rsidRPr="00416070">
        <w:rPr>
          <w:rFonts w:eastAsia="Calibri" w:cs="Tahoma"/>
          <w:color w:val="000000"/>
          <w:szCs w:val="18"/>
        </w:rPr>
        <w:t> </w:t>
      </w:r>
      <w:r w:rsidRPr="00416070">
        <w:rPr>
          <w:rFonts w:eastAsia="Calibri" w:cs="Tahoma"/>
          <w:color w:val="000000"/>
          <w:szCs w:val="18"/>
        </w:rPr>
        <w:t>System Center Endpoint Protection</w:t>
      </w:r>
    </w:p>
    <w:p w:rsidR="002D25C8" w:rsidRPr="00416070" w:rsidRDefault="002D25C8" w:rsidP="00212CC6"/>
    <w:p w:rsidR="00456002" w:rsidRPr="008D38F6" w:rsidRDefault="00456002" w:rsidP="00116EDC">
      <w:pPr>
        <w:outlineLvl w:val="2"/>
        <w:rPr>
          <w:lang w:val="pt-BR"/>
        </w:rPr>
      </w:pPr>
      <w:r w:rsidRPr="008D38F6">
        <w:rPr>
          <w:rFonts w:cs="Tahoma"/>
          <w:szCs w:val="18"/>
          <w:lang w:val="pt-BR"/>
        </w:rPr>
        <w:t>Existem outras ofertas além daquelas identificadas na seção de Serviços Online dos Direitos de Uso de Produto.</w:t>
      </w:r>
      <w:r w:rsidR="00FB5496" w:rsidRPr="008D38F6">
        <w:rPr>
          <w:rFonts w:cs="Tahoma"/>
          <w:szCs w:val="18"/>
          <w:lang w:val="pt-BR"/>
        </w:rPr>
        <w:t xml:space="preserve"> </w:t>
      </w:r>
      <w:r w:rsidRPr="008D38F6">
        <w:rPr>
          <w:rFonts w:cs="Tahoma"/>
          <w:szCs w:val="18"/>
          <w:lang w:val="pt-BR"/>
        </w:rPr>
        <w:t>As</w:t>
      </w:r>
      <w:r w:rsidR="00323791" w:rsidRPr="008D38F6">
        <w:rPr>
          <w:rFonts w:cs="Tahoma"/>
          <w:szCs w:val="18"/>
          <w:lang w:val="pt-BR"/>
        </w:rPr>
        <w:t> </w:t>
      </w:r>
      <w:r w:rsidRPr="008D38F6">
        <w:rPr>
          <w:rFonts w:cs="Tahoma"/>
          <w:szCs w:val="18"/>
          <w:lang w:val="pt-BR"/>
        </w:rPr>
        <w:t>seções restantes desses “Termos de Preços e Pagamentos dos Serviços Online” se aplicam aos Serviços Online identificados por nome anteriormente e a essas outras ofertas.</w:t>
      </w:r>
    </w:p>
    <w:p w:rsidR="00116EDC" w:rsidRPr="008D38F6" w:rsidRDefault="00116EDC" w:rsidP="00116EDC">
      <w:pPr>
        <w:outlineLvl w:val="2"/>
        <w:rPr>
          <w:b/>
          <w:lang w:val="pt-BR"/>
        </w:rPr>
      </w:pPr>
    </w:p>
    <w:p w:rsidR="00456002" w:rsidRPr="00416070" w:rsidRDefault="00456002" w:rsidP="00456002">
      <w:pPr>
        <w:pStyle w:val="Heading2"/>
        <w:ind w:left="0"/>
      </w:pPr>
      <w:bookmarkStart w:id="718" w:name="_Toc336338208"/>
      <w:bookmarkStart w:id="719" w:name="_Toc352234276"/>
      <w:r w:rsidRPr="00416070">
        <w:rPr>
          <w:rFonts w:ascii="Tahoma" w:hAnsi="Tahoma" w:cs="Tahoma"/>
        </w:rPr>
        <w:t>Prazo da assinatura de Serviços Online</w:t>
      </w:r>
      <w:bookmarkEnd w:id="718"/>
      <w:bookmarkEnd w:id="719"/>
    </w:p>
    <w:p w:rsidR="00456002" w:rsidRPr="008D38F6" w:rsidRDefault="00456002" w:rsidP="00116EDC">
      <w:pPr>
        <w:outlineLvl w:val="2"/>
        <w:rPr>
          <w:lang w:val="pt-BR"/>
        </w:rPr>
      </w:pPr>
    </w:p>
    <w:p w:rsidR="006A5DAE" w:rsidRPr="008D38F6" w:rsidRDefault="00456002" w:rsidP="00A56037">
      <w:pPr>
        <w:outlineLvl w:val="2"/>
        <w:rPr>
          <w:lang w:val="pt-BR"/>
        </w:rPr>
      </w:pPr>
      <w:r w:rsidRPr="008D38F6">
        <w:rPr>
          <w:rFonts w:cs="Tahoma"/>
          <w:szCs w:val="18"/>
          <w:lang w:val="pt-BR"/>
        </w:rPr>
        <w:t>A compra inicial de uma nova assinatura de serviços online determinará a duração do prazo da assinatura.</w:t>
      </w:r>
      <w:r w:rsidR="00FB5496" w:rsidRPr="008D38F6">
        <w:rPr>
          <w:rFonts w:cs="Tahoma"/>
          <w:szCs w:val="18"/>
          <w:lang w:val="pt-BR"/>
        </w:rPr>
        <w:t xml:space="preserve"> </w:t>
      </w:r>
      <w:r w:rsidRPr="008D38F6">
        <w:rPr>
          <w:rFonts w:cs="Tahoma"/>
          <w:szCs w:val="18"/>
          <w:lang w:val="pt-BR"/>
        </w:rPr>
        <w:t>Alguns serviços permitem ao cliente optar entre um prazo de assinatura de um ano ou uma assinatura que acaba na data de</w:t>
      </w:r>
      <w:r w:rsidR="00A56037" w:rsidRPr="008D38F6">
        <w:rPr>
          <w:rFonts w:cs="Tahoma"/>
          <w:szCs w:val="18"/>
          <w:lang w:val="pt-BR"/>
        </w:rPr>
        <w:t> </w:t>
      </w:r>
      <w:r w:rsidRPr="008D38F6">
        <w:rPr>
          <w:rFonts w:cs="Tahoma"/>
          <w:szCs w:val="18"/>
          <w:lang w:val="pt-BR"/>
        </w:rPr>
        <w:t>término do contrato ou registro do cliente (“coextensiva”) conforme indicado na tabela a seguir.</w:t>
      </w:r>
      <w:r w:rsidR="00FB5496" w:rsidRPr="008D38F6">
        <w:rPr>
          <w:rFonts w:cs="Tahoma"/>
          <w:szCs w:val="18"/>
          <w:lang w:val="pt-BR"/>
        </w:rPr>
        <w:t xml:space="preserve"> </w:t>
      </w:r>
      <w:r w:rsidRPr="008D38F6">
        <w:rPr>
          <w:rFonts w:cs="Tahoma"/>
          <w:szCs w:val="18"/>
          <w:lang w:val="pt-BR"/>
        </w:rPr>
        <w:t>O Select Plus não</w:t>
      </w:r>
      <w:r w:rsidR="00A56037" w:rsidRPr="008D38F6">
        <w:rPr>
          <w:rFonts w:cs="Tahoma"/>
          <w:szCs w:val="18"/>
          <w:lang w:val="pt-BR"/>
        </w:rPr>
        <w:t> </w:t>
      </w:r>
      <w:r w:rsidRPr="008D38F6">
        <w:rPr>
          <w:rFonts w:cs="Tahoma"/>
          <w:szCs w:val="18"/>
          <w:lang w:val="pt-BR"/>
        </w:rPr>
        <w:t>oferece a opção coextensiva, mas permite ao cliente optar pelos termos de assinatura, incluindo 1 ano, 3 anos ou para alinhar o segundo aniversário a partir da data de início do prazo.</w:t>
      </w:r>
      <w:r w:rsidR="00FB5496" w:rsidRPr="008D38F6">
        <w:rPr>
          <w:rFonts w:cs="Tahoma"/>
          <w:szCs w:val="18"/>
          <w:lang w:val="pt-BR"/>
        </w:rPr>
        <w:t xml:space="preserve"> </w:t>
      </w:r>
      <w:r w:rsidRPr="008D38F6">
        <w:rPr>
          <w:rFonts w:cs="Tahoma"/>
          <w:szCs w:val="18"/>
          <w:lang w:val="pt-BR"/>
        </w:rPr>
        <w:t>O prazo de assinatura de um ano pode não</w:t>
      </w:r>
      <w:r w:rsidR="00323791" w:rsidRPr="008D38F6">
        <w:rPr>
          <w:rFonts w:cs="Tahoma"/>
          <w:szCs w:val="18"/>
          <w:lang w:val="pt-BR"/>
        </w:rPr>
        <w:t> </w:t>
      </w:r>
      <w:r w:rsidRPr="008D38F6">
        <w:rPr>
          <w:rFonts w:cs="Tahoma"/>
          <w:szCs w:val="18"/>
          <w:lang w:val="pt-BR"/>
        </w:rPr>
        <w:t>estar alinhado nem expirar na data de término do contrato do cliente.</w:t>
      </w:r>
      <w:r w:rsidR="00FB5496" w:rsidRPr="008D38F6">
        <w:rPr>
          <w:rFonts w:cs="Tahoma"/>
          <w:szCs w:val="18"/>
          <w:lang w:val="pt-BR"/>
        </w:rPr>
        <w:t xml:space="preserve"> </w:t>
      </w:r>
      <w:r w:rsidRPr="008D38F6">
        <w:rPr>
          <w:rFonts w:cs="Tahoma"/>
          <w:szCs w:val="18"/>
          <w:lang w:val="pt-BR"/>
        </w:rPr>
        <w:t>Se o prazo de assinatura de um ano se</w:t>
      </w:r>
      <w:r w:rsidR="00A44D8C" w:rsidRPr="008D38F6">
        <w:rPr>
          <w:rFonts w:cs="Tahoma"/>
          <w:szCs w:val="18"/>
          <w:lang w:val="pt-BR"/>
        </w:rPr>
        <w:t> </w:t>
      </w:r>
      <w:r w:rsidRPr="008D38F6">
        <w:rPr>
          <w:rFonts w:cs="Tahoma"/>
          <w:szCs w:val="18"/>
          <w:lang w:val="pt-BR"/>
        </w:rPr>
        <w:t>encerrar após o contrato, o cliente deverá ter um contrato de licenciamento por volume ativo para solicitar licenças adicionais ou renovar o serviço.</w:t>
      </w:r>
      <w:r w:rsidR="00FB5496" w:rsidRPr="008D38F6">
        <w:rPr>
          <w:rFonts w:cs="Tahoma"/>
          <w:szCs w:val="18"/>
          <w:lang w:val="pt-BR"/>
        </w:rPr>
        <w:t xml:space="preserve"> </w:t>
      </w:r>
      <w:r w:rsidRPr="008D38F6">
        <w:rPr>
          <w:rFonts w:cs="Tahoma"/>
          <w:szCs w:val="18"/>
          <w:lang w:val="pt-BR"/>
        </w:rPr>
        <w:t>Se o cliente fizer compras adicionais de um serviço, o prazo da assinatura da</w:t>
      </w:r>
      <w:r w:rsidR="00A44D8C" w:rsidRPr="008D38F6">
        <w:rPr>
          <w:rFonts w:cs="Tahoma"/>
          <w:szCs w:val="18"/>
          <w:lang w:val="pt-BR"/>
        </w:rPr>
        <w:t> </w:t>
      </w:r>
      <w:r w:rsidRPr="008D38F6">
        <w:rPr>
          <w:rFonts w:cs="Tahoma"/>
          <w:szCs w:val="18"/>
          <w:lang w:val="pt-BR"/>
        </w:rPr>
        <w:t>compra adicional deverá estar alinhado com o prazo da assinatura existente do cliente para o mesmo serviço.</w:t>
      </w:r>
      <w:r w:rsidR="00FB5496" w:rsidRPr="008D38F6">
        <w:rPr>
          <w:rFonts w:cs="Tahoma"/>
          <w:szCs w:val="18"/>
          <w:lang w:val="pt-BR"/>
        </w:rPr>
        <w:t xml:space="preserve"> </w:t>
      </w:r>
      <w:r w:rsidRPr="008D38F6">
        <w:rPr>
          <w:rFonts w:cs="Tahoma"/>
          <w:szCs w:val="18"/>
          <w:lang w:val="pt-BR"/>
        </w:rPr>
        <w:t>Se</w:t>
      </w:r>
      <w:r w:rsidR="00A44D8C" w:rsidRPr="008D38F6">
        <w:rPr>
          <w:rFonts w:cs="Tahoma"/>
          <w:szCs w:val="18"/>
          <w:lang w:val="pt-BR"/>
        </w:rPr>
        <w:t> </w:t>
      </w:r>
      <w:r w:rsidRPr="008D38F6">
        <w:rPr>
          <w:rFonts w:cs="Tahoma"/>
          <w:szCs w:val="18"/>
          <w:lang w:val="pt-BR"/>
        </w:rPr>
        <w:t>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FB5496" w:rsidRPr="008D38F6">
        <w:rPr>
          <w:rFonts w:cs="Tahoma"/>
          <w:szCs w:val="18"/>
          <w:lang w:val="pt-BR"/>
        </w:rPr>
        <w:t xml:space="preserve"> </w:t>
      </w:r>
      <w:r w:rsidRPr="008D38F6">
        <w:rPr>
          <w:rFonts w:cs="Tahoma"/>
          <w:szCs w:val="18"/>
          <w:lang w:val="pt-BR"/>
        </w:rPr>
        <w:t>Para informações específicas dos Serviços do Windows Azure, consulte a seção Se</w:t>
      </w:r>
      <w:r w:rsidR="00A56037" w:rsidRPr="008D38F6">
        <w:rPr>
          <w:rFonts w:cs="Tahoma"/>
          <w:szCs w:val="18"/>
          <w:lang w:val="pt-BR"/>
        </w:rPr>
        <w:t>rviços do Windows Azure abaixo.</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B06414"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8D38F6" w:rsidRDefault="00456002" w:rsidP="005C647E">
            <w:pPr>
              <w:jc w:val="center"/>
              <w:rPr>
                <w:rFonts w:eastAsia="Calibri" w:cs="Tahoma"/>
                <w:b/>
                <w:bCs/>
                <w:sz w:val="20"/>
                <w:szCs w:val="18"/>
                <w:lang w:val="pt-BR"/>
              </w:rPr>
            </w:pPr>
            <w:r w:rsidRPr="008D38F6">
              <w:rPr>
                <w:rFonts w:eastAsia="Calibri" w:cs="Tahoma"/>
                <w:b/>
                <w:bCs/>
                <w:sz w:val="20"/>
                <w:szCs w:val="18"/>
                <w:lang w:val="pt-BR"/>
              </w:rPr>
              <w:lastRenderedPageBreak/>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8D38F6" w:rsidRDefault="00456002" w:rsidP="005C647E">
            <w:pPr>
              <w:jc w:val="center"/>
              <w:rPr>
                <w:rFonts w:eastAsia="Calibri" w:cs="Tahoma"/>
                <w:b/>
                <w:bCs/>
                <w:sz w:val="20"/>
                <w:szCs w:val="18"/>
                <w:lang w:val="pt-BR"/>
              </w:rPr>
            </w:pPr>
            <w:r w:rsidRPr="008D38F6">
              <w:rPr>
                <w:rFonts w:eastAsia="Calibri" w:cs="Tahoma"/>
                <w:b/>
                <w:bCs/>
                <w:sz w:val="20"/>
                <w:szCs w:val="18"/>
                <w:lang w:val="pt-BR"/>
              </w:rPr>
              <w:t>Serviços Online Disponíveis Apenas para Termo de Assinatura Coextensiva</w:t>
            </w:r>
          </w:p>
        </w:tc>
      </w:tr>
      <w:tr w:rsidR="00456002" w:rsidRPr="00416070"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416070" w:rsidRDefault="00456002" w:rsidP="002C1048">
            <w:pPr>
              <w:numPr>
                <w:ilvl w:val="0"/>
                <w:numId w:val="86"/>
              </w:numPr>
              <w:spacing w:after="60"/>
              <w:ind w:left="720" w:right="259"/>
            </w:pPr>
            <w:r w:rsidRPr="00416070">
              <w:rPr>
                <w:rFonts w:eastAsia="Calibri" w:cs="Tahoma"/>
                <w:color w:val="000000"/>
                <w:szCs w:val="18"/>
              </w:rPr>
              <w:t>Bing Maps Professional</w:t>
            </w:r>
          </w:p>
          <w:p w:rsidR="00456002" w:rsidRPr="00416070" w:rsidRDefault="00456002" w:rsidP="002C1048">
            <w:pPr>
              <w:numPr>
                <w:ilvl w:val="0"/>
                <w:numId w:val="86"/>
              </w:numPr>
              <w:spacing w:after="60"/>
              <w:ind w:left="720" w:right="259"/>
            </w:pPr>
            <w:r w:rsidRPr="00416070">
              <w:rPr>
                <w:rFonts w:eastAsia="Calibri" w:cs="Tahoma"/>
                <w:color w:val="000000"/>
                <w:szCs w:val="18"/>
              </w:rPr>
              <w:t>Exchange Online Protection</w:t>
            </w:r>
          </w:p>
          <w:p w:rsidR="00456002" w:rsidRPr="00416070" w:rsidRDefault="00456002" w:rsidP="002C1048">
            <w:pPr>
              <w:numPr>
                <w:ilvl w:val="0"/>
                <w:numId w:val="86"/>
              </w:numPr>
              <w:spacing w:after="60"/>
              <w:ind w:left="720" w:right="259"/>
            </w:pPr>
            <w:r w:rsidRPr="00416070">
              <w:rPr>
                <w:rFonts w:eastAsia="Calibri" w:cs="Tahoma"/>
                <w:color w:val="000000"/>
                <w:szCs w:val="18"/>
              </w:rPr>
              <w:t>Forefront Protection 2010 for Exchange</w:t>
            </w:r>
            <w:r w:rsidR="00A44D8C" w:rsidRPr="00416070">
              <w:rPr>
                <w:rFonts w:eastAsia="Calibri" w:cs="Tahoma"/>
                <w:color w:val="000000"/>
                <w:szCs w:val="18"/>
              </w:rPr>
              <w:t> </w:t>
            </w:r>
            <w:r w:rsidRPr="00416070">
              <w:rPr>
                <w:rFonts w:eastAsia="Calibri" w:cs="Tahoma"/>
                <w:color w:val="000000"/>
                <w:szCs w:val="18"/>
              </w:rPr>
              <w:t>Server</w:t>
            </w:r>
          </w:p>
          <w:p w:rsidR="00456002" w:rsidRPr="00416070" w:rsidRDefault="00456002" w:rsidP="002C1048">
            <w:pPr>
              <w:numPr>
                <w:ilvl w:val="0"/>
                <w:numId w:val="86"/>
              </w:numPr>
              <w:spacing w:after="60"/>
              <w:ind w:left="720" w:right="259"/>
            </w:pPr>
            <w:r w:rsidRPr="00416070">
              <w:rPr>
                <w:rFonts w:eastAsia="Calibri" w:cs="Tahoma"/>
                <w:color w:val="000000"/>
                <w:szCs w:val="18"/>
              </w:rPr>
              <w:t>Forefront Protection 2010 para</w:t>
            </w:r>
            <w:r w:rsidR="00A44D8C" w:rsidRPr="00416070">
              <w:rPr>
                <w:rFonts w:eastAsia="Calibri" w:cs="Tahoma"/>
                <w:color w:val="000000"/>
                <w:szCs w:val="18"/>
              </w:rPr>
              <w:t> </w:t>
            </w:r>
            <w:r w:rsidRPr="00416070">
              <w:rPr>
                <w:rFonts w:eastAsia="Calibri" w:cs="Tahoma"/>
                <w:color w:val="000000"/>
                <w:szCs w:val="18"/>
              </w:rPr>
              <w:t xml:space="preserve">SharePoint </w:t>
            </w:r>
          </w:p>
          <w:p w:rsidR="00456002" w:rsidRPr="00416070" w:rsidRDefault="00456002" w:rsidP="002C1048">
            <w:pPr>
              <w:numPr>
                <w:ilvl w:val="0"/>
                <w:numId w:val="86"/>
              </w:numPr>
              <w:spacing w:after="60"/>
              <w:ind w:left="720" w:right="259"/>
            </w:pPr>
            <w:r w:rsidRPr="00416070">
              <w:rPr>
                <w:rFonts w:eastAsia="Calibri" w:cs="Tahoma"/>
                <w:color w:val="000000"/>
                <w:szCs w:val="18"/>
              </w:rPr>
              <w:t>Forefront Protection Suite</w:t>
            </w:r>
          </w:p>
          <w:p w:rsidR="00456002" w:rsidRPr="00416070" w:rsidRDefault="00456002" w:rsidP="002C1048">
            <w:pPr>
              <w:numPr>
                <w:ilvl w:val="0"/>
                <w:numId w:val="86"/>
              </w:numPr>
              <w:spacing w:after="60"/>
              <w:ind w:left="720" w:right="259"/>
            </w:pPr>
            <w:r w:rsidRPr="00416070">
              <w:rPr>
                <w:rFonts w:eastAsia="Calibri" w:cs="Tahoma"/>
                <w:color w:val="000000"/>
                <w:szCs w:val="18"/>
              </w:rPr>
              <w:t>Forefront Security for Office Communications Server</w:t>
            </w:r>
          </w:p>
          <w:p w:rsidR="00456002" w:rsidRPr="00416070" w:rsidRDefault="00456002" w:rsidP="002C1048">
            <w:pPr>
              <w:numPr>
                <w:ilvl w:val="0"/>
                <w:numId w:val="86"/>
              </w:numPr>
              <w:spacing w:after="60"/>
              <w:ind w:left="720" w:right="259"/>
            </w:pPr>
            <w:r w:rsidRPr="00416070">
              <w:rPr>
                <w:rFonts w:eastAsia="Calibri" w:cs="Tahoma"/>
                <w:color w:val="000000"/>
                <w:szCs w:val="18"/>
              </w:rPr>
              <w:t>Forefront Threat Management Gateway Web Protection Service</w:t>
            </w:r>
          </w:p>
          <w:p w:rsidR="00456002" w:rsidRPr="00416070" w:rsidRDefault="00456002" w:rsidP="002C1048">
            <w:pPr>
              <w:numPr>
                <w:ilvl w:val="0"/>
                <w:numId w:val="86"/>
              </w:numPr>
              <w:spacing w:after="60"/>
              <w:ind w:left="720" w:right="259"/>
            </w:pPr>
            <w:r w:rsidRPr="00416070">
              <w:rPr>
                <w:rFonts w:eastAsia="Calibri" w:cs="Tahoma"/>
                <w:color w:val="000000"/>
                <w:szCs w:val="18"/>
              </w:rPr>
              <w:t>O Lync Server Public Instant Messaging Connectivity com Serviço de Mensagens Instantâneas AOL (America Online) e Serviço Windows Live Messenger</w:t>
            </w:r>
          </w:p>
          <w:p w:rsidR="00456002" w:rsidRPr="00416070" w:rsidRDefault="00456002" w:rsidP="002C1048">
            <w:pPr>
              <w:numPr>
                <w:ilvl w:val="0"/>
                <w:numId w:val="86"/>
              </w:numPr>
              <w:spacing w:after="60"/>
              <w:ind w:left="720" w:right="259"/>
            </w:pPr>
            <w:r w:rsidRPr="00416070">
              <w:rPr>
                <w:rFonts w:eastAsia="Calibri" w:cs="Tahoma"/>
                <w:color w:val="000000"/>
                <w:szCs w:val="18"/>
              </w:rPr>
              <w:t xml:space="preserve">Lync Server Public Instant Messaging Connectivity com Serviço de Mensagens Instantâneas Yahoo </w:t>
            </w:r>
          </w:p>
          <w:p w:rsidR="00456002" w:rsidRPr="00416070" w:rsidRDefault="00456002" w:rsidP="002C1048">
            <w:pPr>
              <w:numPr>
                <w:ilvl w:val="0"/>
                <w:numId w:val="86"/>
              </w:numPr>
              <w:spacing w:after="60"/>
              <w:ind w:left="720" w:right="259"/>
            </w:pPr>
            <w:r w:rsidRPr="00416070">
              <w:rPr>
                <w:rFonts w:eastAsia="Calibri" w:cs="Tahoma"/>
                <w:color w:val="000000"/>
                <w:szCs w:val="18"/>
              </w:rPr>
              <w:t>Microsoft Exchange Hosted Encryption</w:t>
            </w:r>
            <w:r w:rsidR="00FB5496" w:rsidRPr="00416070">
              <w:rPr>
                <w:rFonts w:eastAsia="Calibri" w:cs="Tahoma"/>
                <w:color w:val="000000"/>
                <w:szCs w:val="18"/>
              </w:rPr>
              <w:t xml:space="preserve"> </w:t>
            </w:r>
          </w:p>
          <w:p w:rsidR="00456002" w:rsidRPr="00416070" w:rsidRDefault="00456002" w:rsidP="002C1048">
            <w:pPr>
              <w:numPr>
                <w:ilvl w:val="0"/>
                <w:numId w:val="86"/>
              </w:numPr>
              <w:spacing w:after="60"/>
              <w:ind w:left="720" w:right="259"/>
            </w:pPr>
            <w:r w:rsidRPr="00416070">
              <w:rPr>
                <w:rFonts w:eastAsia="Calibri" w:cs="Tahoma"/>
                <w:color w:val="000000"/>
                <w:szCs w:val="18"/>
              </w:rPr>
              <w:t>Microsoft Learning Solutions</w:t>
            </w:r>
          </w:p>
          <w:p w:rsidR="00456002" w:rsidRPr="00416070" w:rsidRDefault="00456002" w:rsidP="002C1048">
            <w:pPr>
              <w:numPr>
                <w:ilvl w:val="0"/>
                <w:numId w:val="86"/>
              </w:numPr>
              <w:spacing w:after="60"/>
              <w:ind w:left="720" w:right="259"/>
            </w:pPr>
            <w:r w:rsidRPr="00416070">
              <w:rPr>
                <w:rFonts w:eastAsia="Calibri" w:cs="Tahoma"/>
                <w:color w:val="000000"/>
                <w:szCs w:val="18"/>
              </w:rPr>
              <w:t>Office Groove Enterprise Services</w:t>
            </w:r>
          </w:p>
          <w:p w:rsidR="00456002" w:rsidRPr="00416070" w:rsidRDefault="00456002" w:rsidP="002C1048">
            <w:pPr>
              <w:numPr>
                <w:ilvl w:val="0"/>
                <w:numId w:val="86"/>
              </w:numPr>
              <w:spacing w:after="60"/>
              <w:ind w:left="720" w:right="259"/>
            </w:pPr>
            <w:r w:rsidRPr="00416070">
              <w:rPr>
                <w:rFonts w:eastAsia="Calibri" w:cs="Tahoma"/>
                <w:color w:val="000000"/>
                <w:szCs w:val="18"/>
              </w:rPr>
              <w:t>System Center 2012 Endpoint Protection</w:t>
            </w:r>
          </w:p>
          <w:p w:rsidR="00456002" w:rsidRPr="00416070" w:rsidRDefault="00456002" w:rsidP="002C1048">
            <w:pPr>
              <w:numPr>
                <w:ilvl w:val="0"/>
                <w:numId w:val="86"/>
              </w:numPr>
              <w:spacing w:after="60"/>
              <w:ind w:left="720" w:right="259"/>
            </w:pPr>
            <w:r w:rsidRPr="00416070">
              <w:rPr>
                <w:rFonts w:eastAsia="Calibri" w:cs="Tahoma"/>
                <w:color w:val="000000"/>
                <w:szCs w:val="18"/>
              </w:rPr>
              <w:t xml:space="preserve">Assinatura do Web Antimalware para Forefront Threat Management Gateway Medium Business Edition </w:t>
            </w:r>
          </w:p>
          <w:p w:rsidR="00456002" w:rsidRPr="00416070" w:rsidRDefault="00456002" w:rsidP="002C1048">
            <w:pPr>
              <w:numPr>
                <w:ilvl w:val="0"/>
                <w:numId w:val="86"/>
              </w:numPr>
              <w:spacing w:after="60"/>
              <w:ind w:left="720" w:right="259"/>
              <w:rPr>
                <w:rFonts w:eastAsia="Calibri" w:cs="Tahoma"/>
                <w:color w:val="000000"/>
                <w:szCs w:val="18"/>
              </w:rPr>
            </w:pPr>
            <w:r w:rsidRPr="00416070">
              <w:rPr>
                <w:rFonts w:eastAsia="Calibri" w:cs="Tahoma"/>
                <w:color w:val="000000"/>
                <w:szCs w:val="18"/>
              </w:rPr>
              <w:t>Serviços do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416070" w:rsidRDefault="00456002" w:rsidP="002C1048">
            <w:pPr>
              <w:numPr>
                <w:ilvl w:val="0"/>
                <w:numId w:val="87"/>
              </w:numPr>
              <w:spacing w:after="60"/>
              <w:ind w:left="576" w:right="187"/>
            </w:pPr>
            <w:r w:rsidRPr="00416070">
              <w:rPr>
                <w:rFonts w:eastAsia="Calibri" w:cs="Tahoma"/>
                <w:color w:val="000000"/>
                <w:szCs w:val="18"/>
              </w:rPr>
              <w:t xml:space="preserve">Dynamics CRM Online </w:t>
            </w:r>
          </w:p>
          <w:p w:rsidR="00456002" w:rsidRPr="00416070" w:rsidRDefault="00456002" w:rsidP="002C1048">
            <w:pPr>
              <w:numPr>
                <w:ilvl w:val="0"/>
                <w:numId w:val="87"/>
              </w:numPr>
              <w:spacing w:after="60"/>
              <w:ind w:left="576" w:right="187"/>
            </w:pPr>
            <w:r w:rsidRPr="00416070">
              <w:rPr>
                <w:rFonts w:eastAsia="Calibri" w:cs="Tahoma"/>
                <w:color w:val="000000"/>
                <w:szCs w:val="18"/>
              </w:rPr>
              <w:t>Dynamics Mobile</w:t>
            </w:r>
          </w:p>
          <w:p w:rsidR="00456002" w:rsidRPr="00416070" w:rsidRDefault="00456002" w:rsidP="002C1048">
            <w:pPr>
              <w:numPr>
                <w:ilvl w:val="0"/>
                <w:numId w:val="87"/>
              </w:numPr>
              <w:spacing w:after="60"/>
              <w:ind w:left="576" w:right="187"/>
            </w:pPr>
            <w:r w:rsidRPr="00416070">
              <w:rPr>
                <w:rFonts w:eastAsia="Calibri" w:cs="Tahoma"/>
                <w:color w:val="000000"/>
                <w:szCs w:val="18"/>
              </w:rPr>
              <w:t>Dynamics Onprem Mobile</w:t>
            </w:r>
          </w:p>
          <w:p w:rsidR="009B3FA2" w:rsidRPr="008D38F6" w:rsidRDefault="009B3FA2" w:rsidP="002C1048">
            <w:pPr>
              <w:numPr>
                <w:ilvl w:val="0"/>
                <w:numId w:val="87"/>
              </w:numPr>
              <w:spacing w:after="60"/>
              <w:ind w:left="576" w:right="187"/>
              <w:rPr>
                <w:lang w:val="pt-BR"/>
              </w:rPr>
            </w:pPr>
            <w:r w:rsidRPr="008D38F6">
              <w:rPr>
                <w:rFonts w:eastAsia="Calibri" w:cs="Tahoma"/>
                <w:color w:val="000000"/>
                <w:szCs w:val="18"/>
                <w:lang w:val="pt-BR"/>
              </w:rPr>
              <w:t>Arquivamento do Exchange Online para Exchange Online</w:t>
            </w:r>
          </w:p>
          <w:p w:rsidR="00456002" w:rsidRPr="008D38F6" w:rsidRDefault="00456002" w:rsidP="002C1048">
            <w:pPr>
              <w:numPr>
                <w:ilvl w:val="0"/>
                <w:numId w:val="87"/>
              </w:numPr>
              <w:spacing w:after="60"/>
              <w:ind w:left="576" w:right="187"/>
              <w:rPr>
                <w:lang w:val="pt-BR"/>
              </w:rPr>
            </w:pPr>
            <w:r w:rsidRPr="008D38F6">
              <w:rPr>
                <w:rFonts w:eastAsia="Calibri" w:cs="Tahoma"/>
                <w:color w:val="000000"/>
                <w:szCs w:val="18"/>
                <w:lang w:val="pt-BR"/>
              </w:rPr>
              <w:t>Arquivamento do Exchange Online para Exchange Server</w:t>
            </w:r>
          </w:p>
          <w:p w:rsidR="00456002" w:rsidRPr="008D38F6" w:rsidRDefault="00456002" w:rsidP="002C1048">
            <w:pPr>
              <w:numPr>
                <w:ilvl w:val="0"/>
                <w:numId w:val="87"/>
              </w:numPr>
              <w:spacing w:after="60"/>
              <w:ind w:left="576" w:right="187"/>
              <w:rPr>
                <w:lang w:val="pt-BR"/>
              </w:rPr>
            </w:pPr>
            <w:r w:rsidRPr="008D38F6">
              <w:rPr>
                <w:rFonts w:eastAsia="Calibri" w:cs="Tahoma"/>
                <w:color w:val="000000"/>
                <w:szCs w:val="18"/>
                <w:lang w:val="pt-BR"/>
              </w:rPr>
              <w:t>Quiosque do Exchange Online, Plano 1 e</w:t>
            </w:r>
            <w:r w:rsidR="00A44D8C" w:rsidRPr="008D38F6">
              <w:rPr>
                <w:rFonts w:eastAsia="Calibri" w:cs="Tahoma"/>
                <w:color w:val="000000"/>
                <w:szCs w:val="18"/>
                <w:lang w:val="pt-BR"/>
              </w:rPr>
              <w:t> </w:t>
            </w:r>
            <w:r w:rsidRPr="008D38F6">
              <w:rPr>
                <w:rFonts w:eastAsia="Calibri" w:cs="Tahoma"/>
                <w:color w:val="000000"/>
                <w:szCs w:val="18"/>
                <w:lang w:val="pt-BR"/>
              </w:rPr>
              <w:t xml:space="preserve">Plano 2 </w:t>
            </w:r>
          </w:p>
          <w:p w:rsidR="00456002" w:rsidRPr="00416070" w:rsidRDefault="00456002" w:rsidP="002C1048">
            <w:pPr>
              <w:numPr>
                <w:ilvl w:val="0"/>
                <w:numId w:val="87"/>
              </w:numPr>
              <w:spacing w:after="60"/>
              <w:ind w:left="576" w:right="187"/>
            </w:pPr>
            <w:r w:rsidRPr="00416070">
              <w:rPr>
                <w:rFonts w:eastAsia="Calibri" w:cs="Tahoma"/>
                <w:color w:val="000000"/>
                <w:szCs w:val="18"/>
              </w:rPr>
              <w:t>Lync Online Planos 1, 2 e 3</w:t>
            </w:r>
          </w:p>
          <w:p w:rsidR="009B3FA2" w:rsidRPr="00416070" w:rsidRDefault="00456002" w:rsidP="002C1048">
            <w:pPr>
              <w:numPr>
                <w:ilvl w:val="0"/>
                <w:numId w:val="87"/>
              </w:numPr>
              <w:spacing w:after="60"/>
              <w:ind w:left="576" w:right="187"/>
            </w:pPr>
            <w:r w:rsidRPr="00416070">
              <w:rPr>
                <w:rFonts w:eastAsia="Calibri" w:cs="Tahoma"/>
                <w:color w:val="000000"/>
                <w:szCs w:val="18"/>
              </w:rPr>
              <w:t>Office 365 Education A2, A3 e A4</w:t>
            </w:r>
          </w:p>
          <w:p w:rsidR="00456002" w:rsidRPr="00416070" w:rsidRDefault="009B3FA2" w:rsidP="002C1048">
            <w:pPr>
              <w:numPr>
                <w:ilvl w:val="0"/>
                <w:numId w:val="87"/>
              </w:numPr>
              <w:spacing w:after="60"/>
              <w:ind w:left="576" w:right="187"/>
            </w:pPr>
            <w:r w:rsidRPr="00416070">
              <w:rPr>
                <w:rFonts w:eastAsia="Calibri" w:cs="Tahoma"/>
                <w:color w:val="000000"/>
                <w:szCs w:val="18"/>
              </w:rPr>
              <w:t>Office 365 Enterprise K1, K2,E1, E2, E2, E3 e E4</w:t>
            </w:r>
          </w:p>
          <w:p w:rsidR="00061A45" w:rsidRPr="00416070" w:rsidRDefault="008368B4" w:rsidP="002C1048">
            <w:pPr>
              <w:numPr>
                <w:ilvl w:val="0"/>
                <w:numId w:val="87"/>
              </w:numPr>
              <w:spacing w:after="60"/>
              <w:ind w:left="576" w:right="187"/>
            </w:pPr>
            <w:r w:rsidRPr="00416070">
              <w:rPr>
                <w:rFonts w:eastAsia="Calibri" w:cs="Tahoma"/>
                <w:color w:val="000000"/>
                <w:szCs w:val="18"/>
              </w:rPr>
              <w:t>Office 365 ProPlus</w:t>
            </w:r>
          </w:p>
          <w:p w:rsidR="00456002" w:rsidRPr="00416070" w:rsidRDefault="00456002" w:rsidP="002C1048">
            <w:pPr>
              <w:numPr>
                <w:ilvl w:val="0"/>
                <w:numId w:val="87"/>
              </w:numPr>
              <w:spacing w:after="60"/>
              <w:ind w:left="576" w:right="187"/>
            </w:pPr>
            <w:r w:rsidRPr="00416070">
              <w:rPr>
                <w:rFonts w:eastAsia="Calibri" w:cs="Tahoma"/>
                <w:color w:val="000000"/>
                <w:szCs w:val="18"/>
              </w:rPr>
              <w:t>Aplicativos da Web do Office</w:t>
            </w:r>
          </w:p>
          <w:p w:rsidR="008368B4" w:rsidRPr="00416070" w:rsidRDefault="008368B4" w:rsidP="002C1048">
            <w:pPr>
              <w:numPr>
                <w:ilvl w:val="0"/>
                <w:numId w:val="87"/>
              </w:numPr>
              <w:spacing w:after="60"/>
              <w:ind w:left="576" w:right="187"/>
            </w:pPr>
            <w:r w:rsidRPr="00416070">
              <w:rPr>
                <w:rFonts w:eastAsia="Calibri" w:cs="Tahoma"/>
                <w:color w:val="000000"/>
                <w:szCs w:val="18"/>
              </w:rPr>
              <w:t>Project Online</w:t>
            </w:r>
          </w:p>
          <w:p w:rsidR="008368B4" w:rsidRPr="00416070" w:rsidRDefault="008368B4" w:rsidP="002C1048">
            <w:pPr>
              <w:numPr>
                <w:ilvl w:val="0"/>
                <w:numId w:val="87"/>
              </w:numPr>
              <w:spacing w:after="60"/>
              <w:ind w:left="576" w:right="187"/>
            </w:pPr>
            <w:r w:rsidRPr="00416070">
              <w:rPr>
                <w:rFonts w:eastAsia="Calibri" w:cs="Tahoma"/>
                <w:color w:val="000000"/>
                <w:szCs w:val="18"/>
              </w:rPr>
              <w:t>Project Pro para Office 365</w:t>
            </w:r>
          </w:p>
          <w:p w:rsidR="00456002" w:rsidRPr="00416070" w:rsidRDefault="00456002" w:rsidP="002C1048">
            <w:pPr>
              <w:numPr>
                <w:ilvl w:val="0"/>
                <w:numId w:val="87"/>
              </w:numPr>
              <w:spacing w:after="60"/>
              <w:ind w:left="576" w:right="187"/>
            </w:pPr>
            <w:r w:rsidRPr="00416070">
              <w:rPr>
                <w:rFonts w:eastAsia="Calibri" w:cs="Tahoma"/>
                <w:color w:val="000000"/>
                <w:szCs w:val="18"/>
              </w:rPr>
              <w:t xml:space="preserve">SharePoint Online Plan 1 e Plano 2 </w:t>
            </w:r>
          </w:p>
          <w:p w:rsidR="00456002" w:rsidRPr="00416070" w:rsidRDefault="00456002" w:rsidP="009B3FA2">
            <w:pPr>
              <w:numPr>
                <w:ilvl w:val="0"/>
                <w:numId w:val="87"/>
              </w:numPr>
              <w:spacing w:after="60"/>
              <w:ind w:left="576" w:right="187"/>
            </w:pPr>
            <w:r w:rsidRPr="00416070">
              <w:rPr>
                <w:rFonts w:eastAsia="Calibri" w:cs="Tahoma"/>
                <w:color w:val="000000"/>
                <w:szCs w:val="18"/>
              </w:rPr>
              <w:t>Windows Intune</w:t>
            </w:r>
          </w:p>
          <w:p w:rsidR="00456002" w:rsidRPr="00416070" w:rsidRDefault="003929D1" w:rsidP="002C1048">
            <w:pPr>
              <w:numPr>
                <w:ilvl w:val="0"/>
                <w:numId w:val="87"/>
              </w:numPr>
              <w:spacing w:after="60"/>
              <w:ind w:left="576" w:right="187"/>
            </w:pPr>
            <w:r w:rsidRPr="00416070">
              <w:rPr>
                <w:rFonts w:eastAsia="Calibri" w:cs="Tahoma"/>
                <w:color w:val="000000"/>
                <w:szCs w:val="18"/>
              </w:rPr>
              <w:t>Complemento do Windows Intune</w:t>
            </w:r>
          </w:p>
          <w:p w:rsidR="009B3FA2" w:rsidRPr="00416070" w:rsidRDefault="009B3FA2" w:rsidP="002C1048">
            <w:pPr>
              <w:numPr>
                <w:ilvl w:val="0"/>
                <w:numId w:val="87"/>
              </w:numPr>
              <w:spacing w:after="60"/>
              <w:ind w:left="576" w:right="187"/>
              <w:rPr>
                <w:rFonts w:eastAsia="Calibri" w:cs="Tahoma"/>
                <w:szCs w:val="18"/>
              </w:rPr>
            </w:pPr>
            <w:r w:rsidRPr="00416070">
              <w:rPr>
                <w:rFonts w:eastAsia="Calibri" w:cs="Tahoma"/>
                <w:color w:val="000000"/>
                <w:szCs w:val="18"/>
              </w:rPr>
              <w:t>Yammer Enterprise</w:t>
            </w:r>
          </w:p>
        </w:tc>
      </w:tr>
    </w:tbl>
    <w:p w:rsidR="00171817" w:rsidRPr="00A56037" w:rsidRDefault="00171817" w:rsidP="00212CC6">
      <w:pPr>
        <w:pStyle w:val="Heading2"/>
        <w:ind w:left="0"/>
        <w:rPr>
          <w:rFonts w:ascii="Tahoma" w:hAnsi="Tahoma" w:cs="Tahoma"/>
          <w:b w:val="0"/>
          <w:bCs/>
          <w:sz w:val="18"/>
          <w:szCs w:val="18"/>
        </w:rPr>
      </w:pPr>
    </w:p>
    <w:p w:rsidR="00456002" w:rsidRPr="00416070" w:rsidRDefault="00456002" w:rsidP="00171817">
      <w:pPr>
        <w:pStyle w:val="Heading2"/>
        <w:ind w:left="0"/>
      </w:pPr>
      <w:bookmarkStart w:id="720" w:name="_Toc336338209"/>
      <w:bookmarkStart w:id="721" w:name="_Toc352234277"/>
      <w:r w:rsidRPr="00416070">
        <w:rPr>
          <w:rFonts w:ascii="Tahoma" w:hAnsi="Tahoma" w:cs="Tahoma"/>
        </w:rPr>
        <w:t>Compras e renovação automática em Serviços Online</w:t>
      </w:r>
      <w:bookmarkEnd w:id="720"/>
      <w:bookmarkEnd w:id="721"/>
      <w:r w:rsidRPr="00416070">
        <w:rPr>
          <w:rFonts w:ascii="Tahoma" w:hAnsi="Tahoma" w:cs="Tahoma"/>
        </w:rPr>
        <w:t xml:space="preserve"> </w:t>
      </w:r>
    </w:p>
    <w:p w:rsidR="00456002" w:rsidRPr="008D38F6" w:rsidRDefault="00456002" w:rsidP="00171817">
      <w:pPr>
        <w:outlineLvl w:val="2"/>
        <w:rPr>
          <w:bCs/>
          <w:lang w:val="pt-BR"/>
        </w:rPr>
      </w:pPr>
    </w:p>
    <w:p w:rsidR="00456002" w:rsidRPr="008D38F6" w:rsidRDefault="00456002" w:rsidP="00212CC6">
      <w:pPr>
        <w:outlineLvl w:val="2"/>
        <w:rPr>
          <w:lang w:val="pt-BR"/>
        </w:rPr>
      </w:pPr>
      <w:r w:rsidRPr="008D38F6">
        <w:rPr>
          <w:rFonts w:cs="Tahoma"/>
          <w:szCs w:val="18"/>
          <w:lang w:val="pt-BR"/>
        </w:rPr>
        <w:t>Os clientes deverão ter um contrato de Licenciamento por Volume ativo para solicitar ou renovar assinaturas de serviços online no Licenciamento por Volume.</w:t>
      </w:r>
      <w:r w:rsidR="00FB5496" w:rsidRPr="008D38F6">
        <w:rPr>
          <w:rFonts w:cs="Tahoma"/>
          <w:szCs w:val="18"/>
          <w:lang w:val="pt-BR"/>
        </w:rPr>
        <w:t xml:space="preserve"> </w:t>
      </w:r>
      <w:r w:rsidRPr="008D38F6">
        <w:rPr>
          <w:rFonts w:cs="Tahoma"/>
          <w:szCs w:val="18"/>
          <w:lang w:val="pt-BR"/>
        </w:rPr>
        <w:t>Uma assinatura de serviços online será automaticamente renovada no</w:t>
      </w:r>
      <w:r w:rsidR="00A44D8C" w:rsidRPr="008D38F6">
        <w:rPr>
          <w:rFonts w:cs="Tahoma"/>
          <w:szCs w:val="18"/>
          <w:lang w:val="pt-BR"/>
        </w:rPr>
        <w:t> </w:t>
      </w:r>
      <w:r w:rsidRPr="008D38F6">
        <w:rPr>
          <w:rFonts w:cs="Tahoma"/>
          <w:szCs w:val="18"/>
          <w:lang w:val="pt-BR"/>
        </w:rPr>
        <w:t xml:space="preserve">dia seguinte ao término do prazo da assinatura, a não ser que o cliente opte por não renová-la </w:t>
      </w:r>
      <w:r w:rsidRPr="008D38F6">
        <w:rPr>
          <w:rFonts w:cs="Tahoma"/>
          <w:color w:val="000000"/>
          <w:szCs w:val="18"/>
          <w:lang w:val="pt-BR"/>
        </w:rPr>
        <w:t>recusando a renovação automática</w:t>
      </w:r>
      <w:r w:rsidRPr="008D38F6">
        <w:rPr>
          <w:bCs/>
          <w:color w:val="000000"/>
          <w:lang w:val="pt-BR"/>
        </w:rPr>
        <w:t xml:space="preserve"> no mínimo 5</w:t>
      </w:r>
      <w:r w:rsidR="00FB5496" w:rsidRPr="008D38F6">
        <w:rPr>
          <w:bCs/>
          <w:color w:val="000000"/>
          <w:lang w:val="pt-BR"/>
        </w:rPr>
        <w:t xml:space="preserve"> </w:t>
      </w:r>
      <w:r w:rsidRPr="008D38F6">
        <w:rPr>
          <w:rFonts w:cs="Tahoma"/>
          <w:szCs w:val="18"/>
          <w:lang w:val="pt-BR"/>
        </w:rPr>
        <w:t>dias antes da assinatura expirar.</w:t>
      </w:r>
      <w:r w:rsidR="00FB5496" w:rsidRPr="008D38F6">
        <w:rPr>
          <w:rFonts w:cs="Tahoma"/>
          <w:szCs w:val="18"/>
          <w:lang w:val="pt-BR"/>
        </w:rPr>
        <w:t xml:space="preserve"> </w:t>
      </w:r>
      <w:r w:rsidRPr="008D38F6">
        <w:rPr>
          <w:rFonts w:cs="Tahoma"/>
          <w:szCs w:val="18"/>
          <w:lang w:val="pt-BR"/>
        </w:rPr>
        <w:t>Na renovação automática, a Microsoft enviará à</w:t>
      </w:r>
      <w:r w:rsidR="00A44D8C" w:rsidRPr="008D38F6">
        <w:rPr>
          <w:rFonts w:cs="Tahoma"/>
          <w:szCs w:val="18"/>
          <w:lang w:val="pt-BR"/>
        </w:rPr>
        <w:t> </w:t>
      </w:r>
      <w:r w:rsidRPr="008D38F6">
        <w:rPr>
          <w:rFonts w:cs="Tahoma"/>
          <w:szCs w:val="18"/>
          <w:lang w:val="pt-BR"/>
        </w:rPr>
        <w:t>parte registrada para cobrança uma fatura referente ao número de licenças em vias de terminar com a mesma opção de prazo de assinatura, se o contrato inicial do cliente permanecer ativo.</w:t>
      </w:r>
      <w:r w:rsidR="00FB5496" w:rsidRPr="008D38F6">
        <w:rPr>
          <w:rFonts w:cs="Tahoma"/>
          <w:szCs w:val="18"/>
          <w:lang w:val="pt-BR"/>
        </w:rPr>
        <w:t xml:space="preserve"> </w:t>
      </w:r>
      <w:r w:rsidRPr="008D38F6">
        <w:rPr>
          <w:rFonts w:cs="Tahoma"/>
          <w:szCs w:val="18"/>
          <w:lang w:val="pt-BR"/>
        </w:rPr>
        <w:t>As assinaturas dos serviços online com contratos Government e Academic só serão renovadas automaticamente se o cliente escolher a opção de renovação automática.</w:t>
      </w:r>
      <w:r w:rsidR="00FB5496" w:rsidRPr="008D38F6">
        <w:rPr>
          <w:rFonts w:cs="Tahoma"/>
          <w:szCs w:val="18"/>
          <w:lang w:val="pt-BR"/>
        </w:rPr>
        <w:t xml:space="preserve"> </w:t>
      </w:r>
      <w:r w:rsidRPr="008D38F6">
        <w:rPr>
          <w:rFonts w:cs="Tahoma"/>
          <w:szCs w:val="18"/>
          <w:lang w:val="pt-BR"/>
        </w:rPr>
        <w:t>Os preços serão redefinidos por ocasião da renovação.</w:t>
      </w:r>
      <w:r w:rsidR="00FB5496" w:rsidRPr="008D38F6">
        <w:rPr>
          <w:rFonts w:cs="Tahoma"/>
          <w:szCs w:val="18"/>
          <w:lang w:val="pt-BR"/>
        </w:rPr>
        <w:t xml:space="preserve"> </w:t>
      </w:r>
      <w:r w:rsidRPr="008D38F6">
        <w:rPr>
          <w:rFonts w:cs="Tahoma"/>
          <w:szCs w:val="18"/>
          <w:lang w:val="pt-BR"/>
        </w:rPr>
        <w:t>A opção de renovação automática não</w:t>
      </w:r>
      <w:r w:rsidR="00A44D8C" w:rsidRPr="008D38F6">
        <w:rPr>
          <w:rFonts w:cs="Tahoma"/>
          <w:szCs w:val="18"/>
          <w:lang w:val="pt-BR"/>
        </w:rPr>
        <w:t> </w:t>
      </w:r>
      <w:r w:rsidRPr="008D38F6">
        <w:rPr>
          <w:rFonts w:cs="Tahoma"/>
          <w:szCs w:val="18"/>
          <w:lang w:val="pt-BR"/>
        </w:rPr>
        <w:t>está disponível para Serviços do Windows Azure.</w:t>
      </w:r>
    </w:p>
    <w:p w:rsidR="00116EDC" w:rsidRPr="008D38F6" w:rsidRDefault="00116EDC" w:rsidP="00116EDC">
      <w:pPr>
        <w:rPr>
          <w:lang w:val="pt-BR"/>
        </w:rPr>
      </w:pPr>
    </w:p>
    <w:p w:rsidR="00456002" w:rsidRPr="00416070" w:rsidRDefault="00456002" w:rsidP="00171817">
      <w:pPr>
        <w:pStyle w:val="Heading2"/>
        <w:ind w:left="0"/>
      </w:pPr>
      <w:bookmarkStart w:id="722" w:name="_Toc336338210"/>
      <w:bookmarkStart w:id="723" w:name="_Toc352234278"/>
      <w:r w:rsidRPr="00416070">
        <w:rPr>
          <w:rFonts w:ascii="Tahoma" w:hAnsi="Tahoma" w:cs="Tahoma"/>
        </w:rPr>
        <w:t>Gerenciamento do status da renovação e da renovação automática</w:t>
      </w:r>
      <w:bookmarkEnd w:id="722"/>
      <w:bookmarkEnd w:id="723"/>
    </w:p>
    <w:p w:rsidR="00456002" w:rsidRPr="008D38F6" w:rsidRDefault="00456002" w:rsidP="00171817">
      <w:pPr>
        <w:outlineLvl w:val="2"/>
        <w:rPr>
          <w:lang w:val="pt-BR"/>
        </w:rPr>
      </w:pPr>
    </w:p>
    <w:p w:rsidR="00456002" w:rsidRPr="008D38F6" w:rsidRDefault="00456002" w:rsidP="00171817">
      <w:pPr>
        <w:outlineLvl w:val="2"/>
        <w:rPr>
          <w:lang w:val="pt-BR"/>
        </w:rPr>
      </w:pPr>
      <w:r w:rsidRPr="008D38F6">
        <w:rPr>
          <w:rFonts w:cs="Tahoma"/>
          <w:szCs w:val="18"/>
          <w:lang w:val="pt-BR"/>
        </w:rPr>
        <w:t>Os clientes receberão notificações de renovação antes do fim do prazo da assinatura dos serviços online.</w:t>
      </w:r>
      <w:r w:rsidR="00FB5496" w:rsidRPr="008D38F6">
        <w:rPr>
          <w:rFonts w:cs="Tahoma"/>
          <w:szCs w:val="18"/>
          <w:lang w:val="pt-BR"/>
        </w:rPr>
        <w:t xml:space="preserve"> </w:t>
      </w:r>
      <w:r w:rsidRPr="008D38F6">
        <w:rPr>
          <w:rFonts w:cs="Tahoma"/>
          <w:szCs w:val="18"/>
          <w:lang w:val="pt-BR"/>
        </w:rPr>
        <w:t>Os clientes poderão cancelar a renovação ou alterar um pedido de renovação automática caso procedam pelo menos 30 dias antes do fim do prazo da assinatura.</w:t>
      </w:r>
      <w:r w:rsidR="00FB5496" w:rsidRPr="008D38F6">
        <w:rPr>
          <w:rFonts w:cs="Tahoma"/>
          <w:szCs w:val="18"/>
          <w:lang w:val="pt-BR"/>
        </w:rPr>
        <w:t xml:space="preserve"> </w:t>
      </w:r>
      <w:r w:rsidRPr="008D38F6">
        <w:rPr>
          <w:rFonts w:cs="Tahoma"/>
          <w:szCs w:val="18"/>
          <w:lang w:val="pt-BR"/>
        </w:rPr>
        <w:t>Além disso, poderão alterar um pedido de renovação fazendo um pedido ao revendedor 30 dias antes do término da assinatura.</w:t>
      </w:r>
      <w:r w:rsidR="00FB5496" w:rsidRPr="008D38F6">
        <w:rPr>
          <w:rFonts w:cs="Tahoma"/>
          <w:szCs w:val="18"/>
          <w:lang w:val="pt-BR"/>
        </w:rPr>
        <w:t xml:space="preserve"> </w:t>
      </w:r>
      <w:r w:rsidRPr="008D38F6">
        <w:rPr>
          <w:rFonts w:cs="Tahoma"/>
          <w:szCs w:val="18"/>
          <w:lang w:val="pt-BR"/>
        </w:rPr>
        <w:t>Os clientes poderão cancelar a renovação de uma assinatura, enviando à Microsoft uma notificação por escrito com 30 dias de antecedência em um formulário disponibilizado pelo</w:t>
      </w:r>
      <w:r w:rsidR="00A44D8C" w:rsidRPr="008D38F6">
        <w:rPr>
          <w:rFonts w:cs="Tahoma"/>
          <w:szCs w:val="18"/>
          <w:lang w:val="pt-BR"/>
        </w:rPr>
        <w:t> </w:t>
      </w:r>
      <w:r w:rsidRPr="008D38F6">
        <w:rPr>
          <w:rFonts w:cs="Tahoma"/>
          <w:szCs w:val="18"/>
          <w:lang w:val="pt-BR"/>
        </w:rPr>
        <w:t>revendedor da Microsoft ou no site http://microsoft.com/licensing/contracts.</w:t>
      </w:r>
      <w:r w:rsidR="00FB5496" w:rsidRPr="008D38F6">
        <w:rPr>
          <w:rFonts w:cs="Tahoma"/>
          <w:szCs w:val="18"/>
          <w:lang w:val="pt-BR"/>
        </w:rPr>
        <w:t xml:space="preserve"> </w:t>
      </w:r>
      <w:r w:rsidRPr="008D38F6">
        <w:rPr>
          <w:rFonts w:cs="Tahoma"/>
          <w:szCs w:val="18"/>
          <w:lang w:val="pt-BR"/>
        </w:rPr>
        <w:t>Todas as renovações de serviços iniciam um novo prazo de assinatura que começa no primeiro dia do mês do calendário seguinte após o término do prazo da assinatura anterior.</w:t>
      </w:r>
    </w:p>
    <w:p w:rsidR="00456002" w:rsidRPr="008D38F6" w:rsidRDefault="00456002" w:rsidP="00171817">
      <w:pPr>
        <w:outlineLvl w:val="2"/>
        <w:rPr>
          <w:lang w:val="pt-BR"/>
        </w:rPr>
      </w:pPr>
    </w:p>
    <w:p w:rsidR="00456002" w:rsidRPr="008D38F6" w:rsidRDefault="00456002" w:rsidP="00171817">
      <w:pPr>
        <w:outlineLvl w:val="2"/>
        <w:rPr>
          <w:lang w:val="pt-BR"/>
        </w:rPr>
      </w:pPr>
      <w:r w:rsidRPr="008D38F6">
        <w:rPr>
          <w:rFonts w:cs="Tahoma"/>
          <w:szCs w:val="18"/>
          <w:lang w:val="pt-BR"/>
        </w:rPr>
        <w:lastRenderedPageBreak/>
        <w:t>Os clientes podem aumentar o compromisso de assinatura dos serviços online, mas não podem reduzi-los durante o</w:t>
      </w:r>
      <w:r w:rsidR="00A44D8C" w:rsidRPr="008D38F6">
        <w:rPr>
          <w:rFonts w:cs="Tahoma"/>
          <w:szCs w:val="18"/>
          <w:lang w:val="pt-BR"/>
        </w:rPr>
        <w:t> </w:t>
      </w:r>
      <w:r w:rsidRPr="008D38F6">
        <w:rPr>
          <w:rFonts w:cs="Tahoma"/>
          <w:szCs w:val="18"/>
          <w:lang w:val="pt-BR"/>
        </w:rPr>
        <w:t>prazo da assinatura dos serviços online, salvo se for permitido em seus contratos. Para assegurar que usuários adicionais sejam provisionados, o cliente deverá fazer um pedido para cada aumento no serviço da assinatura.</w:t>
      </w:r>
    </w:p>
    <w:p w:rsidR="00BD1A6A" w:rsidRPr="00416070" w:rsidRDefault="00BD1A6A" w:rsidP="00456002">
      <w:pPr>
        <w:pStyle w:val="Heading2"/>
        <w:ind w:left="0"/>
        <w:rPr>
          <w:rFonts w:ascii="Tahoma" w:hAnsi="Tahoma" w:cs="Tahoma"/>
          <w:sz w:val="18"/>
          <w:szCs w:val="18"/>
        </w:rPr>
      </w:pPr>
      <w:bookmarkStart w:id="724" w:name="_Toc336338211"/>
    </w:p>
    <w:p w:rsidR="00BD1A6A" w:rsidRPr="008D38F6" w:rsidRDefault="00BD1A6A">
      <w:pPr>
        <w:rPr>
          <w:rFonts w:cs="Tahoma"/>
          <w:b/>
          <w:szCs w:val="18"/>
          <w:lang w:val="pt-BR"/>
        </w:rPr>
      </w:pPr>
    </w:p>
    <w:p w:rsidR="00456002" w:rsidRPr="00416070" w:rsidRDefault="00456002" w:rsidP="00456002">
      <w:pPr>
        <w:pStyle w:val="Heading2"/>
        <w:ind w:left="0"/>
      </w:pPr>
      <w:bookmarkStart w:id="725" w:name="_Toc352234279"/>
      <w:r w:rsidRPr="00416070">
        <w:rPr>
          <w:rFonts w:ascii="Tahoma" w:hAnsi="Tahoma" w:cs="Tahoma"/>
        </w:rPr>
        <w:t>Cancelamento de Serviços Online</w:t>
      </w:r>
      <w:bookmarkEnd w:id="724"/>
      <w:bookmarkEnd w:id="725"/>
    </w:p>
    <w:p w:rsidR="00456002" w:rsidRPr="008D38F6" w:rsidRDefault="00456002" w:rsidP="00456002">
      <w:pPr>
        <w:outlineLvl w:val="2"/>
        <w:rPr>
          <w:lang w:val="pt-BR"/>
        </w:rPr>
      </w:pPr>
    </w:p>
    <w:p w:rsidR="00456002" w:rsidRPr="008D38F6" w:rsidRDefault="00456002" w:rsidP="00116EDC">
      <w:pPr>
        <w:outlineLvl w:val="2"/>
        <w:rPr>
          <w:lang w:val="pt-BR"/>
        </w:rPr>
      </w:pPr>
      <w:r w:rsidRPr="008D38F6">
        <w:rPr>
          <w:rFonts w:cs="Tahoma"/>
          <w:szCs w:val="18"/>
          <w:lang w:val="pt-BR"/>
        </w:rPr>
        <w:t>É possível cancelar assinaturas de um serviço online sem penalidades em até 30 (trinta) dias após o pedido inicial</w:t>
      </w:r>
      <w:r w:rsidR="00571BC7" w:rsidRPr="008D38F6">
        <w:rPr>
          <w:rFonts w:cs="Tahoma"/>
          <w:szCs w:val="18"/>
          <w:lang w:val="pt-BR"/>
        </w:rPr>
        <w:t> </w:t>
      </w:r>
      <w:r w:rsidRPr="008D38F6">
        <w:rPr>
          <w:rFonts w:cs="Tahoma"/>
          <w:szCs w:val="18"/>
          <w:lang w:val="pt-BR"/>
        </w:rPr>
        <w:t>ou</w:t>
      </w:r>
      <w:r w:rsidR="00571BC7" w:rsidRPr="008D38F6">
        <w:rPr>
          <w:rFonts w:cs="Tahoma"/>
          <w:szCs w:val="18"/>
          <w:lang w:val="pt-BR"/>
        </w:rPr>
        <w:t> </w:t>
      </w:r>
      <w:r w:rsidRPr="008D38F6">
        <w:rPr>
          <w:rFonts w:cs="Tahoma"/>
          <w:szCs w:val="18"/>
          <w:lang w:val="pt-BR"/>
        </w:rPr>
        <w:t>a reserva de licença inicial de um serviço, o que ocorrer primeiro.</w:t>
      </w:r>
      <w:r w:rsidR="00FB5496" w:rsidRPr="008D38F6">
        <w:rPr>
          <w:rFonts w:cs="Tahoma"/>
          <w:szCs w:val="18"/>
          <w:lang w:val="pt-BR"/>
        </w:rPr>
        <w:t xml:space="preserve"> </w:t>
      </w:r>
      <w:r w:rsidRPr="008D38F6">
        <w:rPr>
          <w:rFonts w:cs="Tahoma"/>
          <w:szCs w:val="18"/>
          <w:lang w:val="pt-BR"/>
        </w:rPr>
        <w:t>Consulte as seções desta Lista de Produtos referentes a produtos específicos para obter informações sobre termos de cancelamento adicionais que</w:t>
      </w:r>
      <w:r w:rsidR="00571BC7" w:rsidRPr="008D38F6">
        <w:rPr>
          <w:rFonts w:cs="Tahoma"/>
          <w:szCs w:val="18"/>
          <w:lang w:val="pt-BR"/>
        </w:rPr>
        <w:t> </w:t>
      </w:r>
      <w:r w:rsidRPr="008D38F6">
        <w:rPr>
          <w:rFonts w:cs="Tahoma"/>
          <w:szCs w:val="18"/>
          <w:lang w:val="pt-BR"/>
        </w:rPr>
        <w:t>possam existir.</w:t>
      </w:r>
    </w:p>
    <w:p w:rsidR="00116EDC" w:rsidRPr="008D38F6" w:rsidRDefault="00116EDC" w:rsidP="00116EDC">
      <w:pPr>
        <w:outlineLvl w:val="2"/>
        <w:rPr>
          <w:lang w:val="pt-BR"/>
        </w:rPr>
      </w:pPr>
    </w:p>
    <w:p w:rsidR="00456002" w:rsidRPr="00416070" w:rsidRDefault="00456002" w:rsidP="00456002">
      <w:pPr>
        <w:pStyle w:val="Heading2"/>
        <w:ind w:left="0"/>
      </w:pPr>
      <w:bookmarkStart w:id="726" w:name="_Toc328145982"/>
      <w:bookmarkStart w:id="727" w:name="_Toc336338212"/>
      <w:bookmarkStart w:id="728" w:name="_Toc352234280"/>
      <w:r w:rsidRPr="00416070">
        <w:rPr>
          <w:rFonts w:ascii="Tahoma" w:hAnsi="Tahoma" w:cs="Tahoma"/>
        </w:rPr>
        <w:t>Opções de termos de pagamento de Serviços Online</w:t>
      </w:r>
      <w:bookmarkEnd w:id="726"/>
      <w:bookmarkEnd w:id="727"/>
      <w:bookmarkEnd w:id="728"/>
    </w:p>
    <w:p w:rsidR="00456002" w:rsidRPr="008D38F6" w:rsidRDefault="00456002" w:rsidP="00456002">
      <w:pPr>
        <w:ind w:left="720"/>
        <w:outlineLvl w:val="2"/>
        <w:rPr>
          <w:lang w:val="pt-BR"/>
        </w:rPr>
      </w:pPr>
    </w:p>
    <w:p w:rsidR="00456002" w:rsidRPr="008D38F6" w:rsidRDefault="00456002" w:rsidP="00A56037">
      <w:pPr>
        <w:outlineLvl w:val="2"/>
        <w:rPr>
          <w:spacing w:val="-1"/>
          <w:lang w:val="pt-BR"/>
        </w:rPr>
      </w:pPr>
      <w:r w:rsidRPr="008D38F6">
        <w:rPr>
          <w:rFonts w:cs="Tahoma"/>
          <w:spacing w:val="-1"/>
          <w:szCs w:val="18"/>
          <w:lang w:val="pt-BR"/>
        </w:rPr>
        <w:t>Os clientes deverão pagar por assinaturas dos serviços online de um ano integralmente no início do prazo da assinatura.</w:t>
      </w:r>
      <w:r w:rsidR="00FB5496" w:rsidRPr="008D38F6">
        <w:rPr>
          <w:rFonts w:cs="Tahoma"/>
          <w:spacing w:val="-1"/>
          <w:szCs w:val="18"/>
          <w:lang w:val="pt-BR"/>
        </w:rPr>
        <w:t xml:space="preserve"> </w:t>
      </w:r>
      <w:r w:rsidRPr="008D38F6">
        <w:rPr>
          <w:rFonts w:cs="Tahoma"/>
          <w:spacing w:val="-1"/>
          <w:szCs w:val="18"/>
          <w:lang w:val="pt-BR"/>
        </w:rPr>
        <w:t>Os clientes que optarem pelos termos da assinatura coextensiva, ou “Alinhar-se com o 2° Aniversário” no</w:t>
      </w:r>
      <w:r w:rsidR="00073D33" w:rsidRPr="008D38F6">
        <w:rPr>
          <w:rFonts w:cs="Tahoma"/>
          <w:spacing w:val="-1"/>
          <w:szCs w:val="18"/>
          <w:lang w:val="pt-BR"/>
        </w:rPr>
        <w:t> </w:t>
      </w:r>
      <w:r w:rsidRPr="008D38F6">
        <w:rPr>
          <w:rFonts w:cs="Tahoma"/>
          <w:spacing w:val="-1"/>
          <w:szCs w:val="18"/>
          <w:lang w:val="pt-BR"/>
        </w:rPr>
        <w:t>Select Plus, dispõem destas duas formas de pagamento: (1) pagamento integral ao efetuar o pedido cobrindo todo o prazo da assinatura ou (2) pagamentos parcelados, sendo o primeiro pagamento ao efetuar o pedido que cobre o</w:t>
      </w:r>
      <w:r w:rsidR="00FE2B0B" w:rsidRPr="008D38F6">
        <w:rPr>
          <w:rFonts w:cs="Tahoma"/>
          <w:spacing w:val="-1"/>
          <w:szCs w:val="18"/>
          <w:lang w:val="pt-BR"/>
        </w:rPr>
        <w:t> </w:t>
      </w:r>
      <w:r w:rsidRPr="008D38F6">
        <w:rPr>
          <w:rFonts w:cs="Tahoma"/>
          <w:spacing w:val="-1"/>
          <w:szCs w:val="18"/>
          <w:lang w:val="pt-BR"/>
        </w:rPr>
        <w:t>restante do ano contratual corrente e os demais pagamentos com vencimento em cada aniversário do contrato (no</w:t>
      </w:r>
      <w:r w:rsidR="00FE2B0B" w:rsidRPr="008D38F6">
        <w:rPr>
          <w:rFonts w:cs="Tahoma"/>
          <w:spacing w:val="-1"/>
          <w:szCs w:val="18"/>
          <w:lang w:val="pt-BR"/>
        </w:rPr>
        <w:t> </w:t>
      </w:r>
      <w:r w:rsidRPr="008D38F6">
        <w:rPr>
          <w:rFonts w:cs="Tahoma"/>
          <w:spacing w:val="-1"/>
          <w:szCs w:val="18"/>
          <w:lang w:val="pt-BR"/>
        </w:rPr>
        <w:t>caso do Select Plus, o aniversário da afiliada é usado em vez do aniversário do contrato).</w:t>
      </w:r>
      <w:r w:rsidR="00FB5496" w:rsidRPr="008D38F6">
        <w:rPr>
          <w:rFonts w:cs="Tahoma"/>
          <w:spacing w:val="-1"/>
          <w:szCs w:val="18"/>
          <w:lang w:val="pt-BR"/>
        </w:rPr>
        <w:t xml:space="preserve"> </w:t>
      </w:r>
      <w:r w:rsidRPr="008D38F6">
        <w:rPr>
          <w:rFonts w:cs="Tahoma"/>
          <w:spacing w:val="-1"/>
          <w:szCs w:val="18"/>
          <w:lang w:val="pt-BR"/>
        </w:rPr>
        <w:t>Uma terceira opção está</w:t>
      </w:r>
      <w:r w:rsidR="00FE2B0B" w:rsidRPr="008D38F6">
        <w:rPr>
          <w:rFonts w:cs="Tahoma"/>
          <w:spacing w:val="-1"/>
          <w:szCs w:val="18"/>
          <w:lang w:val="pt-BR"/>
        </w:rPr>
        <w:t> </w:t>
      </w:r>
      <w:r w:rsidRPr="008D38F6">
        <w:rPr>
          <w:rFonts w:cs="Tahoma"/>
          <w:spacing w:val="-1"/>
          <w:szCs w:val="18"/>
          <w:lang w:val="pt-BR"/>
        </w:rPr>
        <w:t>disponível para os clientes do Select Plus: cobrança no aniversário do pedido, sendo o primeiro pagamento ao</w:t>
      </w:r>
      <w:r w:rsidR="00A56037" w:rsidRPr="008D38F6">
        <w:rPr>
          <w:rFonts w:cs="Tahoma"/>
          <w:spacing w:val="-1"/>
          <w:szCs w:val="18"/>
          <w:lang w:val="pt-BR"/>
        </w:rPr>
        <w:t> </w:t>
      </w:r>
      <w:r w:rsidRPr="008D38F6">
        <w:rPr>
          <w:rFonts w:cs="Tahoma"/>
          <w:spacing w:val="-1"/>
          <w:szCs w:val="18"/>
          <w:lang w:val="pt-BR"/>
        </w:rPr>
        <w:t>efetuar o pedido que cobre 12 meses e os demais pagamentos com vencimento em cada aniversário do pedido (o</w:t>
      </w:r>
      <w:r w:rsidR="00FE2B0B" w:rsidRPr="008D38F6">
        <w:rPr>
          <w:rFonts w:cs="Tahoma"/>
          <w:spacing w:val="-1"/>
          <w:szCs w:val="18"/>
          <w:lang w:val="pt-BR"/>
        </w:rPr>
        <w:t> </w:t>
      </w:r>
      <w:r w:rsidRPr="008D38F6">
        <w:rPr>
          <w:rFonts w:cs="Tahoma"/>
          <w:spacing w:val="-1"/>
          <w:szCs w:val="18"/>
          <w:lang w:val="pt-BR"/>
        </w:rPr>
        <w:t>último pagamento cobrirá o saldo entre o aniversário do pedido e a data de término da cobertura da assinatura).</w:t>
      </w:r>
    </w:p>
    <w:p w:rsidR="00456002" w:rsidRPr="008D38F6" w:rsidRDefault="00456002" w:rsidP="00456002">
      <w:pPr>
        <w:outlineLvl w:val="2"/>
        <w:rPr>
          <w:lang w:val="pt-BR"/>
        </w:rPr>
      </w:pPr>
    </w:p>
    <w:p w:rsidR="00456002" w:rsidRPr="008D38F6" w:rsidRDefault="00456002" w:rsidP="00456002">
      <w:pPr>
        <w:outlineLvl w:val="2"/>
        <w:rPr>
          <w:lang w:val="pt-BR"/>
        </w:rPr>
      </w:pPr>
      <w:r w:rsidRPr="008D38F6">
        <w:rPr>
          <w:rFonts w:cs="Tahoma"/>
          <w:szCs w:val="18"/>
          <w:lang w:val="pt-BR"/>
        </w:rPr>
        <w:t>Além disso, os clientes do Open Value também podem optar por uma forma de pagamento mensal.</w:t>
      </w:r>
      <w:r w:rsidR="00FB5496" w:rsidRPr="008D38F6">
        <w:rPr>
          <w:rFonts w:cs="Tahoma"/>
          <w:szCs w:val="18"/>
          <w:lang w:val="pt-BR"/>
        </w:rPr>
        <w:t xml:space="preserve"> </w:t>
      </w:r>
      <w:r w:rsidRPr="008D38F6">
        <w:rPr>
          <w:rFonts w:cs="Tahoma"/>
          <w:szCs w:val="18"/>
          <w:lang w:val="pt-BR"/>
        </w:rPr>
        <w:t>Nessa opção, uma parte registrada para cobrança receberá automaticamente uma fatura referente à quantidade de assinaturas solicitadas pelo cliente a cada mês durante o prazo da assinatura.</w:t>
      </w:r>
    </w:p>
    <w:p w:rsidR="00456002" w:rsidRPr="008D38F6" w:rsidRDefault="00456002" w:rsidP="00456002">
      <w:pPr>
        <w:outlineLvl w:val="2"/>
        <w:rPr>
          <w:lang w:val="pt-BR"/>
        </w:rPr>
      </w:pPr>
    </w:p>
    <w:p w:rsidR="00456002" w:rsidRPr="008D38F6" w:rsidRDefault="00456002" w:rsidP="00A56037">
      <w:pPr>
        <w:outlineLvl w:val="2"/>
        <w:rPr>
          <w:spacing w:val="-2"/>
          <w:lang w:val="pt-BR"/>
        </w:rPr>
      </w:pPr>
      <w:r w:rsidRPr="008D38F6">
        <w:rPr>
          <w:rFonts w:cs="Tahoma"/>
          <w:spacing w:val="-2"/>
          <w:szCs w:val="18"/>
          <w:lang w:val="pt-BR"/>
        </w:rPr>
        <w:t>Os termos de pagamento e preços das assinaturas adquiridas por meio de revendedores serão determinados pelo</w:t>
      </w:r>
      <w:r w:rsidR="00A56037" w:rsidRPr="008D38F6">
        <w:rPr>
          <w:rFonts w:cs="Tahoma"/>
          <w:spacing w:val="-2"/>
          <w:szCs w:val="18"/>
          <w:lang w:val="pt-BR"/>
        </w:rPr>
        <w:t> </w:t>
      </w:r>
      <w:r w:rsidRPr="008D38F6">
        <w:rPr>
          <w:rFonts w:cs="Tahoma"/>
          <w:spacing w:val="-2"/>
          <w:szCs w:val="18"/>
          <w:lang w:val="pt-BR"/>
        </w:rPr>
        <w:t>contrato entre o cliente e seu revendedor.</w:t>
      </w:r>
      <w:r w:rsidR="00FB5496" w:rsidRPr="008D38F6">
        <w:rPr>
          <w:rFonts w:cs="Tahoma"/>
          <w:spacing w:val="-2"/>
          <w:szCs w:val="18"/>
          <w:lang w:val="pt-BR"/>
        </w:rPr>
        <w:t xml:space="preserve"> </w:t>
      </w:r>
      <w:r w:rsidRPr="008D38F6">
        <w:rPr>
          <w:rFonts w:cs="Tahoma"/>
          <w:spacing w:val="-2"/>
          <w:szCs w:val="18"/>
          <w:lang w:val="pt-BR"/>
        </w:rPr>
        <w:t>A não ser que o cliente tenha celebrado o Aditamento do Registro Enterprise</w:t>
      </w:r>
      <w:r w:rsidR="00282875" w:rsidRPr="008D38F6">
        <w:rPr>
          <w:rFonts w:cs="Tahoma"/>
          <w:spacing w:val="-2"/>
          <w:szCs w:val="18"/>
          <w:lang w:val="pt-BR"/>
        </w:rPr>
        <w:t> </w:t>
      </w:r>
      <w:r w:rsidRPr="008D38F6">
        <w:rPr>
          <w:rFonts w:cs="Tahoma"/>
          <w:spacing w:val="-2"/>
          <w:szCs w:val="18"/>
          <w:lang w:val="pt-BR"/>
        </w:rPr>
        <w:t>- Adicionando Serviços Online Enterprise, não obstante qualquer disposição em contrário no contrato, ele deverá solicitar uma assinatura dos serviços online antes de a assinatura ser usada pela primeira vez.</w:t>
      </w:r>
      <w:r w:rsidR="00FB5496" w:rsidRPr="008D38F6">
        <w:rPr>
          <w:rFonts w:cs="Tahoma"/>
          <w:spacing w:val="-2"/>
          <w:szCs w:val="18"/>
          <w:lang w:val="pt-BR"/>
        </w:rPr>
        <w:t xml:space="preserve"> </w:t>
      </w:r>
      <w:r w:rsidRPr="008D38F6">
        <w:rPr>
          <w:rFonts w:cs="Tahoma"/>
          <w:spacing w:val="-2"/>
          <w:szCs w:val="18"/>
          <w:lang w:val="pt-BR"/>
        </w:rPr>
        <w:t>Os clientes com um Contrato Enterprise não poderão enviar um pedido de adequação (“true-up”) para licenças de assinatura adicionais.</w:t>
      </w:r>
      <w:r w:rsidR="00FB5496" w:rsidRPr="008D38F6">
        <w:rPr>
          <w:rFonts w:cs="Tahoma"/>
          <w:spacing w:val="-2"/>
          <w:szCs w:val="18"/>
          <w:lang w:val="pt-BR"/>
        </w:rPr>
        <w:t xml:space="preserve"> </w:t>
      </w:r>
    </w:p>
    <w:p w:rsidR="00456002" w:rsidRPr="008D38F6" w:rsidRDefault="00456002" w:rsidP="00DF28F2">
      <w:pPr>
        <w:outlineLvl w:val="2"/>
        <w:rPr>
          <w:lang w:val="pt-BR"/>
        </w:rPr>
      </w:pPr>
    </w:p>
    <w:p w:rsidR="00456002" w:rsidRPr="008D38F6" w:rsidRDefault="006A5DAE" w:rsidP="00116EDC">
      <w:pPr>
        <w:outlineLvl w:val="2"/>
        <w:rPr>
          <w:lang w:val="pt-BR"/>
        </w:rPr>
      </w:pPr>
      <w:r w:rsidRPr="008D38F6">
        <w:rPr>
          <w:rFonts w:cs="Tahoma"/>
          <w:szCs w:val="18"/>
          <w:lang w:val="pt-BR"/>
        </w:rPr>
        <w:t>Para informações específicas dos Serviços do Windows Azure, consulte a seção Serviços do Windows Azure abaixo.</w:t>
      </w:r>
    </w:p>
    <w:p w:rsidR="00116EDC" w:rsidRPr="008D38F6" w:rsidRDefault="00116EDC" w:rsidP="00116EDC">
      <w:pPr>
        <w:outlineLvl w:val="2"/>
        <w:rPr>
          <w:lang w:val="pt-BR"/>
        </w:rPr>
      </w:pPr>
    </w:p>
    <w:p w:rsidR="00456002" w:rsidRPr="00416070" w:rsidRDefault="00456002" w:rsidP="00456002">
      <w:pPr>
        <w:pStyle w:val="Heading2"/>
        <w:ind w:left="0"/>
      </w:pPr>
      <w:bookmarkStart w:id="729" w:name="_Toc328145983"/>
      <w:bookmarkStart w:id="730" w:name="_Toc336338213"/>
      <w:bookmarkStart w:id="731" w:name="_Toc352234281"/>
      <w:r w:rsidRPr="00416070">
        <w:rPr>
          <w:rFonts w:ascii="Tahoma" w:hAnsi="Tahoma" w:cs="Tahoma"/>
        </w:rPr>
        <w:t>Requisitos de compra mínima para Serviços Online no Licenciamento por</w:t>
      </w:r>
      <w:r w:rsidR="00571BC7" w:rsidRPr="008D38F6">
        <w:rPr>
          <w:rFonts w:ascii="Tahoma" w:hAnsi="Tahoma" w:cs="Tahoma"/>
          <w:lang w:val="pt-BR"/>
        </w:rPr>
        <w:t> </w:t>
      </w:r>
      <w:r w:rsidRPr="00416070">
        <w:rPr>
          <w:rFonts w:ascii="Tahoma" w:hAnsi="Tahoma" w:cs="Tahoma"/>
        </w:rPr>
        <w:t>Volume</w:t>
      </w:r>
      <w:bookmarkEnd w:id="729"/>
      <w:bookmarkEnd w:id="730"/>
      <w:bookmarkEnd w:id="731"/>
    </w:p>
    <w:p w:rsidR="00456002" w:rsidRPr="008D38F6" w:rsidRDefault="00456002" w:rsidP="00DF28F2">
      <w:pPr>
        <w:outlineLvl w:val="2"/>
        <w:rPr>
          <w:lang w:val="pt-BR"/>
        </w:rPr>
      </w:pPr>
    </w:p>
    <w:p w:rsidR="00116EDC" w:rsidRPr="008D38F6" w:rsidRDefault="00456002" w:rsidP="00116EDC">
      <w:pPr>
        <w:outlineLvl w:val="2"/>
        <w:rPr>
          <w:lang w:val="pt-BR"/>
        </w:rPr>
      </w:pPr>
      <w:r w:rsidRPr="008D38F6">
        <w:rPr>
          <w:rFonts w:cs="Tahoma"/>
          <w:szCs w:val="18"/>
          <w:lang w:val="pt-BR"/>
        </w:rPr>
        <w:t>Um cliente estará qualificado para o programa Open Value com uma compra mínima de 5 licenças.</w:t>
      </w:r>
      <w:r w:rsidR="00FB5496" w:rsidRPr="008D38F6">
        <w:rPr>
          <w:rFonts w:cs="Tahoma"/>
          <w:szCs w:val="18"/>
          <w:lang w:val="pt-BR"/>
        </w:rPr>
        <w:t xml:space="preserve"> </w:t>
      </w:r>
      <w:r w:rsidRPr="008D38F6">
        <w:rPr>
          <w:rFonts w:cs="Tahoma"/>
          <w:szCs w:val="18"/>
          <w:lang w:val="pt-BR"/>
        </w:rPr>
        <w:t>Essa regra também se aplicará à contagem de quantidades de Licenças de Assinatura de Usuário (USLs) de Serviços Online.</w:t>
      </w:r>
      <w:r w:rsidR="00FB5496" w:rsidRPr="008D38F6">
        <w:rPr>
          <w:rFonts w:cs="Tahoma"/>
          <w:szCs w:val="18"/>
          <w:lang w:val="pt-BR"/>
        </w:rPr>
        <w:t xml:space="preserve"> </w:t>
      </w:r>
      <w:r w:rsidRPr="008D38F6">
        <w:rPr>
          <w:rFonts w:cs="Tahoma"/>
          <w:szCs w:val="18"/>
          <w:lang w:val="pt-BR"/>
        </w:rPr>
        <w:t>Uma USL poderá ser contabilizada para a quantidade mínima de 5 licenças.</w:t>
      </w:r>
      <w:r w:rsidR="00FB5496" w:rsidRPr="008D38F6">
        <w:rPr>
          <w:rFonts w:cs="Tahoma"/>
          <w:szCs w:val="18"/>
          <w:lang w:val="pt-BR"/>
        </w:rPr>
        <w:t xml:space="preserve"> </w:t>
      </w:r>
      <w:r w:rsidRPr="008D38F6">
        <w:rPr>
          <w:rFonts w:cs="Tahoma"/>
          <w:szCs w:val="18"/>
          <w:lang w:val="pt-BR"/>
        </w:rPr>
        <w:t>Um pedido de 5 USLs satisfaz o requisito mínimo do programa Open Value.</w:t>
      </w:r>
      <w:r w:rsidR="00FB5496" w:rsidRPr="008D38F6">
        <w:rPr>
          <w:rFonts w:cs="Tahoma"/>
          <w:szCs w:val="18"/>
          <w:lang w:val="pt-BR"/>
        </w:rPr>
        <w:t xml:space="preserve"> </w:t>
      </w:r>
      <w:r w:rsidRPr="008D38F6">
        <w:rPr>
          <w:rFonts w:cs="Tahoma"/>
          <w:szCs w:val="18"/>
          <w:lang w:val="pt-BR"/>
        </w:rPr>
        <w:t>Porém, só as 5 USLs não satisfazem o mínimo para Open Value Companywide e</w:t>
      </w:r>
      <w:r w:rsidR="00073D33" w:rsidRPr="008D38F6">
        <w:rPr>
          <w:rFonts w:cs="Tahoma"/>
          <w:szCs w:val="18"/>
          <w:lang w:val="pt-BR"/>
        </w:rPr>
        <w:t> </w:t>
      </w:r>
      <w:r w:rsidRPr="008D38F6">
        <w:rPr>
          <w:rFonts w:cs="Tahoma"/>
          <w:szCs w:val="18"/>
          <w:lang w:val="pt-BR"/>
        </w:rPr>
        <w:t>Open Value Subscription.</w:t>
      </w:r>
      <w:r w:rsidR="00FB5496" w:rsidRPr="008D38F6">
        <w:rPr>
          <w:rFonts w:cs="Tahoma"/>
          <w:szCs w:val="18"/>
          <w:lang w:val="pt-BR"/>
        </w:rPr>
        <w:t xml:space="preserve"> </w:t>
      </w:r>
      <w:r w:rsidRPr="008D38F6">
        <w:rPr>
          <w:rFonts w:cs="Tahoma"/>
          <w:szCs w:val="18"/>
          <w:lang w:val="pt-BR"/>
        </w:rPr>
        <w:t>No caso de OV Companywide e OV Subscription, o pedido inicial deve incluir um mínimo de</w:t>
      </w:r>
      <w:r w:rsidR="00073D33" w:rsidRPr="008D38F6">
        <w:rPr>
          <w:rFonts w:cs="Tahoma"/>
          <w:szCs w:val="18"/>
          <w:lang w:val="pt-BR"/>
        </w:rPr>
        <w:t> </w:t>
      </w:r>
      <w:r w:rsidRPr="008D38F6">
        <w:rPr>
          <w:rFonts w:cs="Tahoma"/>
          <w:szCs w:val="18"/>
          <w:lang w:val="pt-BR"/>
        </w:rPr>
        <w:t>5 Licenças de Plataforma de Desktop ou Componente de Desktop além de quaisquer USLs.</w:t>
      </w:r>
    </w:p>
    <w:p w:rsidR="00116EDC" w:rsidRPr="008D38F6" w:rsidRDefault="00116EDC" w:rsidP="00116EDC">
      <w:pPr>
        <w:outlineLvl w:val="2"/>
        <w:rPr>
          <w:lang w:val="pt-BR"/>
        </w:rPr>
      </w:pPr>
    </w:p>
    <w:p w:rsidR="00776E3B" w:rsidRPr="00416070" w:rsidRDefault="00776E3B" w:rsidP="00776E3B">
      <w:pPr>
        <w:pStyle w:val="Heading3"/>
      </w:pPr>
      <w:bookmarkStart w:id="732" w:name="_Toc336338214"/>
      <w:bookmarkStart w:id="733" w:name="_Toc352234282"/>
      <w:r w:rsidRPr="00416070">
        <w:rPr>
          <w:rFonts w:ascii="Tahoma" w:hAnsi="Tahoma" w:cs="Tahoma"/>
          <w:sz w:val="24"/>
        </w:rPr>
        <w:t>Serviços do Windows Azure</w:t>
      </w:r>
      <w:bookmarkEnd w:id="732"/>
      <w:bookmarkEnd w:id="733"/>
    </w:p>
    <w:p w:rsidR="00776E3B" w:rsidRPr="008D38F6" w:rsidRDefault="00776E3B" w:rsidP="00DF28F2">
      <w:pPr>
        <w:outlineLvl w:val="1"/>
        <w:rPr>
          <w:lang w:val="pt-BR"/>
        </w:rPr>
      </w:pPr>
    </w:p>
    <w:p w:rsidR="006A5DAE" w:rsidRPr="008D38F6" w:rsidRDefault="005242EC" w:rsidP="005242EC">
      <w:pPr>
        <w:spacing w:after="60"/>
        <w:outlineLvl w:val="1"/>
        <w:rPr>
          <w:lang w:val="pt-BR"/>
        </w:rPr>
      </w:pPr>
      <w:r w:rsidRPr="008D38F6">
        <w:rPr>
          <w:rFonts w:cs="Tahoma"/>
          <w:b/>
          <w:szCs w:val="18"/>
          <w:lang w:val="pt-BR"/>
        </w:rPr>
        <w:t>Definições</w:t>
      </w:r>
    </w:p>
    <w:p w:rsidR="006A5DAE" w:rsidRPr="008D38F6" w:rsidRDefault="006A5DAE" w:rsidP="006A5DAE">
      <w:pPr>
        <w:outlineLvl w:val="1"/>
        <w:rPr>
          <w:lang w:val="pt-BR"/>
        </w:rPr>
      </w:pPr>
      <w:r w:rsidRPr="008D38F6">
        <w:rPr>
          <w:rFonts w:cs="Tahoma"/>
          <w:szCs w:val="18"/>
          <w:u w:val="single"/>
          <w:lang w:val="pt-BR"/>
        </w:rPr>
        <w:t>Taxas de Compromissos</w:t>
      </w:r>
      <w:r w:rsidR="00FB5496" w:rsidRPr="008D38F6">
        <w:rPr>
          <w:rFonts w:cs="Tahoma"/>
          <w:bCs/>
          <w:szCs w:val="18"/>
          <w:lang w:val="pt-BR"/>
        </w:rPr>
        <w:t xml:space="preserve"> </w:t>
      </w:r>
      <w:r w:rsidRPr="008D38F6">
        <w:rPr>
          <w:rFonts w:cs="Tahoma"/>
          <w:szCs w:val="18"/>
          <w:lang w:val="pt-BR"/>
        </w:rPr>
        <w:t>significa os preços estabelecidos para todo o uso dos Serviços do Windows Azure até o</w:t>
      </w:r>
      <w:r w:rsidR="00571BC7" w:rsidRPr="008D38F6">
        <w:rPr>
          <w:rFonts w:cs="Tahoma"/>
          <w:szCs w:val="18"/>
          <w:lang w:val="pt-BR"/>
        </w:rPr>
        <w:t> </w:t>
      </w:r>
      <w:r w:rsidRPr="008D38F6">
        <w:rPr>
          <w:rFonts w:cs="Tahoma"/>
          <w:szCs w:val="18"/>
          <w:lang w:val="pt-BR"/>
        </w:rPr>
        <w:t>Compromisso Anual Alocado.</w:t>
      </w:r>
    </w:p>
    <w:p w:rsidR="006A5DAE" w:rsidRPr="008D38F6" w:rsidRDefault="006A5DAE" w:rsidP="006A5DAE">
      <w:pPr>
        <w:outlineLvl w:val="1"/>
        <w:rPr>
          <w:lang w:val="pt-BR"/>
        </w:rPr>
      </w:pPr>
    </w:p>
    <w:p w:rsidR="006A5DAE" w:rsidRPr="008D38F6" w:rsidRDefault="006A5DAE" w:rsidP="006A5DAE">
      <w:pPr>
        <w:outlineLvl w:val="1"/>
        <w:rPr>
          <w:lang w:val="pt-BR"/>
        </w:rPr>
      </w:pPr>
      <w:r w:rsidRPr="008D38F6">
        <w:rPr>
          <w:rFonts w:cs="Tahoma"/>
          <w:szCs w:val="18"/>
          <w:u w:val="single"/>
          <w:lang w:val="pt-BR"/>
        </w:rPr>
        <w:t>Taxas de Consumo</w:t>
      </w:r>
      <w:r w:rsidRPr="008D38F6">
        <w:rPr>
          <w:rFonts w:cs="Tahoma"/>
          <w:szCs w:val="18"/>
          <w:lang w:val="pt-BR"/>
        </w:rPr>
        <w:t xml:space="preserve"> significa os preços estabelecidos para todo o uso dos Serviços do Windows Azure em excesso do</w:t>
      </w:r>
      <w:r w:rsidR="00571BC7" w:rsidRPr="008D38F6">
        <w:rPr>
          <w:rFonts w:cs="Tahoma"/>
          <w:szCs w:val="18"/>
          <w:lang w:val="pt-BR"/>
        </w:rPr>
        <w:t> </w:t>
      </w:r>
      <w:r w:rsidRPr="008D38F6">
        <w:rPr>
          <w:rFonts w:cs="Tahoma"/>
          <w:szCs w:val="18"/>
          <w:lang w:val="pt-BR"/>
        </w:rPr>
        <w:t>Compromisso Anual Alocado. As Taxas de Consumo também podem ser denominadas “Taxas Excedentes” ou “Excedente” em outros documentos da Microsoft ou do Windows Azure.</w:t>
      </w:r>
    </w:p>
    <w:p w:rsidR="00FE2B0B" w:rsidRPr="008D38F6" w:rsidRDefault="00FE2B0B" w:rsidP="006A5DAE">
      <w:pPr>
        <w:outlineLvl w:val="1"/>
        <w:rPr>
          <w:rFonts w:cs="Tahoma"/>
          <w:szCs w:val="18"/>
          <w:u w:val="single"/>
          <w:lang w:val="pt-BR"/>
        </w:rPr>
      </w:pPr>
    </w:p>
    <w:p w:rsidR="006A5DAE" w:rsidRPr="008D38F6" w:rsidRDefault="006A5DAE" w:rsidP="006A5DAE">
      <w:pPr>
        <w:outlineLvl w:val="1"/>
        <w:rPr>
          <w:lang w:val="pt-BR"/>
        </w:rPr>
      </w:pPr>
      <w:r w:rsidRPr="008D38F6">
        <w:rPr>
          <w:rFonts w:cs="Tahoma"/>
          <w:szCs w:val="18"/>
          <w:u w:val="single"/>
          <w:lang w:val="pt-BR"/>
        </w:rPr>
        <w:lastRenderedPageBreak/>
        <w:t>Compromisso Monetário</w:t>
      </w:r>
      <w:r w:rsidRPr="008D38F6">
        <w:rPr>
          <w:rFonts w:cs="Tahoma"/>
          <w:szCs w:val="18"/>
          <w:lang w:val="pt-BR"/>
        </w:rPr>
        <w:t xml:space="preserve"> significa o valor monetário total que um cliente se compromete a pagar pelo período da</w:t>
      </w:r>
      <w:r w:rsidR="00571BC7" w:rsidRPr="008D38F6">
        <w:rPr>
          <w:rFonts w:cs="Tahoma"/>
          <w:szCs w:val="18"/>
          <w:lang w:val="pt-BR"/>
        </w:rPr>
        <w:t> </w:t>
      </w:r>
      <w:r w:rsidRPr="008D38F6">
        <w:rPr>
          <w:rFonts w:cs="Tahoma"/>
          <w:szCs w:val="18"/>
          <w:lang w:val="pt-BR"/>
        </w:rPr>
        <w:t>assinatura para seu uso dos Serviços do Windows Azure.</w:t>
      </w:r>
    </w:p>
    <w:p w:rsidR="00BD1A6A" w:rsidRPr="008D38F6" w:rsidRDefault="00BD1A6A" w:rsidP="006A5DAE">
      <w:pPr>
        <w:outlineLvl w:val="1"/>
        <w:rPr>
          <w:lang w:val="pt-BR"/>
        </w:rPr>
      </w:pPr>
    </w:p>
    <w:p w:rsidR="006A5DAE" w:rsidRPr="008D38F6" w:rsidRDefault="006A5DAE" w:rsidP="006A5DAE">
      <w:pPr>
        <w:outlineLvl w:val="1"/>
        <w:rPr>
          <w:lang w:val="pt-BR"/>
        </w:rPr>
      </w:pPr>
      <w:r w:rsidRPr="008D38F6">
        <w:rPr>
          <w:rFonts w:cs="Tahoma"/>
          <w:szCs w:val="18"/>
          <w:u w:val="single"/>
          <w:lang w:val="pt-BR"/>
        </w:rPr>
        <w:t>Compromisso Anual Alocado</w:t>
      </w:r>
      <w:r w:rsidRPr="008D38F6">
        <w:rPr>
          <w:rFonts w:cs="Tahoma"/>
          <w:szCs w:val="18"/>
          <w:lang w:val="pt-BR"/>
        </w:rPr>
        <w:t xml:space="preserve"> significa a parte do Compromisso Monetário alocada anualmente pelo prazo do Registro. Para a opção de assinatura de um ano, o Compromisso Anual Alocado é igual ao Compromisso Monetário.</w:t>
      </w:r>
    </w:p>
    <w:p w:rsidR="00BD1A6A" w:rsidRPr="008D38F6" w:rsidRDefault="00BD1A6A">
      <w:pPr>
        <w:rPr>
          <w:lang w:val="pt-BR"/>
        </w:rPr>
      </w:pPr>
    </w:p>
    <w:p w:rsidR="006A5DAE" w:rsidRPr="008D38F6" w:rsidRDefault="006A5DAE" w:rsidP="005242EC">
      <w:pPr>
        <w:spacing w:after="60"/>
        <w:outlineLvl w:val="1"/>
        <w:rPr>
          <w:lang w:val="pt-BR"/>
        </w:rPr>
      </w:pPr>
      <w:r w:rsidRPr="008D38F6">
        <w:rPr>
          <w:rFonts w:cs="Tahoma"/>
          <w:b/>
          <w:szCs w:val="18"/>
          <w:lang w:val="pt-BR"/>
        </w:rPr>
        <w:t>Prazo da Assinatura</w:t>
      </w:r>
    </w:p>
    <w:p w:rsidR="006A5DAE" w:rsidRPr="008D38F6" w:rsidRDefault="006A5DAE" w:rsidP="00A56037">
      <w:pPr>
        <w:outlineLvl w:val="1"/>
        <w:rPr>
          <w:lang w:val="pt-BR"/>
        </w:rPr>
      </w:pPr>
      <w:r w:rsidRPr="008D38F6">
        <w:rPr>
          <w:rFonts w:cs="Tahoma"/>
          <w:szCs w:val="18"/>
          <w:lang w:val="pt-BR"/>
        </w:rPr>
        <w:t xml:space="preserve">No caso dos Serviços do Windows Azure, os clientes podem optar entre um prazo de assinatura de um ano ou um prazo de assinatura que acaba na data de término do registro do cliente (“coextensiva”). </w:t>
      </w:r>
      <w:r w:rsidRPr="008D38F6">
        <w:rPr>
          <w:lang w:val="pt-BR"/>
        </w:rPr>
        <w:t>Os clientes que escolhem a</w:t>
      </w:r>
      <w:r w:rsidR="00571BC7" w:rsidRPr="008D38F6">
        <w:rPr>
          <w:lang w:val="pt-BR"/>
        </w:rPr>
        <w:t> </w:t>
      </w:r>
      <w:r w:rsidRPr="008D38F6">
        <w:rPr>
          <w:lang w:val="pt-BR"/>
        </w:rPr>
        <w:t>opção de um ano devem ter pelo menos 12 meses restantes no seu prazo de registro e aqueles que escolhem a</w:t>
      </w:r>
      <w:r w:rsidR="00A56037" w:rsidRPr="008D38F6">
        <w:rPr>
          <w:lang w:val="pt-BR"/>
        </w:rPr>
        <w:t> </w:t>
      </w:r>
      <w:r w:rsidRPr="008D38F6">
        <w:rPr>
          <w:lang w:val="pt-BR"/>
        </w:rPr>
        <w:t>opção coextensiva devem ter pelo menos dois meses restantes no seu prazo de registro</w:t>
      </w:r>
      <w:r w:rsidRPr="008D38F6">
        <w:rPr>
          <w:rFonts w:cs="Tahoma"/>
          <w:szCs w:val="18"/>
          <w:lang w:val="pt-BR"/>
        </w:rPr>
        <w:t>.</w:t>
      </w:r>
    </w:p>
    <w:p w:rsidR="006A5DAE" w:rsidRPr="008D38F6" w:rsidRDefault="006A5DAE" w:rsidP="006A5DAE">
      <w:pPr>
        <w:rPr>
          <w:lang w:val="pt-BR"/>
        </w:rPr>
      </w:pPr>
    </w:p>
    <w:p w:rsidR="006A5DAE" w:rsidRPr="008D38F6" w:rsidRDefault="005242EC" w:rsidP="005242EC">
      <w:pPr>
        <w:spacing w:after="60"/>
        <w:outlineLvl w:val="1"/>
        <w:rPr>
          <w:lang w:val="pt-BR"/>
        </w:rPr>
      </w:pPr>
      <w:r w:rsidRPr="008D38F6">
        <w:rPr>
          <w:rFonts w:cs="Tahoma"/>
          <w:b/>
          <w:szCs w:val="18"/>
          <w:lang w:val="pt-BR"/>
        </w:rPr>
        <w:t>Compromisso Monetário</w:t>
      </w:r>
    </w:p>
    <w:p w:rsidR="006A5DAE" w:rsidRPr="008D38F6" w:rsidRDefault="006A5DAE" w:rsidP="006A5DAE">
      <w:pPr>
        <w:outlineLvl w:val="1"/>
        <w:rPr>
          <w:lang w:val="pt-BR"/>
        </w:rPr>
      </w:pPr>
      <w:r w:rsidRPr="008D38F6">
        <w:rPr>
          <w:rFonts w:cs="Tahoma"/>
          <w:szCs w:val="18"/>
          <w:lang w:val="pt-BR"/>
        </w:rPr>
        <w:t>O pedido inicial dos clientes deve incluir um Compromisso Monetário e pode ser substituído a qualquer momento antes do último mês do seu prazo de registro. O Compromisso Monetário de acordo com a opção de assinatura de um ano será rateado pelos 12 meses seguintes. O Compromisso Monetário de acordo com a opção de assinatura coextensiva será alocado proporcionalmente pelo prazo de registro.</w:t>
      </w:r>
    </w:p>
    <w:p w:rsidR="006A5DAE" w:rsidRPr="008D38F6" w:rsidRDefault="006A5DAE" w:rsidP="006A5DAE">
      <w:pPr>
        <w:outlineLvl w:val="1"/>
        <w:rPr>
          <w:lang w:val="pt-BR"/>
        </w:rPr>
      </w:pPr>
    </w:p>
    <w:p w:rsidR="006A5DAE" w:rsidRPr="008D38F6" w:rsidRDefault="006A5DAE" w:rsidP="006A5DAE">
      <w:pPr>
        <w:rPr>
          <w:lang w:val="pt-BR"/>
        </w:rPr>
      </w:pPr>
      <w:r w:rsidRPr="008D38F6">
        <w:rPr>
          <w:lang w:val="pt-BR"/>
        </w:rPr>
        <w:t>Os clientes podem aumentar seu Compromisso Monetário a qualquer momento, fazendo pedidos adicionais.</w:t>
      </w:r>
      <w:r w:rsidR="00FB5496" w:rsidRPr="008D38F6">
        <w:rPr>
          <w:lang w:val="pt-BR"/>
        </w:rPr>
        <w:t xml:space="preserve"> </w:t>
      </w:r>
      <w:r w:rsidRPr="008D38F6">
        <w:rPr>
          <w:lang w:val="pt-BR"/>
        </w:rPr>
        <w:t>Os</w:t>
      </w:r>
      <w:r w:rsidR="00571BC7" w:rsidRPr="008D38F6">
        <w:rPr>
          <w:lang w:val="pt-BR"/>
        </w:rPr>
        <w:t> </w:t>
      </w:r>
      <w:r w:rsidRPr="008D38F6">
        <w:rPr>
          <w:lang w:val="pt-BR"/>
        </w:rPr>
        <w:t xml:space="preserve">pedidos adicionais serão incluídos no Compromisso Anual Alocado atual e estarão disponíveis para uso no primeiro dia do mês depois que a Microsoft processar tal pedido. Para a </w:t>
      </w:r>
      <w:r w:rsidRPr="008D38F6">
        <w:rPr>
          <w:rFonts w:cs="Tahoma"/>
          <w:szCs w:val="18"/>
          <w:lang w:val="pt-BR"/>
        </w:rPr>
        <w:t>opção de assinatura coextensiva,</w:t>
      </w:r>
      <w:r w:rsidRPr="008D38F6">
        <w:rPr>
          <w:lang w:val="pt-BR"/>
        </w:rPr>
        <w:t xml:space="preserve"> os Compromissos Anuais Alocados futuros do cliente serão incrementados pelo valor do pedido adicional multiplicado por 12, divididos pelo número de meses inteiros restantes no ano em que o pedido adicional foi feito.</w:t>
      </w:r>
    </w:p>
    <w:p w:rsidR="006A5DAE" w:rsidRPr="008D38F6" w:rsidRDefault="006A5DAE" w:rsidP="006A5DAE">
      <w:pPr>
        <w:rPr>
          <w:lang w:val="pt-BR"/>
        </w:rPr>
      </w:pPr>
    </w:p>
    <w:p w:rsidR="006A5DAE" w:rsidRPr="008D38F6" w:rsidRDefault="006A5DAE" w:rsidP="006A5DAE">
      <w:pPr>
        <w:outlineLvl w:val="1"/>
        <w:rPr>
          <w:lang w:val="pt-BR"/>
        </w:rPr>
      </w:pPr>
      <w:r w:rsidRPr="008D38F6">
        <w:rPr>
          <w:rFonts w:cs="Tahoma"/>
          <w:szCs w:val="18"/>
          <w:lang w:val="pt-BR"/>
        </w:rPr>
        <w:t xml:space="preserve">Os clientes devem consumir seu </w:t>
      </w:r>
      <w:r w:rsidRPr="008D38F6">
        <w:rPr>
          <w:lang w:val="pt-BR"/>
        </w:rPr>
        <w:t>Compromisso Anual Alocado</w:t>
      </w:r>
      <w:r w:rsidRPr="008D38F6">
        <w:rPr>
          <w:rFonts w:cs="Tahoma"/>
          <w:szCs w:val="18"/>
          <w:lang w:val="pt-BR"/>
        </w:rPr>
        <w:t xml:space="preserve"> até o último dia do 12</w:t>
      </w:r>
      <w:r w:rsidRPr="008D38F6">
        <w:rPr>
          <w:rFonts w:cs="Tahoma"/>
          <w:szCs w:val="18"/>
          <w:vertAlign w:val="superscript"/>
          <w:lang w:val="pt-BR"/>
        </w:rPr>
        <w:t>o</w:t>
      </w:r>
      <w:r w:rsidRPr="008D38F6">
        <w:rPr>
          <w:rFonts w:cs="Tahoma"/>
          <w:szCs w:val="18"/>
          <w:lang w:val="pt-BR"/>
        </w:rPr>
        <w:t xml:space="preserve"> mês após o pedido para a opção de assinatura de um ano e até o último dia do mês que antecede o aniversário do registro todo ano para a</w:t>
      </w:r>
      <w:r w:rsidR="00571BC7" w:rsidRPr="008D38F6">
        <w:rPr>
          <w:rFonts w:cs="Tahoma"/>
          <w:szCs w:val="18"/>
          <w:lang w:val="pt-BR"/>
        </w:rPr>
        <w:t> </w:t>
      </w:r>
      <w:r w:rsidRPr="008D38F6">
        <w:rPr>
          <w:rFonts w:cs="Tahoma"/>
          <w:szCs w:val="18"/>
          <w:lang w:val="pt-BR"/>
        </w:rPr>
        <w:t xml:space="preserve">opção de assinatura coextensiva. Qualquer parte não usada do </w:t>
      </w:r>
      <w:r w:rsidRPr="008D38F6">
        <w:rPr>
          <w:lang w:val="pt-BR"/>
        </w:rPr>
        <w:t xml:space="preserve">Compromisso Anual Alocado </w:t>
      </w:r>
      <w:r w:rsidRPr="008D38F6">
        <w:rPr>
          <w:rFonts w:cs="Tahoma"/>
          <w:szCs w:val="18"/>
          <w:lang w:val="pt-BR"/>
        </w:rPr>
        <w:t xml:space="preserve">não </w:t>
      </w:r>
      <w:r w:rsidRPr="008D38F6">
        <w:rPr>
          <w:lang w:val="pt-BR"/>
        </w:rPr>
        <w:t>será transferida para o próximo período</w:t>
      </w:r>
      <w:r w:rsidR="00A56037" w:rsidRPr="008D38F6">
        <w:rPr>
          <w:rFonts w:cs="Tahoma"/>
          <w:szCs w:val="18"/>
          <w:lang w:val="pt-BR"/>
        </w:rPr>
        <w:t xml:space="preserve"> e será perdida.</w:t>
      </w:r>
    </w:p>
    <w:p w:rsidR="006A5DAE" w:rsidRPr="008D38F6" w:rsidRDefault="006A5DAE" w:rsidP="006A5DAE">
      <w:pPr>
        <w:rPr>
          <w:lang w:val="pt-BR"/>
        </w:rPr>
      </w:pPr>
    </w:p>
    <w:p w:rsidR="006A5DAE" w:rsidRPr="008D38F6" w:rsidRDefault="005242EC" w:rsidP="005242EC">
      <w:pPr>
        <w:spacing w:after="60"/>
        <w:outlineLvl w:val="1"/>
        <w:rPr>
          <w:lang w:val="pt-BR"/>
        </w:rPr>
      </w:pPr>
      <w:r w:rsidRPr="008D38F6">
        <w:rPr>
          <w:rFonts w:cs="Tahoma"/>
          <w:b/>
          <w:szCs w:val="18"/>
          <w:lang w:val="pt-BR"/>
        </w:rPr>
        <w:t xml:space="preserve">Pagamento e Taxas </w:t>
      </w:r>
    </w:p>
    <w:p w:rsidR="006A5DAE" w:rsidRPr="008D38F6" w:rsidRDefault="006A5DAE" w:rsidP="006A5DAE">
      <w:pPr>
        <w:rPr>
          <w:lang w:val="pt-BR"/>
        </w:rPr>
      </w:pPr>
      <w:r w:rsidRPr="008D38F6">
        <w:rPr>
          <w:lang w:val="pt-BR"/>
        </w:rPr>
        <w:t xml:space="preserve">No caso da opção de assinatura de um ano, os pedidos serão faturados imediatamente para os clientes ou seus revendedores. No caso da </w:t>
      </w:r>
      <w:r w:rsidRPr="008D38F6">
        <w:rPr>
          <w:rFonts w:cs="Tahoma"/>
          <w:szCs w:val="18"/>
          <w:lang w:val="pt-BR"/>
        </w:rPr>
        <w:t xml:space="preserve">opção de assinatura coextensiva, o </w:t>
      </w:r>
      <w:r w:rsidRPr="008D38F6">
        <w:rPr>
          <w:lang w:val="pt-BR"/>
        </w:rPr>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rsidR="006A5DAE" w:rsidRPr="008D38F6" w:rsidRDefault="006A5DAE" w:rsidP="006A5DAE">
      <w:pPr>
        <w:rPr>
          <w:lang w:val="pt-BR"/>
        </w:rPr>
      </w:pPr>
    </w:p>
    <w:p w:rsidR="006A5DAE" w:rsidRPr="008D38F6" w:rsidRDefault="006A5DAE" w:rsidP="00A56037">
      <w:pPr>
        <w:rPr>
          <w:lang w:val="pt-BR"/>
        </w:rPr>
      </w:pPr>
      <w:r w:rsidRPr="008D38F6">
        <w:rPr>
          <w:lang w:val="pt-BR"/>
        </w:rPr>
        <w:t>A cada mês, a Microsoft deduzirá do Compromisso Anual Alocado o valor monetário do uso feito por parte do cliente dos Serviços do Windows Azure. Assim que o saldo do Compromisso Anual Alocado do cliente tiver se esgotado, qualquer uso adicional naquele mês e nos meses restantes no caso da opção de assinatura de um ano ou nos meses restantes do ano atual do registro no caso da opção coextensiva será faturado de acordo com as Taxas de Consumo. Se o cliente escolher a opção de assinatura de um ano, qualquer uso de acordo com as Taxas de Consumo será faturado ao cliente ou seu revendedor no final de cada trimestre do registro e no final do prazo de assinatura. Se</w:t>
      </w:r>
      <w:r w:rsidR="00571BC7" w:rsidRPr="008D38F6">
        <w:rPr>
          <w:lang w:val="pt-BR"/>
        </w:rPr>
        <w:t> </w:t>
      </w:r>
      <w:r w:rsidRPr="008D38F6">
        <w:rPr>
          <w:lang w:val="pt-BR"/>
        </w:rPr>
        <w:t>o</w:t>
      </w:r>
      <w:r w:rsidR="00571BC7" w:rsidRPr="008D38F6">
        <w:rPr>
          <w:lang w:val="pt-BR"/>
        </w:rPr>
        <w:t> </w:t>
      </w:r>
      <w:r w:rsidRPr="008D38F6">
        <w:rPr>
          <w:lang w:val="pt-BR"/>
        </w:rPr>
        <w:t xml:space="preserve">cliente escolher a opção de assinatura coextensiva, qualquer uso de acordo com as Taxas de Consumo </w:t>
      </w:r>
      <w:r w:rsidR="00A56037" w:rsidRPr="008D38F6">
        <w:rPr>
          <w:lang w:val="pt-BR"/>
        </w:rPr>
        <w:t>sera </w:t>
      </w:r>
      <w:r w:rsidRPr="008D38F6">
        <w:rPr>
          <w:lang w:val="pt-BR"/>
        </w:rPr>
        <w:t>faturado ao cliente ou seu revendedor no final de cada trimestre do registro.</w:t>
      </w:r>
    </w:p>
    <w:p w:rsidR="006A5DAE" w:rsidRPr="008D38F6" w:rsidRDefault="006A5DAE" w:rsidP="006A5DAE">
      <w:pPr>
        <w:rPr>
          <w:lang w:val="pt-BR"/>
        </w:rPr>
      </w:pPr>
    </w:p>
    <w:p w:rsidR="006A5DAE" w:rsidRPr="008D38F6" w:rsidRDefault="006A5DAE" w:rsidP="006A5DAE">
      <w:pPr>
        <w:rPr>
          <w:lang w:val="pt-BR"/>
        </w:rPr>
      </w:pPr>
      <w:r w:rsidRPr="008D38F6">
        <w:rPr>
          <w:lang w:val="pt-BR"/>
        </w:rPr>
        <w:t>Todo o uso dos Serviços do Windows Azure após o término ou a rescisão do prazo de assinatura de um cliente será faturado para o cliente ou seu revendedor às Taxas de Consumo trimestralmente.</w:t>
      </w:r>
    </w:p>
    <w:p w:rsidR="006A5DAE" w:rsidRPr="008D38F6" w:rsidRDefault="006A5DAE" w:rsidP="006A5DAE">
      <w:pPr>
        <w:rPr>
          <w:lang w:val="pt-BR"/>
        </w:rPr>
      </w:pPr>
    </w:p>
    <w:p w:rsidR="006A5DAE" w:rsidRPr="008D38F6" w:rsidRDefault="006A5DAE" w:rsidP="006A5DAE">
      <w:pPr>
        <w:rPr>
          <w:lang w:val="pt-BR"/>
        </w:rPr>
      </w:pPr>
      <w:r w:rsidRPr="008D38F6">
        <w:rPr>
          <w:lang w:val="pt-BR"/>
        </w:rPr>
        <w:t>A Microsoft poderá diminuir preços de Serviços individuais do Windows Azure durante o prazo do registro do cliente.</w:t>
      </w:r>
      <w:r w:rsidR="00FB5496" w:rsidRPr="008D38F6">
        <w:rPr>
          <w:lang w:val="pt-BR"/>
        </w:rPr>
        <w:t xml:space="preserve"> </w:t>
      </w:r>
      <w:r w:rsidRPr="008D38F6">
        <w:rPr>
          <w:lang w:val="pt-BR"/>
        </w:rPr>
        <w:t>Para os clientes que adquiriram os Serviços do Windows Azure diretamente da Microsoft, a Tabela de Preços ao Cliente poderá indicar um preço mais alto do que o preço vigente. A Microsoft concederá preços mais baixos a esses clientes durante o período em que eles estiverem em vigência. A Microsoft fornecerá aos clientes uma notificação sobre tais alterações.</w:t>
      </w:r>
    </w:p>
    <w:p w:rsidR="006A5DAE" w:rsidRPr="008D38F6" w:rsidRDefault="006A5DAE" w:rsidP="006A5DAE">
      <w:pPr>
        <w:rPr>
          <w:lang w:val="pt-BR"/>
        </w:rPr>
      </w:pPr>
    </w:p>
    <w:p w:rsidR="00FE2B0B" w:rsidRPr="008D38F6" w:rsidRDefault="00FE2B0B" w:rsidP="006A5DAE">
      <w:pPr>
        <w:rPr>
          <w:lang w:val="pt-BR"/>
        </w:rPr>
      </w:pPr>
    </w:p>
    <w:p w:rsidR="00FE2B0B" w:rsidRPr="008D38F6" w:rsidRDefault="00FE2B0B" w:rsidP="006A5DAE">
      <w:pPr>
        <w:rPr>
          <w:lang w:val="pt-BR"/>
        </w:rPr>
      </w:pPr>
    </w:p>
    <w:p w:rsidR="00FE2B0B" w:rsidRPr="008D38F6" w:rsidRDefault="00FE2B0B" w:rsidP="006A5DAE">
      <w:pPr>
        <w:rPr>
          <w:lang w:val="pt-BR"/>
        </w:rPr>
      </w:pPr>
    </w:p>
    <w:p w:rsidR="00FE2B0B" w:rsidRPr="008D38F6" w:rsidRDefault="00FE2B0B" w:rsidP="006A5DAE">
      <w:pPr>
        <w:rPr>
          <w:lang w:val="pt-BR"/>
        </w:rPr>
      </w:pPr>
    </w:p>
    <w:p w:rsidR="006A5DAE" w:rsidRPr="008D38F6" w:rsidRDefault="006A5DAE" w:rsidP="006A5DAE">
      <w:pPr>
        <w:rPr>
          <w:lang w:val="pt-BR"/>
        </w:rPr>
      </w:pPr>
      <w:r w:rsidRPr="008D38F6">
        <w:rPr>
          <w:rFonts w:cs="Tahoma"/>
          <w:szCs w:val="18"/>
          <w:lang w:val="pt-BR"/>
        </w:rPr>
        <w:lastRenderedPageBreak/>
        <w:t>Os termos de pagamento e preços das assinaturas adquiridas por meio de revendedores serão determinados pelo contrato entre o cliente e seu revendedor.</w:t>
      </w:r>
      <w:r w:rsidR="00FB5496" w:rsidRPr="008D38F6">
        <w:rPr>
          <w:rFonts w:cs="Tahoma"/>
          <w:szCs w:val="18"/>
          <w:lang w:val="pt-BR"/>
        </w:rPr>
        <w:t xml:space="preserve"> </w:t>
      </w:r>
      <w:r w:rsidRPr="008D38F6">
        <w:rPr>
          <w:rFonts w:cs="Tahoma"/>
          <w:szCs w:val="18"/>
          <w:lang w:val="pt-BR"/>
        </w:rPr>
        <w:t xml:space="preserve">O </w:t>
      </w:r>
      <w:r w:rsidRPr="008D38F6">
        <w:rPr>
          <w:iCs/>
          <w:lang w:val="pt-BR"/>
        </w:rPr>
        <w:t>revendedor de um cliente fornecerá informações adicionais relativas ao processo de pedidos de Serviços do Windows Azure.</w:t>
      </w:r>
      <w:r w:rsidR="00FB5496" w:rsidRPr="008D38F6">
        <w:rPr>
          <w:iCs/>
          <w:lang w:val="pt-BR"/>
        </w:rPr>
        <w:t xml:space="preserve"> </w:t>
      </w:r>
      <w:r w:rsidRPr="008D38F6">
        <w:rPr>
          <w:iCs/>
          <w:lang w:val="pt-BR"/>
        </w:rPr>
        <w:t xml:space="preserve">Os preços e os termos de cobrança para todos os Serviços do Windows Azure serão regidos por um contrato separado entre o cliente e seu respectivo revendedor. </w:t>
      </w:r>
      <w:r w:rsidRPr="008D38F6">
        <w:rPr>
          <w:lang w:val="pt-BR"/>
        </w:rPr>
        <w:t>A Microsoft poderá baixar os preços para os Serviços do Windows Azure apenas durante o prazo do registro do cliente e poderá fornecer preços mais baixos para o revendedor do cliente durante o período em que eles estiverem vigentes. A</w:t>
      </w:r>
      <w:r w:rsidR="00571BC7" w:rsidRPr="008D38F6">
        <w:rPr>
          <w:lang w:val="pt-BR"/>
        </w:rPr>
        <w:t> </w:t>
      </w:r>
      <w:r w:rsidRPr="008D38F6">
        <w:rPr>
          <w:lang w:val="pt-BR"/>
        </w:rPr>
        <w:t>Microsoft fornecerá ao revendedor do cliente uma notificação sobre tais alterações. O cliente e seu revendedor determinarão os preços reais e a aplicabilidade das alterações de preços.</w:t>
      </w:r>
    </w:p>
    <w:p w:rsidR="00BD1A6A" w:rsidRPr="008D38F6" w:rsidRDefault="00BD1A6A">
      <w:pPr>
        <w:rPr>
          <w:lang w:val="pt-BR"/>
        </w:rPr>
      </w:pPr>
    </w:p>
    <w:p w:rsidR="00776E3B" w:rsidRPr="008D38F6" w:rsidRDefault="005242EC" w:rsidP="005242EC">
      <w:pPr>
        <w:spacing w:after="60"/>
        <w:outlineLvl w:val="1"/>
        <w:rPr>
          <w:lang w:val="pt-BR"/>
        </w:rPr>
      </w:pPr>
      <w:r w:rsidRPr="008D38F6">
        <w:rPr>
          <w:rFonts w:cs="Tahoma"/>
          <w:b/>
          <w:sz w:val="20"/>
          <w:szCs w:val="18"/>
          <w:lang w:val="pt-BR"/>
        </w:rPr>
        <w:t>Taxas de Compromissos do Windows Azure</w:t>
      </w:r>
    </w:p>
    <w:p w:rsidR="00776E3B" w:rsidRPr="008D38F6" w:rsidRDefault="006A5DAE" w:rsidP="00776E3B">
      <w:pPr>
        <w:outlineLvl w:val="1"/>
        <w:rPr>
          <w:lang w:val="pt-BR"/>
        </w:rPr>
      </w:pPr>
      <w:r w:rsidRPr="008D38F6">
        <w:rPr>
          <w:rFonts w:cs="Tahoma"/>
          <w:szCs w:val="18"/>
          <w:lang w:val="pt-BR"/>
        </w:rPr>
        <w:t>As Taxas de Compromissos dos Clientes para Serviços do Windows Azure se baseiam em seu Nível de Compromisso Monetário do Windows Azure e na categoria de preços do registro. O Nível de Compromisso Monetário do Windows Azure é determinado pela quantidade de Compromissos Monetários do Windows Azure (ou seja, o valor monetário total que o cliente se compromete a dispor anualmente durante a vigência da assinatura do Windows Azure) e</w:t>
      </w:r>
      <w:r w:rsidR="00571BC7" w:rsidRPr="008D38F6">
        <w:rPr>
          <w:rFonts w:cs="Tahoma"/>
          <w:szCs w:val="18"/>
          <w:lang w:val="pt-BR"/>
        </w:rPr>
        <w:t> </w:t>
      </w:r>
      <w:r w:rsidRPr="008D38F6">
        <w:rPr>
          <w:rFonts w:cs="Tahoma"/>
          <w:szCs w:val="18"/>
          <w:lang w:val="pt-BR"/>
        </w:rPr>
        <w:t>corresponde ao desconto especificado na tabela abaixo (expresso como uma porcentagem das Taxas Excedentes/Cons</w:t>
      </w:r>
      <w:r w:rsidR="00A56037" w:rsidRPr="008D38F6">
        <w:rPr>
          <w:rFonts w:cs="Tahoma"/>
          <w:szCs w:val="18"/>
          <w:lang w:val="pt-BR"/>
        </w:rPr>
        <w:t>umo do Windows Azure).</w:t>
      </w:r>
    </w:p>
    <w:p w:rsidR="00776E3B" w:rsidRPr="008D38F6" w:rsidRDefault="00776E3B" w:rsidP="00776E3B">
      <w:pPr>
        <w:ind w:left="720"/>
        <w:outlineLvl w:val="1"/>
        <w:rPr>
          <w:lang w:val="pt-B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B06414"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8D38F6" w:rsidRDefault="00776E3B" w:rsidP="0044720D">
            <w:pPr>
              <w:jc w:val="center"/>
              <w:rPr>
                <w:rFonts w:eastAsia="Times New Roman" w:cs="Tahoma"/>
                <w:b/>
                <w:bCs/>
                <w:szCs w:val="18"/>
                <w:lang w:val="pt-BR"/>
              </w:rPr>
            </w:pPr>
            <w:r w:rsidRPr="008D38F6">
              <w:rPr>
                <w:rFonts w:cs="Tahoma"/>
                <w:b/>
                <w:bCs/>
                <w:szCs w:val="18"/>
                <w:lang w:val="pt-BR"/>
              </w:rPr>
              <w:t>Nível de Compromisso Monetário do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8D38F6" w:rsidRDefault="00776E3B" w:rsidP="0044720D">
            <w:pPr>
              <w:jc w:val="center"/>
              <w:rPr>
                <w:rFonts w:eastAsia="Times New Roman" w:cs="Tahoma"/>
                <w:b/>
                <w:bCs/>
                <w:szCs w:val="18"/>
                <w:lang w:val="pt-BR"/>
              </w:rPr>
            </w:pPr>
            <w:r w:rsidRPr="008D38F6">
              <w:rPr>
                <w:rFonts w:eastAsia="Times New Roman" w:cs="Tahoma"/>
                <w:b/>
                <w:bCs/>
                <w:szCs w:val="18"/>
                <w:lang w:val="pt-BR"/>
              </w:rPr>
              <w:t>Quantidade de Unidade de Compromisso Monetário Anual do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8D38F6" w:rsidRDefault="00776E3B" w:rsidP="0044720D">
            <w:pPr>
              <w:jc w:val="center"/>
              <w:rPr>
                <w:rFonts w:eastAsia="Times New Roman" w:cs="Tahoma"/>
                <w:b/>
                <w:bCs/>
                <w:szCs w:val="18"/>
                <w:lang w:val="pt-BR"/>
              </w:rPr>
            </w:pPr>
            <w:r w:rsidRPr="008D38F6">
              <w:rPr>
                <w:rFonts w:cs="Tahoma"/>
                <w:b/>
                <w:bCs/>
                <w:szCs w:val="18"/>
                <w:lang w:val="pt-BR"/>
              </w:rPr>
              <w:t>Desconto Sobre as Taxas de Consumo</w:t>
            </w:r>
          </w:p>
        </w:tc>
      </w:tr>
      <w:tr w:rsidR="00776E3B" w:rsidRPr="0041607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070" w:rsidRDefault="00776E3B" w:rsidP="0044720D">
            <w:pPr>
              <w:spacing w:before="100" w:beforeAutospacing="1" w:after="100" w:afterAutospacing="1"/>
              <w:ind w:right="259"/>
              <w:jc w:val="center"/>
              <w:rPr>
                <w:rFonts w:eastAsia="Times New Roman" w:cs="Tahoma"/>
                <w:szCs w:val="18"/>
              </w:rPr>
            </w:pPr>
            <w:r w:rsidRPr="00416070">
              <w:rPr>
                <w:rFonts w:eastAsia="Times New Roman" w:cs="Tahoma"/>
                <w:szCs w:val="18"/>
              </w:rPr>
              <w:t>Nível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070" w:rsidRDefault="00776E3B" w:rsidP="0044720D">
            <w:pPr>
              <w:spacing w:before="100" w:beforeAutospacing="1" w:after="100" w:afterAutospacing="1"/>
              <w:ind w:right="180"/>
              <w:jc w:val="center"/>
              <w:rPr>
                <w:rFonts w:eastAsia="Times New Roman" w:cs="Tahoma"/>
                <w:szCs w:val="18"/>
              </w:rPr>
            </w:pPr>
            <w:r w:rsidRPr="00416070">
              <w:rPr>
                <w:rFonts w:eastAsia="Times New Roman" w:cs="Tahoma"/>
                <w:szCs w:val="18"/>
              </w:rPr>
              <w:t>Até 1.799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416070" w:rsidRDefault="00776E3B" w:rsidP="0044720D">
            <w:pPr>
              <w:spacing w:before="100" w:beforeAutospacing="1" w:after="100" w:afterAutospacing="1"/>
              <w:ind w:right="180"/>
              <w:jc w:val="center"/>
              <w:rPr>
                <w:rFonts w:eastAsia="Times New Roman" w:cs="Tahoma"/>
                <w:szCs w:val="18"/>
              </w:rPr>
            </w:pPr>
            <w:r w:rsidRPr="00416070">
              <w:rPr>
                <w:rFonts w:eastAsia="Times New Roman" w:cs="Tahoma"/>
                <w:szCs w:val="18"/>
              </w:rPr>
              <w:t>23%</w:t>
            </w:r>
          </w:p>
        </w:tc>
      </w:tr>
      <w:tr w:rsidR="00776E3B" w:rsidRPr="0041607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070" w:rsidRDefault="00776E3B" w:rsidP="0044720D">
            <w:pPr>
              <w:spacing w:before="100" w:beforeAutospacing="1" w:after="100" w:afterAutospacing="1"/>
              <w:ind w:right="259"/>
              <w:jc w:val="center"/>
              <w:rPr>
                <w:rFonts w:eastAsia="Times New Roman" w:cs="Tahoma"/>
                <w:szCs w:val="18"/>
              </w:rPr>
            </w:pPr>
            <w:r w:rsidRPr="00416070">
              <w:rPr>
                <w:rFonts w:eastAsia="Times New Roman" w:cs="Tahoma"/>
                <w:szCs w:val="18"/>
              </w:rPr>
              <w:t>Nível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070" w:rsidRDefault="00776E3B" w:rsidP="0044720D">
            <w:pPr>
              <w:spacing w:before="100" w:beforeAutospacing="1" w:after="100" w:afterAutospacing="1"/>
              <w:ind w:right="180"/>
              <w:jc w:val="center"/>
              <w:rPr>
                <w:rFonts w:eastAsia="Times New Roman" w:cs="Tahoma"/>
                <w:szCs w:val="18"/>
              </w:rPr>
            </w:pPr>
            <w:r w:rsidRPr="00416070">
              <w:rPr>
                <w:rFonts w:eastAsia="Times New Roman" w:cs="Tahoma"/>
                <w:szCs w:val="18"/>
              </w:rPr>
              <w:t>1.800 - 4.799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416070" w:rsidRDefault="00776E3B" w:rsidP="0044720D">
            <w:pPr>
              <w:spacing w:before="100" w:beforeAutospacing="1" w:after="100" w:afterAutospacing="1"/>
              <w:ind w:right="180"/>
              <w:jc w:val="center"/>
              <w:rPr>
                <w:rFonts w:eastAsia="Times New Roman" w:cs="Tahoma"/>
                <w:szCs w:val="18"/>
              </w:rPr>
            </w:pPr>
            <w:r w:rsidRPr="00416070">
              <w:rPr>
                <w:rFonts w:eastAsia="Times New Roman" w:cs="Tahoma"/>
                <w:szCs w:val="18"/>
              </w:rPr>
              <w:t>26%</w:t>
            </w:r>
          </w:p>
        </w:tc>
      </w:tr>
      <w:tr w:rsidR="00776E3B" w:rsidRPr="0041607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070" w:rsidRDefault="00776E3B" w:rsidP="0044720D">
            <w:pPr>
              <w:spacing w:before="100" w:beforeAutospacing="1" w:after="100" w:afterAutospacing="1"/>
              <w:ind w:right="259"/>
              <w:jc w:val="center"/>
              <w:rPr>
                <w:rFonts w:eastAsia="Times New Roman" w:cs="Tahoma"/>
                <w:szCs w:val="18"/>
              </w:rPr>
            </w:pPr>
            <w:r w:rsidRPr="00416070">
              <w:rPr>
                <w:rFonts w:eastAsia="Times New Roman" w:cs="Tahoma"/>
                <w:szCs w:val="18"/>
              </w:rPr>
              <w:t>Nível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070" w:rsidRDefault="00776E3B" w:rsidP="0044720D">
            <w:pPr>
              <w:spacing w:before="100" w:beforeAutospacing="1" w:after="100" w:afterAutospacing="1"/>
              <w:ind w:right="180"/>
              <w:jc w:val="center"/>
              <w:rPr>
                <w:rFonts w:eastAsia="Times New Roman" w:cs="Tahoma"/>
                <w:szCs w:val="18"/>
              </w:rPr>
            </w:pPr>
            <w:r w:rsidRPr="00416070">
              <w:rPr>
                <w:rFonts w:eastAsia="Times New Roman" w:cs="Tahoma"/>
                <w:szCs w:val="18"/>
              </w:rPr>
              <w:t>4.800 - 11.999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416070" w:rsidRDefault="00776E3B" w:rsidP="0044720D">
            <w:pPr>
              <w:spacing w:before="100" w:beforeAutospacing="1" w:after="100" w:afterAutospacing="1"/>
              <w:ind w:right="180"/>
              <w:jc w:val="center"/>
              <w:rPr>
                <w:rFonts w:eastAsia="Times New Roman" w:cs="Tahoma"/>
                <w:szCs w:val="18"/>
              </w:rPr>
            </w:pPr>
            <w:r w:rsidRPr="00416070">
              <w:rPr>
                <w:rFonts w:eastAsia="Times New Roman" w:cs="Tahoma"/>
                <w:szCs w:val="18"/>
              </w:rPr>
              <w:t>30%</w:t>
            </w:r>
          </w:p>
        </w:tc>
      </w:tr>
      <w:tr w:rsidR="00776E3B" w:rsidRPr="0041607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070" w:rsidRDefault="00776E3B" w:rsidP="0044720D">
            <w:pPr>
              <w:spacing w:before="100" w:beforeAutospacing="1" w:after="100" w:afterAutospacing="1"/>
              <w:ind w:right="259"/>
              <w:jc w:val="center"/>
              <w:rPr>
                <w:rFonts w:eastAsia="Times New Roman" w:cs="Tahoma"/>
                <w:szCs w:val="18"/>
              </w:rPr>
            </w:pPr>
            <w:r w:rsidRPr="00416070">
              <w:rPr>
                <w:rFonts w:eastAsia="Times New Roman" w:cs="Tahoma"/>
                <w:szCs w:val="18"/>
              </w:rPr>
              <w:t>Nível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070" w:rsidRDefault="00776E3B" w:rsidP="0044720D">
            <w:pPr>
              <w:spacing w:before="100" w:beforeAutospacing="1" w:after="100" w:afterAutospacing="1"/>
              <w:ind w:right="180"/>
              <w:jc w:val="center"/>
              <w:rPr>
                <w:rFonts w:eastAsia="Times New Roman" w:cs="Tahoma"/>
                <w:szCs w:val="18"/>
              </w:rPr>
            </w:pPr>
            <w:r w:rsidRPr="00416070">
              <w:rPr>
                <w:rFonts w:eastAsia="Times New Roman" w:cs="Tahoma"/>
                <w:szCs w:val="18"/>
              </w:rPr>
              <w:t>12.000 +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416070" w:rsidRDefault="00776E3B" w:rsidP="0044720D">
            <w:pPr>
              <w:spacing w:before="100" w:beforeAutospacing="1" w:after="100" w:afterAutospacing="1"/>
              <w:ind w:right="180"/>
              <w:jc w:val="center"/>
              <w:rPr>
                <w:rFonts w:eastAsia="Times New Roman" w:cs="Tahoma"/>
                <w:szCs w:val="18"/>
              </w:rPr>
            </w:pPr>
            <w:r w:rsidRPr="00416070">
              <w:rPr>
                <w:rFonts w:eastAsia="Times New Roman" w:cs="Tahoma"/>
                <w:szCs w:val="18"/>
              </w:rPr>
              <w:t>35%</w:t>
            </w:r>
          </w:p>
        </w:tc>
      </w:tr>
    </w:tbl>
    <w:p w:rsidR="006A5DAE" w:rsidRPr="008D38F6" w:rsidRDefault="000D6A8D" w:rsidP="002E57CF">
      <w:pPr>
        <w:ind w:left="1080"/>
        <w:outlineLvl w:val="1"/>
        <w:rPr>
          <w:lang w:val="pt-BR"/>
        </w:rPr>
      </w:pPr>
      <w:r w:rsidRPr="008D38F6">
        <w:rPr>
          <w:rFonts w:eastAsia="Times New Roman" w:cs="Tahoma"/>
          <w:bCs/>
          <w:i/>
          <w:szCs w:val="18"/>
          <w:lang w:val="pt-BR"/>
        </w:rPr>
        <w:t>*</w:t>
      </w:r>
      <w:r w:rsidRPr="008D38F6">
        <w:rPr>
          <w:rFonts w:eastAsia="Times New Roman" w:cs="Tahoma"/>
          <w:b/>
          <w:bCs/>
          <w:szCs w:val="18"/>
          <w:lang w:val="pt-BR"/>
        </w:rPr>
        <w:t xml:space="preserve"> </w:t>
      </w:r>
      <w:r w:rsidR="00AA0329" w:rsidRPr="008D38F6">
        <w:rPr>
          <w:rFonts w:cs="Tahoma"/>
          <w:i/>
          <w:sz w:val="16"/>
          <w:szCs w:val="18"/>
          <w:lang w:val="pt-BR"/>
        </w:rPr>
        <w:t>Unidade é um valor monetário na moeda aplicável</w:t>
      </w:r>
    </w:p>
    <w:p w:rsidR="00776E3B" w:rsidRPr="008D38F6" w:rsidRDefault="00776E3B" w:rsidP="00776E3B">
      <w:pPr>
        <w:outlineLvl w:val="1"/>
        <w:rPr>
          <w:lang w:val="pt-BR"/>
        </w:rPr>
      </w:pPr>
    </w:p>
    <w:p w:rsidR="00776E3B" w:rsidRPr="008D38F6" w:rsidRDefault="00776E3B" w:rsidP="00776E3B">
      <w:pPr>
        <w:outlineLvl w:val="1"/>
        <w:rPr>
          <w:lang w:val="pt-BR"/>
        </w:rPr>
      </w:pPr>
      <w:r w:rsidRPr="008D38F6">
        <w:rPr>
          <w:rFonts w:cs="Tahoma"/>
          <w:szCs w:val="18"/>
          <w:lang w:val="pt-BR"/>
        </w:rPr>
        <w:t>Um cliente pode aumentar sua quantidade de Compromisso Monetário anual do Windows Azure e qualificar-se para</w:t>
      </w:r>
      <w:r w:rsidR="00571BC7" w:rsidRPr="008D38F6">
        <w:rPr>
          <w:rFonts w:cs="Tahoma"/>
          <w:szCs w:val="18"/>
          <w:lang w:val="pt-BR"/>
        </w:rPr>
        <w:t> </w:t>
      </w:r>
      <w:r w:rsidRPr="008D38F6">
        <w:rPr>
          <w:rFonts w:cs="Tahoma"/>
          <w:szCs w:val="18"/>
          <w:lang w:val="pt-BR"/>
        </w:rPr>
        <w:t>um Nível mais alto a qualquer momento durante a vigência da assinatura do Windows Azure.</w:t>
      </w:r>
      <w:r w:rsidR="00FB5496" w:rsidRPr="008D38F6">
        <w:rPr>
          <w:rFonts w:cs="Tahoma"/>
          <w:szCs w:val="18"/>
          <w:lang w:val="pt-BR"/>
        </w:rPr>
        <w:t xml:space="preserve"> </w:t>
      </w:r>
      <w:r w:rsidRPr="008D38F6">
        <w:rPr>
          <w:rFonts w:cs="Tahoma"/>
          <w:szCs w:val="18"/>
          <w:lang w:val="pt-BR"/>
        </w:rPr>
        <w:t>As novas Taxas de</w:t>
      </w:r>
      <w:r w:rsidR="00571BC7" w:rsidRPr="008D38F6">
        <w:rPr>
          <w:rFonts w:cs="Tahoma"/>
          <w:szCs w:val="18"/>
          <w:lang w:val="pt-BR"/>
        </w:rPr>
        <w:t> </w:t>
      </w:r>
      <w:r w:rsidRPr="008D38F6">
        <w:rPr>
          <w:rFonts w:cs="Tahoma"/>
          <w:szCs w:val="18"/>
          <w:lang w:val="pt-BR"/>
        </w:rPr>
        <w:t>Compromisso se aplicarão ao uso que o cliente faz dos Serviços do Windows Azure, começando no primeiro dia</w:t>
      </w:r>
      <w:r w:rsidR="00571BC7" w:rsidRPr="008D38F6">
        <w:rPr>
          <w:rFonts w:cs="Tahoma"/>
          <w:szCs w:val="18"/>
          <w:lang w:val="pt-BR"/>
        </w:rPr>
        <w:t> </w:t>
      </w:r>
      <w:r w:rsidRPr="008D38F6">
        <w:rPr>
          <w:rFonts w:cs="Tahoma"/>
          <w:szCs w:val="18"/>
          <w:lang w:val="pt-BR"/>
        </w:rPr>
        <w:t>do mês calendário depois que o cliente ajusta sua quantidade de licenças de Compromisso Monetário anual do</w:t>
      </w:r>
      <w:r w:rsidR="00073D33" w:rsidRPr="008D38F6">
        <w:rPr>
          <w:rFonts w:cs="Tahoma"/>
          <w:szCs w:val="18"/>
          <w:lang w:val="pt-BR"/>
        </w:rPr>
        <w:t> </w:t>
      </w:r>
      <w:r w:rsidR="00A56037" w:rsidRPr="008D38F6">
        <w:rPr>
          <w:rFonts w:cs="Tahoma"/>
          <w:szCs w:val="18"/>
          <w:lang w:val="pt-BR"/>
        </w:rPr>
        <w:t>Windows Azure.</w:t>
      </w:r>
    </w:p>
    <w:p w:rsidR="00776E3B" w:rsidRPr="008D38F6" w:rsidRDefault="00776E3B" w:rsidP="00776E3B">
      <w:pPr>
        <w:outlineLvl w:val="1"/>
        <w:rPr>
          <w:lang w:val="pt-BR"/>
        </w:rPr>
      </w:pPr>
    </w:p>
    <w:p w:rsidR="00776E3B" w:rsidRPr="008D38F6" w:rsidRDefault="00776E3B" w:rsidP="005242EC">
      <w:pPr>
        <w:outlineLvl w:val="1"/>
        <w:rPr>
          <w:lang w:val="pt-BR"/>
        </w:rPr>
      </w:pPr>
      <w:r w:rsidRPr="008D38F6">
        <w:rPr>
          <w:rFonts w:eastAsia="Times New Roman" w:cs="Tahoma"/>
          <w:szCs w:val="18"/>
          <w:lang w:val="pt-BR"/>
        </w:rPr>
        <w:t xml:space="preserve">A Tabela de Preços ao Cliente refletirá os preços da Taxa de Compromisso Nível 1. Os preços reais da </w:t>
      </w:r>
      <w:r w:rsidRPr="008D38F6">
        <w:rPr>
          <w:rFonts w:cs="Tahoma"/>
          <w:szCs w:val="18"/>
          <w:lang w:val="pt-BR"/>
        </w:rPr>
        <w:t>Taxa de Compromisso serão mostrados na página Exibição da Conta no Portal Corporativo do Windows Azure. Os termos de</w:t>
      </w:r>
      <w:r w:rsidR="00571BC7" w:rsidRPr="008D38F6">
        <w:rPr>
          <w:rFonts w:cs="Tahoma"/>
          <w:szCs w:val="18"/>
          <w:lang w:val="pt-BR"/>
        </w:rPr>
        <w:t> </w:t>
      </w:r>
      <w:r w:rsidRPr="008D38F6">
        <w:rPr>
          <w:rFonts w:cs="Tahoma"/>
          <w:szCs w:val="18"/>
          <w:lang w:val="pt-BR"/>
        </w:rPr>
        <w:t>pagamento e preços dos Serviços do Windows Azure adquiridos por meio de revendedores serão determinados pelo contrato entre o cliente e seu revendedor.</w:t>
      </w:r>
    </w:p>
    <w:p w:rsidR="0067627F" w:rsidRPr="008D38F6" w:rsidRDefault="0067627F" w:rsidP="00776E3B">
      <w:pPr>
        <w:rPr>
          <w:lang w:val="pt-BR"/>
        </w:rPr>
      </w:pPr>
    </w:p>
    <w:p w:rsidR="00456002" w:rsidRPr="008D38F6" w:rsidRDefault="00456002" w:rsidP="00456002">
      <w:pPr>
        <w:pStyle w:val="Heading2"/>
        <w:ind w:left="0"/>
        <w:rPr>
          <w:lang w:val="pt-BR"/>
        </w:rPr>
      </w:pPr>
      <w:bookmarkStart w:id="734" w:name="_Toc328145984"/>
      <w:bookmarkStart w:id="735" w:name="_Toc336338215"/>
      <w:bookmarkStart w:id="736" w:name="_Toc352234283"/>
      <w:r w:rsidRPr="00416070">
        <w:rPr>
          <w:rFonts w:ascii="Tahoma" w:hAnsi="Tahoma" w:cs="Tahoma"/>
        </w:rPr>
        <w:t>Disponibilidade Regional dos Serviços Online</w:t>
      </w:r>
      <w:bookmarkEnd w:id="734"/>
      <w:bookmarkEnd w:id="735"/>
      <w:bookmarkEnd w:id="736"/>
    </w:p>
    <w:p w:rsidR="00456002" w:rsidRPr="008D38F6" w:rsidRDefault="00456002" w:rsidP="00DF28F2">
      <w:pPr>
        <w:outlineLvl w:val="2"/>
        <w:rPr>
          <w:lang w:val="pt-BR"/>
        </w:rPr>
      </w:pPr>
    </w:p>
    <w:p w:rsidR="0067627F" w:rsidRPr="008D38F6" w:rsidRDefault="00456002" w:rsidP="0067627F">
      <w:pPr>
        <w:outlineLvl w:val="2"/>
        <w:rPr>
          <w:lang w:val="pt-BR"/>
        </w:rPr>
      </w:pPr>
      <w:r w:rsidRPr="008D38F6">
        <w:rPr>
          <w:rFonts w:cs="Tahoma"/>
          <w:szCs w:val="18"/>
          <w:lang w:val="pt-BR"/>
        </w:rPr>
        <w:t xml:space="preserve">Visite o site </w:t>
      </w:r>
      <w:hyperlink r:id="rId26" w:anchor="international" w:history="1">
        <w:r w:rsidRPr="008D38F6">
          <w:rPr>
            <w:rStyle w:val="Hyperlink"/>
            <w:lang w:val="pt-BR"/>
          </w:rPr>
          <w:t>http://www.microsoft.com/online/faq.aspx#international</w:t>
        </w:r>
      </w:hyperlink>
      <w:r w:rsidR="00FB5496" w:rsidRPr="008D38F6">
        <w:rPr>
          <w:color w:val="1F497D"/>
          <w:lang w:val="pt-BR"/>
        </w:rPr>
        <w:t xml:space="preserve"> </w:t>
      </w:r>
      <w:r w:rsidRPr="008D38F6">
        <w:rPr>
          <w:color w:val="000000"/>
          <w:lang w:val="pt-BR"/>
        </w:rPr>
        <w:t>para obter uma lista de países e regiões nos quais os Serviços Online estão disponíveis.</w:t>
      </w:r>
      <w:r w:rsidR="00FB5496" w:rsidRPr="008D38F6">
        <w:rPr>
          <w:color w:val="000000"/>
          <w:lang w:val="pt-BR"/>
        </w:rPr>
        <w:t xml:space="preserve"> </w:t>
      </w:r>
    </w:p>
    <w:p w:rsidR="0067627F" w:rsidRPr="008D38F6" w:rsidRDefault="0067627F" w:rsidP="0067627F">
      <w:pPr>
        <w:outlineLvl w:val="2"/>
        <w:rPr>
          <w:lang w:val="pt-BR"/>
        </w:rPr>
      </w:pPr>
    </w:p>
    <w:p w:rsidR="00456002" w:rsidRPr="00416070" w:rsidRDefault="00456002" w:rsidP="00456002">
      <w:pPr>
        <w:pStyle w:val="Heading2"/>
        <w:ind w:left="0"/>
      </w:pPr>
      <w:bookmarkStart w:id="737" w:name="_Toc328145985"/>
      <w:bookmarkStart w:id="738" w:name="_Toc336338216"/>
      <w:bookmarkStart w:id="739" w:name="_Toc352234284"/>
      <w:r w:rsidRPr="00416070">
        <w:rPr>
          <w:rFonts w:ascii="Tahoma" w:hAnsi="Tahoma" w:cs="Tahoma"/>
        </w:rPr>
        <w:t>Termos adicionais de Serviços Online</w:t>
      </w:r>
      <w:bookmarkEnd w:id="737"/>
      <w:bookmarkEnd w:id="738"/>
      <w:bookmarkEnd w:id="739"/>
    </w:p>
    <w:p w:rsidR="00456002" w:rsidRPr="008D38F6" w:rsidRDefault="00456002" w:rsidP="00DF28F2">
      <w:pPr>
        <w:outlineLvl w:val="2"/>
        <w:rPr>
          <w:lang w:val="pt-BR"/>
        </w:rPr>
      </w:pPr>
    </w:p>
    <w:p w:rsidR="00456002" w:rsidRPr="008D38F6" w:rsidRDefault="00456002" w:rsidP="00CF3FEE">
      <w:pPr>
        <w:rPr>
          <w:lang w:val="pt-BR"/>
        </w:rPr>
      </w:pPr>
      <w:r w:rsidRPr="008D38F6">
        <w:rPr>
          <w:lang w:val="pt-BR"/>
        </w:rPr>
        <w:t>Esta Lista de Produtos pode conter informações adicionais sobre produtos específicos.</w:t>
      </w:r>
      <w:r w:rsidR="00FB5496" w:rsidRPr="008D38F6">
        <w:rPr>
          <w:lang w:val="pt-BR"/>
        </w:rPr>
        <w:t xml:space="preserve"> </w:t>
      </w:r>
      <w:r w:rsidRPr="008D38F6">
        <w:rPr>
          <w:lang w:val="pt-BR"/>
        </w:rPr>
        <w:t>Para saber mais, consulte as</w:t>
      </w:r>
      <w:r w:rsidR="00FE2B0B" w:rsidRPr="008D38F6">
        <w:rPr>
          <w:lang w:val="pt-BR"/>
        </w:rPr>
        <w:t> </w:t>
      </w:r>
      <w:r w:rsidRPr="008D38F6">
        <w:rPr>
          <w:lang w:val="pt-BR"/>
        </w:rPr>
        <w:t>seções sobre produtos neste documento.</w:t>
      </w:r>
    </w:p>
    <w:p w:rsidR="00456002" w:rsidRPr="008D38F6" w:rsidRDefault="00456002" w:rsidP="00CF3FEE">
      <w:pPr>
        <w:rPr>
          <w:lang w:val="pt-BR"/>
        </w:rPr>
      </w:pPr>
    </w:p>
    <w:p w:rsidR="00456002" w:rsidRPr="008D38F6" w:rsidRDefault="00456002" w:rsidP="00CF3FEE">
      <w:pPr>
        <w:rPr>
          <w:lang w:val="pt-BR"/>
        </w:rPr>
      </w:pPr>
      <w:r w:rsidRPr="008D38F6">
        <w:rPr>
          <w:lang w:val="pt-BR"/>
        </w:rPr>
        <w:t>Os Direitos de Uso de Produto encontrados no site http://www.microsoftvolumelicensing.com/userights/PUR.aspx estabelecem outros termos e condições gerais e específicos a produtos que regem o uso dos serviços online.</w:t>
      </w:r>
      <w:r w:rsidR="00FB5496" w:rsidRPr="008D38F6">
        <w:rPr>
          <w:lang w:val="pt-BR"/>
        </w:rPr>
        <w:t xml:space="preserve"> </w:t>
      </w:r>
      <w:r w:rsidRPr="008D38F6">
        <w:rPr>
          <w:lang w:val="pt-BR"/>
        </w:rPr>
        <w:t>Os</w:t>
      </w:r>
      <w:r w:rsidR="00571BC7" w:rsidRPr="008D38F6">
        <w:rPr>
          <w:lang w:val="pt-BR"/>
        </w:rPr>
        <w:t> </w:t>
      </w:r>
      <w:r w:rsidRPr="008D38F6">
        <w:rPr>
          <w:lang w:val="pt-BR"/>
        </w:rPr>
        <w:t>direitos de uso de produto dos serviços online estão sujeitos a alterações conforme descrito na seção sobre Serviços Online desse documento.</w:t>
      </w:r>
    </w:p>
    <w:p w:rsidR="00456002" w:rsidRPr="008D38F6" w:rsidRDefault="00456002" w:rsidP="00CF3FEE">
      <w:pPr>
        <w:rPr>
          <w:lang w:val="pt-BR"/>
        </w:rPr>
      </w:pPr>
    </w:p>
    <w:p w:rsidR="00FE2B0B" w:rsidRPr="008D38F6" w:rsidRDefault="00456002" w:rsidP="005B372B">
      <w:pPr>
        <w:rPr>
          <w:lang w:val="pt-BR"/>
        </w:rPr>
      </w:pPr>
      <w:bookmarkStart w:id="740" w:name="_Toc325313160"/>
      <w:r w:rsidRPr="008D38F6">
        <w:rPr>
          <w:lang w:val="pt-BR"/>
        </w:rPr>
        <w:t>Os Termos de Pagamento e Preços de Serviços Online não se aplicam aos Serviços Online obtidos de acordo com</w:t>
      </w:r>
      <w:r w:rsidR="00571BC7" w:rsidRPr="008D38F6">
        <w:rPr>
          <w:lang w:val="pt-BR"/>
        </w:rPr>
        <w:t> </w:t>
      </w:r>
      <w:r w:rsidRPr="008D38F6">
        <w:rPr>
          <w:lang w:val="pt-BR"/>
        </w:rPr>
        <w:t>o</w:t>
      </w:r>
      <w:r w:rsidR="00571BC7" w:rsidRPr="008D38F6">
        <w:rPr>
          <w:lang w:val="pt-BR"/>
        </w:rPr>
        <w:t> </w:t>
      </w:r>
      <w:r w:rsidRPr="008D38F6">
        <w:rPr>
          <w:lang w:val="pt-BR"/>
        </w:rPr>
        <w:t>Contrato Microsoft Online Subscription.</w:t>
      </w:r>
      <w:r w:rsidR="00FB5496" w:rsidRPr="008D38F6">
        <w:rPr>
          <w:lang w:val="pt-BR"/>
        </w:rPr>
        <w:t xml:space="preserve"> </w:t>
      </w:r>
      <w:r w:rsidRPr="008D38F6">
        <w:rPr>
          <w:lang w:val="pt-BR"/>
        </w:rPr>
        <w:t>Todos os termos aplicáveis dos Serviços Online obtidos de acordo</w:t>
      </w:r>
      <w:r w:rsidR="00571BC7" w:rsidRPr="008D38F6">
        <w:rPr>
          <w:lang w:val="pt-BR"/>
        </w:rPr>
        <w:t> </w:t>
      </w:r>
      <w:r w:rsidRPr="008D38F6">
        <w:rPr>
          <w:lang w:val="pt-BR"/>
        </w:rPr>
        <w:t>com</w:t>
      </w:r>
      <w:r w:rsidR="00571BC7" w:rsidRPr="008D38F6">
        <w:rPr>
          <w:lang w:val="pt-BR"/>
        </w:rPr>
        <w:t> </w:t>
      </w:r>
      <w:r w:rsidRPr="008D38F6">
        <w:rPr>
          <w:lang w:val="pt-BR"/>
        </w:rPr>
        <w:t>o</w:t>
      </w:r>
      <w:r w:rsidR="00571BC7" w:rsidRPr="008D38F6">
        <w:rPr>
          <w:lang w:val="pt-BR"/>
        </w:rPr>
        <w:t> </w:t>
      </w:r>
      <w:r w:rsidRPr="008D38F6">
        <w:rPr>
          <w:lang w:val="pt-BR"/>
        </w:rPr>
        <w:t>Contrato Microsoft Online Subscription estão contidos nesse contrato e no Portal do Cliente do</w:t>
      </w:r>
      <w:r w:rsidR="00571BC7" w:rsidRPr="008D38F6">
        <w:rPr>
          <w:lang w:val="pt-BR"/>
        </w:rPr>
        <w:t> </w:t>
      </w:r>
      <w:r w:rsidRPr="008D38F6">
        <w:rPr>
          <w:lang w:val="pt-BR"/>
        </w:rPr>
        <w:t>Microsoft Online Services.</w:t>
      </w:r>
      <w:bookmarkEnd w:id="740"/>
    </w:p>
    <w:p w:rsidR="00FE2B0B" w:rsidRPr="008D38F6" w:rsidRDefault="00FE2B0B" w:rsidP="005B372B">
      <w:pPr>
        <w:rPr>
          <w:lang w:val="pt-BR"/>
        </w:rPr>
        <w:sectPr w:rsidR="00FE2B0B" w:rsidRPr="008D38F6" w:rsidSect="00B40674">
          <w:endnotePr>
            <w:numFmt w:val="decimal"/>
          </w:endnotePr>
          <w:pgSz w:w="12240" w:h="15840" w:code="1"/>
          <w:pgMar w:top="1170" w:right="1440" w:bottom="720" w:left="1440" w:header="720" w:footer="720" w:gutter="0"/>
          <w:cols w:space="720"/>
          <w:docGrid w:linePitch="360"/>
        </w:sectPr>
      </w:pPr>
    </w:p>
    <w:p w:rsidR="00026546" w:rsidRPr="008D38F6" w:rsidRDefault="00026546" w:rsidP="005B372B">
      <w:pPr>
        <w:rPr>
          <w:sz w:val="2"/>
          <w:szCs w:val="2"/>
          <w:lang w:val="pt-BR"/>
        </w:rPr>
      </w:pPr>
    </w:p>
    <w:p w:rsidR="00023FE7" w:rsidRPr="00416070" w:rsidRDefault="00A33112" w:rsidP="003179E3">
      <w:pPr>
        <w:pStyle w:val="Heading1"/>
        <w:spacing w:before="0"/>
      </w:pPr>
      <w:bookmarkStart w:id="741" w:name="_Toc336338217"/>
      <w:bookmarkStart w:id="742" w:name="_Toc352234285"/>
      <w:r w:rsidRPr="00416070">
        <w:t>SEÇÃO 6 – regras de renovação DO Software</w:t>
      </w:r>
      <w:r w:rsidR="00571BC7" w:rsidRPr="008D38F6">
        <w:rPr>
          <w:lang w:val="pt-BR"/>
        </w:rPr>
        <w:t> </w:t>
      </w:r>
      <w:r w:rsidRPr="00416070">
        <w:t>Assurance</w:t>
      </w:r>
      <w:bookmarkEnd w:id="741"/>
      <w:bookmarkEnd w:id="742"/>
    </w:p>
    <w:p w:rsidR="00865A60" w:rsidRPr="008D38F6" w:rsidRDefault="00865A60" w:rsidP="00865A60">
      <w:pPr>
        <w:rPr>
          <w:b/>
          <w:sz w:val="24"/>
          <w:szCs w:val="24"/>
          <w:lang w:val="pt-BR"/>
        </w:rPr>
      </w:pPr>
    </w:p>
    <w:p w:rsidR="00171817" w:rsidRPr="00416070" w:rsidRDefault="00171817" w:rsidP="00171817">
      <w:pPr>
        <w:pStyle w:val="Heading4"/>
        <w:tabs>
          <w:tab w:val="clear" w:pos="720"/>
          <w:tab w:val="num" w:pos="0"/>
        </w:tabs>
        <w:ind w:left="0" w:firstLine="0"/>
      </w:pPr>
      <w:bookmarkStart w:id="743" w:name="_Toc323159745"/>
      <w:bookmarkStart w:id="744" w:name="_Toc336338218"/>
      <w:bookmarkStart w:id="745" w:name="_Toc352234286"/>
      <w:r w:rsidRPr="00416070">
        <w:rPr>
          <w:rFonts w:ascii="Tahoma" w:hAnsi="Tahoma" w:cs="Tahoma"/>
          <w:sz w:val="24"/>
        </w:rPr>
        <w:t>Licença Open</w:t>
      </w:r>
      <w:bookmarkEnd w:id="743"/>
      <w:bookmarkEnd w:id="744"/>
      <w:bookmarkEnd w:id="745"/>
    </w:p>
    <w:p w:rsidR="00171817" w:rsidRPr="00416070" w:rsidRDefault="00171817" w:rsidP="00865A60">
      <w:pPr>
        <w:pStyle w:val="Heading4"/>
        <w:tabs>
          <w:tab w:val="clear" w:pos="720"/>
          <w:tab w:val="num" w:pos="0"/>
        </w:tabs>
        <w:spacing w:before="0"/>
        <w:ind w:left="0" w:firstLine="0"/>
        <w:rPr>
          <w:rFonts w:ascii="Tahoma" w:hAnsi="Tahoma" w:cs="Tahoma"/>
          <w:b w:val="0"/>
          <w:sz w:val="18"/>
          <w:szCs w:val="18"/>
        </w:rPr>
      </w:pPr>
    </w:p>
    <w:p w:rsidR="00171817" w:rsidRPr="008D38F6" w:rsidRDefault="00171817" w:rsidP="005242EC">
      <w:pPr>
        <w:pStyle w:val="StyleHeading22Left138Firstline0"/>
        <w:tabs>
          <w:tab w:val="num" w:pos="0"/>
        </w:tabs>
        <w:ind w:left="0"/>
        <w:jc w:val="left"/>
        <w:rPr>
          <w:rFonts w:ascii="Tahoma" w:hAnsi="Tahoma" w:cs="Tahoma"/>
          <w:sz w:val="18"/>
          <w:szCs w:val="18"/>
          <w:lang w:val="pt-BR"/>
        </w:rPr>
      </w:pPr>
      <w:r w:rsidRPr="008D38F6">
        <w:rPr>
          <w:rFonts w:ascii="Tahoma" w:hAnsi="Tahoma" w:cs="Tahoma"/>
          <w:sz w:val="18"/>
          <w:szCs w:val="18"/>
          <w:lang w:val="pt-BR"/>
        </w:rPr>
        <w:t>A cobertura do Software Assurance solicitada sob um número de autorização de Licença Open se encerrará ao</w:t>
      </w:r>
      <w:r w:rsidR="00571BC7" w:rsidRPr="008D38F6">
        <w:rPr>
          <w:rFonts w:ascii="Tahoma" w:hAnsi="Tahoma" w:cs="Tahoma"/>
          <w:sz w:val="18"/>
          <w:szCs w:val="18"/>
          <w:lang w:val="pt-BR"/>
        </w:rPr>
        <w:t> </w:t>
      </w:r>
      <w:r w:rsidRPr="008D38F6">
        <w:rPr>
          <w:rFonts w:ascii="Tahoma" w:hAnsi="Tahoma" w:cs="Tahoma"/>
          <w:sz w:val="18"/>
          <w:szCs w:val="18"/>
          <w:lang w:val="pt-BR"/>
        </w:rPr>
        <w:t>término desse número. Para renovar essa cobertura, os clientes deverão enviar um pedido de renovação do</w:t>
      </w:r>
      <w:r w:rsidR="00571BC7" w:rsidRPr="008D38F6">
        <w:rPr>
          <w:rFonts w:ascii="Tahoma" w:hAnsi="Tahoma" w:cs="Tahoma"/>
          <w:sz w:val="18"/>
          <w:szCs w:val="18"/>
          <w:lang w:val="pt-BR"/>
        </w:rPr>
        <w:t> </w:t>
      </w:r>
      <w:r w:rsidRPr="008D38F6">
        <w:rPr>
          <w:rFonts w:ascii="Tahoma" w:hAnsi="Tahoma" w:cs="Tahoma"/>
          <w:sz w:val="18"/>
          <w:szCs w:val="18"/>
          <w:lang w:val="pt-BR"/>
        </w:rPr>
        <w:t>Software Assurance para todas as cópias de todos os produtos para os quais desejem renovar a cobertura dentro</w:t>
      </w:r>
      <w:r w:rsidR="00571BC7" w:rsidRPr="008D38F6">
        <w:rPr>
          <w:rFonts w:ascii="Tahoma" w:hAnsi="Tahoma" w:cs="Tahoma"/>
          <w:sz w:val="18"/>
          <w:szCs w:val="18"/>
          <w:lang w:val="pt-BR"/>
        </w:rPr>
        <w:t> </w:t>
      </w:r>
      <w:r w:rsidRPr="008D38F6">
        <w:rPr>
          <w:rFonts w:ascii="Tahoma" w:hAnsi="Tahoma" w:cs="Tahoma"/>
          <w:sz w:val="18"/>
          <w:szCs w:val="18"/>
          <w:lang w:val="pt-BR"/>
        </w:rPr>
        <w:t>de 90 dias após a data de término do número de autorização. Os clientes poderão solicitar o Software Assurance sem precisar solicitar uma Licença simultaneamente, desde que a cobertura do Software Assurance seja</w:t>
      </w:r>
      <w:r w:rsidR="00571BC7" w:rsidRPr="008D38F6">
        <w:rPr>
          <w:rFonts w:ascii="Tahoma" w:hAnsi="Tahoma" w:cs="Tahoma"/>
          <w:sz w:val="18"/>
          <w:szCs w:val="18"/>
          <w:lang w:val="pt-BR"/>
        </w:rPr>
        <w:t> </w:t>
      </w:r>
      <w:r w:rsidRPr="008D38F6">
        <w:rPr>
          <w:rFonts w:ascii="Tahoma" w:hAnsi="Tahoma" w:cs="Tahoma"/>
          <w:sz w:val="18"/>
          <w:szCs w:val="18"/>
          <w:lang w:val="pt-BR"/>
        </w:rPr>
        <w:t>renovada conforme determinado acima. A nova cobertura do Software Assurance começa na data de início de</w:t>
      </w:r>
      <w:r w:rsidR="00571BC7" w:rsidRPr="008D38F6">
        <w:rPr>
          <w:rFonts w:ascii="Tahoma" w:hAnsi="Tahoma" w:cs="Tahoma"/>
          <w:sz w:val="18"/>
          <w:szCs w:val="18"/>
          <w:lang w:val="pt-BR"/>
        </w:rPr>
        <w:t> </w:t>
      </w:r>
      <w:r w:rsidRPr="008D38F6">
        <w:rPr>
          <w:rFonts w:ascii="Tahoma" w:hAnsi="Tahoma" w:cs="Tahoma"/>
          <w:sz w:val="18"/>
          <w:szCs w:val="18"/>
          <w:lang w:val="pt-BR"/>
        </w:rPr>
        <w:t>vigência do novo número de autorização.</w:t>
      </w:r>
    </w:p>
    <w:p w:rsidR="00865A60" w:rsidRPr="008D38F6" w:rsidRDefault="00865A60" w:rsidP="005242EC">
      <w:pPr>
        <w:pStyle w:val="AppendIndentSub"/>
        <w:ind w:left="0"/>
        <w:rPr>
          <w:rFonts w:ascii="Tahoma" w:hAnsi="Tahoma" w:cs="Tahoma"/>
          <w:sz w:val="18"/>
          <w:szCs w:val="18"/>
          <w:lang w:val="pt-BR"/>
        </w:rPr>
      </w:pPr>
    </w:p>
    <w:p w:rsidR="00171817" w:rsidRPr="00416070" w:rsidRDefault="00171817" w:rsidP="002171C3">
      <w:pPr>
        <w:pStyle w:val="Heading4"/>
        <w:ind w:left="360"/>
      </w:pPr>
      <w:bookmarkStart w:id="746" w:name="_Toc336338219"/>
      <w:bookmarkStart w:id="747" w:name="_Toc352234287"/>
      <w:r w:rsidRPr="00416070">
        <w:rPr>
          <w:rFonts w:ascii="Tahoma" w:hAnsi="Tahoma" w:cs="Tahoma"/>
          <w:sz w:val="24"/>
        </w:rPr>
        <w:t>Open Value 20xx</w:t>
      </w:r>
      <w:bookmarkEnd w:id="746"/>
      <w:bookmarkEnd w:id="747"/>
    </w:p>
    <w:p w:rsidR="00171817" w:rsidRPr="008D38F6" w:rsidRDefault="00171817" w:rsidP="00171817">
      <w:pPr>
        <w:tabs>
          <w:tab w:val="num" w:pos="0"/>
        </w:tabs>
        <w:rPr>
          <w:lang w:val="pt-BR"/>
        </w:rPr>
      </w:pPr>
    </w:p>
    <w:p w:rsidR="00171817" w:rsidRPr="008D38F6" w:rsidRDefault="00171817" w:rsidP="005242EC">
      <w:pPr>
        <w:keepNext/>
        <w:tabs>
          <w:tab w:val="num" w:pos="720"/>
        </w:tabs>
        <w:spacing w:after="60"/>
        <w:ind w:left="360" w:hanging="360"/>
        <w:outlineLvl w:val="3"/>
        <w:rPr>
          <w:lang w:val="pt-BR"/>
        </w:rPr>
      </w:pPr>
      <w:r w:rsidRPr="008D38F6">
        <w:rPr>
          <w:b/>
          <w:szCs w:val="20"/>
          <w:lang w:val="pt-BR"/>
        </w:rPr>
        <w:t xml:space="preserve">Renovação da Cobertura sob o Mesmo Contrato </w:t>
      </w:r>
    </w:p>
    <w:p w:rsidR="00171817" w:rsidRPr="008D38F6" w:rsidRDefault="00171817" w:rsidP="00171817">
      <w:pPr>
        <w:tabs>
          <w:tab w:val="num" w:pos="0"/>
        </w:tabs>
        <w:rPr>
          <w:lang w:val="pt-BR"/>
        </w:rPr>
      </w:pPr>
      <w:r w:rsidRPr="008D38F6">
        <w:rPr>
          <w:rFonts w:cs="Tahoma"/>
          <w:szCs w:val="20"/>
          <w:lang w:val="pt-BR"/>
        </w:rPr>
        <w:t>A cobertura do Software Assurance solicitada sob um contrato Open Value se encerrará ao término (ou na rescisão) do referido contrato. Os clientes receberão uma notificação por escrito 60 dias antes do término do contrato, informando-os sobre suas opções de renovação. Os clientes poderão ter a opção de renovar seus contratos por um</w:t>
      </w:r>
      <w:r w:rsidR="00571BC7" w:rsidRPr="008D38F6">
        <w:rPr>
          <w:rFonts w:cs="Tahoma"/>
          <w:szCs w:val="20"/>
          <w:lang w:val="pt-BR"/>
        </w:rPr>
        <w:t> </w:t>
      </w:r>
      <w:r w:rsidRPr="008D38F6">
        <w:rPr>
          <w:rFonts w:cs="Tahoma"/>
          <w:szCs w:val="20"/>
          <w:lang w:val="pt-BR"/>
        </w:rPr>
        <w:t>período de 36 meses subsequentes. Para renovar a cobertura do Software Assurance, os clientes deverão enviar um pedido de renovação do Software Assurance antes do término do prazo anterior.</w:t>
      </w:r>
      <w:r w:rsidR="00FB5496" w:rsidRPr="008D38F6">
        <w:rPr>
          <w:rFonts w:cs="Tahoma"/>
          <w:szCs w:val="20"/>
          <w:lang w:val="pt-BR"/>
        </w:rPr>
        <w:t xml:space="preserve"> </w:t>
      </w:r>
      <w:r w:rsidRPr="008D38F6">
        <w:rPr>
          <w:rFonts w:cs="Tahoma"/>
          <w:szCs w:val="20"/>
          <w:lang w:val="pt-BR"/>
        </w:rPr>
        <w:t>Se um cliente tiver escolhido a</w:t>
      </w:r>
      <w:r w:rsidR="00571BC7" w:rsidRPr="008D38F6">
        <w:rPr>
          <w:rFonts w:cs="Tahoma"/>
          <w:szCs w:val="20"/>
          <w:lang w:val="pt-BR"/>
        </w:rPr>
        <w:t> </w:t>
      </w:r>
      <w:r w:rsidRPr="008D38F6">
        <w:rPr>
          <w:rFonts w:cs="Tahoma"/>
          <w:szCs w:val="20"/>
          <w:lang w:val="pt-BR"/>
        </w:rPr>
        <w:t>opção para toda a empresa, ele deverá solicitar o Software Assurance para todas as cópias de qualquer produto que deseje renovar para toda a empresa. Se um cliente não tiver escolhido a opção para toda a empresa, ele poderá</w:t>
      </w:r>
      <w:r w:rsidR="00571BC7" w:rsidRPr="008D38F6">
        <w:rPr>
          <w:rFonts w:cs="Tahoma"/>
          <w:szCs w:val="20"/>
          <w:lang w:val="pt-BR"/>
        </w:rPr>
        <w:t> </w:t>
      </w:r>
      <w:r w:rsidRPr="008D38F6">
        <w:rPr>
          <w:rFonts w:cs="Tahoma"/>
          <w:szCs w:val="20"/>
          <w:lang w:val="pt-BR"/>
        </w:rPr>
        <w:t>renovar a cobertura para um número indeterminado de licenças registradas anteriormente. Cada prazo de</w:t>
      </w:r>
      <w:r w:rsidR="00571BC7" w:rsidRPr="008D38F6">
        <w:rPr>
          <w:rFonts w:cs="Tahoma"/>
          <w:szCs w:val="20"/>
          <w:lang w:val="pt-BR"/>
        </w:rPr>
        <w:t> </w:t>
      </w:r>
      <w:r w:rsidRPr="008D38F6">
        <w:rPr>
          <w:rFonts w:cs="Tahoma"/>
          <w:szCs w:val="20"/>
          <w:lang w:val="pt-BR"/>
        </w:rPr>
        <w:t>renovação terá início no dia seguinte ao término do prazo anterior. Os clientes poderão solicitar o Software Assurance sem precisar solicitar uma Licença simultaneamente, desde que a cobertura do Software Assurance seja</w:t>
      </w:r>
      <w:r w:rsidR="00571BC7" w:rsidRPr="008D38F6">
        <w:rPr>
          <w:rFonts w:cs="Tahoma"/>
          <w:szCs w:val="20"/>
          <w:lang w:val="pt-BR"/>
        </w:rPr>
        <w:t> </w:t>
      </w:r>
      <w:r w:rsidRPr="008D38F6">
        <w:rPr>
          <w:rFonts w:cs="Tahoma"/>
          <w:szCs w:val="20"/>
          <w:lang w:val="pt-BR"/>
        </w:rPr>
        <w:t>renovada conforme determi</w:t>
      </w:r>
      <w:r w:rsidR="00A56037" w:rsidRPr="008D38F6">
        <w:rPr>
          <w:rFonts w:cs="Tahoma"/>
          <w:szCs w:val="20"/>
          <w:lang w:val="pt-BR"/>
        </w:rPr>
        <w:t>nado acima.</w:t>
      </w:r>
    </w:p>
    <w:p w:rsidR="00171817" w:rsidRPr="008D38F6" w:rsidRDefault="00171817" w:rsidP="00171817">
      <w:pPr>
        <w:tabs>
          <w:tab w:val="num" w:pos="0"/>
        </w:tabs>
        <w:rPr>
          <w:lang w:val="pt-BR"/>
        </w:rPr>
      </w:pPr>
    </w:p>
    <w:p w:rsidR="00171817" w:rsidRPr="008D38F6" w:rsidRDefault="00171817" w:rsidP="005242EC">
      <w:pPr>
        <w:keepNext/>
        <w:tabs>
          <w:tab w:val="num" w:pos="720"/>
        </w:tabs>
        <w:spacing w:after="60"/>
        <w:ind w:left="360" w:hanging="360"/>
        <w:outlineLvl w:val="3"/>
        <w:rPr>
          <w:lang w:val="pt-BR"/>
        </w:rPr>
      </w:pPr>
      <w:r w:rsidRPr="008D38F6">
        <w:rPr>
          <w:b/>
          <w:szCs w:val="20"/>
          <w:lang w:val="pt-BR"/>
        </w:rPr>
        <w:t>Renovação da Cobertura a partir de um Contrato Separado</w:t>
      </w:r>
    </w:p>
    <w:p w:rsidR="00171817" w:rsidRPr="008D38F6" w:rsidRDefault="00171817" w:rsidP="00865A60">
      <w:pPr>
        <w:tabs>
          <w:tab w:val="num" w:pos="0"/>
        </w:tabs>
        <w:rPr>
          <w:lang w:val="pt-BR"/>
        </w:rPr>
      </w:pPr>
      <w:r w:rsidRPr="008D38F6">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FB5496" w:rsidRPr="008D38F6">
        <w:rPr>
          <w:rFonts w:cs="Tahoma"/>
          <w:szCs w:val="20"/>
          <w:lang w:val="pt-BR"/>
        </w:rPr>
        <w:t xml:space="preserve"> </w:t>
      </w:r>
      <w:r w:rsidRPr="008D38F6">
        <w:rPr>
          <w:rFonts w:cs="Tahoma"/>
          <w:szCs w:val="20"/>
          <w:lang w:val="pt-BR"/>
        </w:rPr>
        <w:t>O</w:t>
      </w:r>
      <w:r w:rsidR="00571BC7" w:rsidRPr="008D38F6">
        <w:rPr>
          <w:rFonts w:cs="Tahoma"/>
          <w:szCs w:val="20"/>
          <w:lang w:val="pt-BR"/>
        </w:rPr>
        <w:t> </w:t>
      </w:r>
      <w:r w:rsidRPr="008D38F6">
        <w:rPr>
          <w:rFonts w:cs="Tahoma"/>
          <w:szCs w:val="20"/>
          <w:lang w:val="pt-BR"/>
        </w:rPr>
        <w:t>pedido de renovação do Software Assurance deverá ser feito antes do término da cobertura do Software Assurance sob o contrato anterior, a menos que essa cobertura esteja sendo renovada de um Contrato de Licença</w:t>
      </w:r>
      <w:r w:rsidR="00571BC7" w:rsidRPr="008D38F6">
        <w:rPr>
          <w:rFonts w:cs="Tahoma"/>
          <w:szCs w:val="20"/>
          <w:lang w:val="pt-BR"/>
        </w:rPr>
        <w:t> </w:t>
      </w:r>
      <w:r w:rsidRPr="008D38F6">
        <w:rPr>
          <w:rFonts w:cs="Tahoma"/>
          <w:szCs w:val="20"/>
          <w:lang w:val="pt-BR"/>
        </w:rPr>
        <w:t xml:space="preserve">Open. Nesse caso, os clientes terão 90 dias a partir da data </w:t>
      </w:r>
      <w:r w:rsidR="00A56037" w:rsidRPr="008D38F6">
        <w:rPr>
          <w:rFonts w:cs="Tahoma"/>
          <w:szCs w:val="20"/>
          <w:lang w:val="pt-BR"/>
        </w:rPr>
        <w:t>de término para fazer o pedido.</w:t>
      </w:r>
    </w:p>
    <w:p w:rsidR="00865A60" w:rsidRPr="008D38F6" w:rsidRDefault="00865A60" w:rsidP="005242EC">
      <w:pPr>
        <w:tabs>
          <w:tab w:val="num" w:pos="0"/>
        </w:tabs>
        <w:rPr>
          <w:lang w:val="pt-BR"/>
        </w:rPr>
      </w:pPr>
    </w:p>
    <w:p w:rsidR="00171817" w:rsidRPr="00416070" w:rsidRDefault="00171817" w:rsidP="002171C3">
      <w:pPr>
        <w:pStyle w:val="Heading4"/>
        <w:ind w:left="360"/>
      </w:pPr>
      <w:bookmarkStart w:id="748" w:name="_Toc323159746"/>
      <w:bookmarkStart w:id="749" w:name="_Toc336338220"/>
      <w:bookmarkStart w:id="750" w:name="_Toc352234288"/>
      <w:r w:rsidRPr="00416070">
        <w:rPr>
          <w:rFonts w:ascii="Tahoma" w:hAnsi="Tahoma" w:cs="Tahoma"/>
          <w:sz w:val="24"/>
        </w:rPr>
        <w:t>Select 20xx</w:t>
      </w:r>
      <w:bookmarkEnd w:id="748"/>
      <w:bookmarkEnd w:id="749"/>
      <w:bookmarkEnd w:id="750"/>
    </w:p>
    <w:p w:rsidR="00171817" w:rsidRPr="008D38F6" w:rsidRDefault="00171817" w:rsidP="00171817">
      <w:pPr>
        <w:tabs>
          <w:tab w:val="num" w:pos="0"/>
        </w:tabs>
        <w:rPr>
          <w:lang w:val="pt-BR"/>
        </w:rPr>
      </w:pPr>
    </w:p>
    <w:p w:rsidR="00171817" w:rsidRPr="00416070" w:rsidRDefault="00171817" w:rsidP="005242EC">
      <w:pPr>
        <w:pStyle w:val="Heading4"/>
        <w:spacing w:before="0" w:after="60"/>
        <w:ind w:left="360"/>
      </w:pPr>
      <w:bookmarkStart w:id="751" w:name="_Toc323159747"/>
      <w:bookmarkStart w:id="752" w:name="_Toc328145990"/>
      <w:bookmarkStart w:id="753" w:name="_Toc336338221"/>
      <w:bookmarkStart w:id="754" w:name="_Toc352234289"/>
      <w:r w:rsidRPr="00416070">
        <w:rPr>
          <w:rFonts w:ascii="Tahoma" w:hAnsi="Tahoma"/>
          <w:sz w:val="18"/>
        </w:rPr>
        <w:t>Renovação da Cobertura sob o Mesmo Contrato</w:t>
      </w:r>
      <w:bookmarkEnd w:id="751"/>
      <w:bookmarkEnd w:id="752"/>
      <w:bookmarkEnd w:id="753"/>
      <w:bookmarkEnd w:id="754"/>
      <w:r w:rsidRPr="00416070">
        <w:rPr>
          <w:rFonts w:ascii="Tahoma" w:hAnsi="Tahoma"/>
          <w:sz w:val="18"/>
        </w:rPr>
        <w:t xml:space="preserve"> </w:t>
      </w:r>
    </w:p>
    <w:p w:rsidR="00171817" w:rsidRPr="008D38F6" w:rsidRDefault="00171817" w:rsidP="00171817">
      <w:pPr>
        <w:pStyle w:val="styleheading22left138firstline00"/>
        <w:tabs>
          <w:tab w:val="num" w:pos="0"/>
        </w:tabs>
        <w:snapToGrid w:val="0"/>
        <w:ind w:left="0"/>
        <w:jc w:val="left"/>
        <w:rPr>
          <w:rFonts w:ascii="Tahoma" w:hAnsi="Tahoma" w:cs="Tahoma"/>
          <w:sz w:val="18"/>
          <w:szCs w:val="18"/>
          <w:lang w:val="pt-BR"/>
        </w:rPr>
      </w:pPr>
      <w:r w:rsidRPr="008D38F6">
        <w:rPr>
          <w:rFonts w:ascii="Tahoma" w:hAnsi="Tahoma" w:cs="Tahoma"/>
          <w:sz w:val="18"/>
          <w:szCs w:val="18"/>
          <w:lang w:val="pt-BR"/>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 de renovação. Os clientes poderão ter a opção de renovar seus contratos por um período de 12 ou 36 meses subsequentes. Para renovar a cobertura do Software Assurance para quaisquer cópias inscritas sob seu registro, um cliente deverá enviar um pedido de renovação à Microsoft por meio de seu revendedor antes do término do prazo anterior. Os pedidos de renovação deverão ser para todo o prazo da renovação.</w:t>
      </w:r>
      <w:r w:rsidR="00FB5496" w:rsidRPr="008D38F6">
        <w:rPr>
          <w:rFonts w:ascii="Tahoma" w:hAnsi="Tahoma" w:cs="Tahoma"/>
          <w:sz w:val="18"/>
          <w:szCs w:val="18"/>
          <w:lang w:val="pt-BR"/>
        </w:rPr>
        <w:t xml:space="preserve"> </w:t>
      </w:r>
      <w:r w:rsidRPr="008D38F6">
        <w:rPr>
          <w:rFonts w:ascii="Tahoma" w:hAnsi="Tahoma" w:cs="Tahoma"/>
          <w:sz w:val="18"/>
          <w:szCs w:val="18"/>
          <w:lang w:val="pt-BR"/>
        </w:rPr>
        <w:t>Cada prazo de renovação terá início no dia seguint</w:t>
      </w:r>
      <w:r w:rsidR="00A56037" w:rsidRPr="008D38F6">
        <w:rPr>
          <w:rFonts w:ascii="Tahoma" w:hAnsi="Tahoma" w:cs="Tahoma"/>
          <w:sz w:val="18"/>
          <w:szCs w:val="18"/>
          <w:lang w:val="pt-BR"/>
        </w:rPr>
        <w:t>e ao término do prazo anterior.</w:t>
      </w:r>
    </w:p>
    <w:p w:rsidR="00973A93" w:rsidRPr="008D38F6" w:rsidRDefault="00973A93">
      <w:pPr>
        <w:rPr>
          <w:lang w:val="pt-BR"/>
        </w:rPr>
      </w:pPr>
      <w:bookmarkStart w:id="755" w:name="_Toc323159748"/>
      <w:bookmarkStart w:id="756" w:name="_Toc336338222"/>
    </w:p>
    <w:p w:rsidR="00571BC7" w:rsidRPr="008D38F6" w:rsidRDefault="00571BC7">
      <w:pPr>
        <w:rPr>
          <w:lang w:val="pt-BR"/>
        </w:rPr>
      </w:pPr>
    </w:p>
    <w:p w:rsidR="00571BC7" w:rsidRPr="008D38F6" w:rsidRDefault="00571BC7">
      <w:pPr>
        <w:rPr>
          <w:lang w:val="pt-BR"/>
        </w:rPr>
      </w:pPr>
    </w:p>
    <w:p w:rsidR="00571BC7" w:rsidRPr="008D38F6" w:rsidRDefault="00571BC7">
      <w:pPr>
        <w:rPr>
          <w:lang w:val="pt-BR"/>
        </w:rPr>
      </w:pPr>
    </w:p>
    <w:p w:rsidR="00571BC7" w:rsidRPr="008D38F6" w:rsidRDefault="00571BC7">
      <w:pPr>
        <w:rPr>
          <w:lang w:val="pt-BR"/>
        </w:rPr>
      </w:pPr>
    </w:p>
    <w:p w:rsidR="00171817" w:rsidRPr="00416070" w:rsidRDefault="00171817" w:rsidP="005242EC">
      <w:pPr>
        <w:pStyle w:val="Heading4"/>
        <w:spacing w:before="0" w:after="60"/>
        <w:ind w:left="360"/>
      </w:pPr>
      <w:bookmarkStart w:id="757" w:name="_Toc352234290"/>
      <w:r w:rsidRPr="00416070">
        <w:rPr>
          <w:rFonts w:ascii="Tahoma" w:hAnsi="Tahoma"/>
          <w:sz w:val="18"/>
        </w:rPr>
        <w:lastRenderedPageBreak/>
        <w:t>Renovação da Cobertura a partir de um Contrato Separado</w:t>
      </w:r>
      <w:bookmarkEnd w:id="755"/>
      <w:bookmarkEnd w:id="756"/>
      <w:bookmarkEnd w:id="757"/>
    </w:p>
    <w:p w:rsidR="00171817" w:rsidRPr="008D38F6" w:rsidRDefault="00171817" w:rsidP="00A56037">
      <w:pPr>
        <w:pStyle w:val="styleheading22left138firstline00"/>
        <w:tabs>
          <w:tab w:val="num" w:pos="0"/>
        </w:tabs>
        <w:snapToGrid w:val="0"/>
        <w:ind w:left="0"/>
        <w:jc w:val="left"/>
        <w:rPr>
          <w:rFonts w:ascii="Tahoma" w:hAnsi="Tahoma" w:cs="Tahoma"/>
          <w:sz w:val="18"/>
          <w:szCs w:val="18"/>
          <w:lang w:val="pt-BR"/>
        </w:rPr>
      </w:pPr>
      <w:r w:rsidRPr="008D38F6">
        <w:rPr>
          <w:rFonts w:ascii="Tahoma" w:hAnsi="Tahoma" w:cs="Tahoma"/>
          <w:sz w:val="18"/>
          <w:szCs w:val="18"/>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w:t>
      </w:r>
      <w:r w:rsidR="00A56037" w:rsidRPr="008D38F6">
        <w:rPr>
          <w:rFonts w:ascii="Tahoma" w:hAnsi="Tahoma" w:cs="Tahoma"/>
          <w:sz w:val="18"/>
          <w:szCs w:val="18"/>
          <w:lang w:val="pt-BR"/>
        </w:rPr>
        <w:t> </w:t>
      </w:r>
      <w:r w:rsidRPr="008D38F6">
        <w:rPr>
          <w:rFonts w:ascii="Tahoma" w:hAnsi="Tahoma" w:cs="Tahoma"/>
          <w:sz w:val="18"/>
          <w:szCs w:val="18"/>
          <w:lang w:val="pt-BR"/>
        </w:rPr>
        <w:t>dia</w:t>
      </w:r>
      <w:r w:rsidR="00571BC7" w:rsidRPr="008D38F6">
        <w:rPr>
          <w:rFonts w:ascii="Tahoma" w:hAnsi="Tahoma" w:cs="Tahoma"/>
          <w:sz w:val="18"/>
          <w:szCs w:val="18"/>
          <w:lang w:val="pt-BR"/>
        </w:rPr>
        <w:t> </w:t>
      </w:r>
      <w:r w:rsidRPr="008D38F6">
        <w:rPr>
          <w:rFonts w:ascii="Tahoma" w:hAnsi="Tahoma" w:cs="Tahoma"/>
          <w:sz w:val="18"/>
          <w:szCs w:val="18"/>
          <w:lang w:val="pt-BR"/>
        </w:rPr>
        <w:t>após o término da vigência do Software Assurance e (ii) a afiliada registrada faça o pedido do Software 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rsidR="00865A60" w:rsidRPr="008D38F6" w:rsidRDefault="00865A60" w:rsidP="0063466C">
      <w:pPr>
        <w:outlineLvl w:val="2"/>
        <w:rPr>
          <w:lang w:val="pt-BR"/>
        </w:rPr>
      </w:pPr>
    </w:p>
    <w:p w:rsidR="00171817" w:rsidRPr="00416070" w:rsidRDefault="00171817" w:rsidP="002171C3">
      <w:pPr>
        <w:pStyle w:val="Heading4"/>
        <w:ind w:left="360"/>
      </w:pPr>
      <w:bookmarkStart w:id="758" w:name="_Toc336338223"/>
      <w:bookmarkStart w:id="759" w:name="_Toc352234291"/>
      <w:r w:rsidRPr="00416070">
        <w:rPr>
          <w:rFonts w:ascii="Tahoma" w:hAnsi="Tahoma" w:cs="Tahoma"/>
          <w:sz w:val="24"/>
        </w:rPr>
        <w:t>Select Plus 20xx</w:t>
      </w:r>
      <w:bookmarkEnd w:id="758"/>
      <w:bookmarkEnd w:id="759"/>
    </w:p>
    <w:p w:rsidR="00171817" w:rsidRPr="008D38F6" w:rsidRDefault="00171817" w:rsidP="00171817">
      <w:pPr>
        <w:rPr>
          <w:lang w:val="pt-BR"/>
        </w:rPr>
      </w:pPr>
    </w:p>
    <w:p w:rsidR="00171817" w:rsidRPr="008D38F6" w:rsidRDefault="00171817" w:rsidP="0063466C">
      <w:pPr>
        <w:spacing w:after="60"/>
        <w:rPr>
          <w:lang w:val="pt-BR"/>
        </w:rPr>
      </w:pPr>
      <w:r w:rsidRPr="008D38F6">
        <w:rPr>
          <w:b/>
          <w:bCs/>
          <w:lang w:val="pt-BR"/>
        </w:rPr>
        <w:t xml:space="preserve">Renovação da Cobertura sob o Mesmo Contrato </w:t>
      </w:r>
    </w:p>
    <w:p w:rsidR="00171817" w:rsidRPr="008D38F6" w:rsidRDefault="00171817" w:rsidP="00171817">
      <w:pPr>
        <w:rPr>
          <w:rFonts w:cs="Tahoma"/>
          <w:szCs w:val="18"/>
          <w:lang w:val="pt-BR"/>
        </w:rPr>
      </w:pPr>
      <w:r w:rsidRPr="008D38F6">
        <w:rPr>
          <w:rFonts w:cs="Tahoma"/>
          <w:iCs/>
          <w:szCs w:val="18"/>
          <w:lang w:val="pt-BR"/>
        </w:rPr>
        <w:t>Vigente a partir de 1</w:t>
      </w:r>
      <w:r w:rsidRPr="008D38F6">
        <w:rPr>
          <w:rFonts w:cs="Tahoma"/>
          <w:iCs/>
          <w:szCs w:val="18"/>
          <w:vertAlign w:val="superscript"/>
          <w:lang w:val="pt-BR"/>
        </w:rPr>
        <w:t>o</w:t>
      </w:r>
      <w:r w:rsidRPr="008D38F6">
        <w:rPr>
          <w:rFonts w:cs="Tahoma"/>
          <w:iCs/>
          <w:szCs w:val="18"/>
          <w:lang w:val="pt-BR"/>
        </w:rPr>
        <w:t xml:space="preserve"> de março de 2011, a cobertura inicial</w:t>
      </w:r>
      <w:r w:rsidRPr="008D38F6">
        <w:rPr>
          <w:rFonts w:cs="Tahoma"/>
          <w:i/>
          <w:iCs/>
          <w:szCs w:val="18"/>
          <w:lang w:val="pt-BR"/>
        </w:rPr>
        <w:t xml:space="preserve"> </w:t>
      </w:r>
      <w:r w:rsidRPr="008D38F6">
        <w:rPr>
          <w:rFonts w:cs="Tahoma"/>
          <w:szCs w:val="18"/>
          <w:lang w:val="pt-BR"/>
        </w:rPr>
        <w:t>de Software Assurance (nova ou renovação) solicitada sob um registro Select Plus se encerrará 24 meses mais o número de meses a partir da data de início da cobertura de Software Assurance para o próximo “aniversário da afiliada”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w:t>
      </w:r>
      <w:r w:rsidR="00FB5496" w:rsidRPr="008D38F6">
        <w:rPr>
          <w:rFonts w:cs="Tahoma"/>
          <w:szCs w:val="18"/>
          <w:lang w:val="pt-BR"/>
        </w:rPr>
        <w:t xml:space="preserve"> </w:t>
      </w:r>
      <w:r w:rsidRPr="008D38F6">
        <w:rPr>
          <w:rFonts w:cs="Tahoma"/>
          <w:szCs w:val="18"/>
          <w:lang w:val="pt-BR"/>
        </w:rPr>
        <w:t>Cada prazo de renovação terá início no dia seguint</w:t>
      </w:r>
      <w:r w:rsidR="00A56037" w:rsidRPr="008D38F6">
        <w:rPr>
          <w:rFonts w:cs="Tahoma"/>
          <w:szCs w:val="18"/>
          <w:lang w:val="pt-BR"/>
        </w:rPr>
        <w:t>e ao término do prazo anterior.</w:t>
      </w:r>
    </w:p>
    <w:p w:rsidR="00171817" w:rsidRPr="008D38F6" w:rsidRDefault="00171817" w:rsidP="00171817">
      <w:pPr>
        <w:rPr>
          <w:lang w:val="pt-BR"/>
        </w:rPr>
      </w:pPr>
    </w:p>
    <w:p w:rsidR="00171817" w:rsidRPr="008D38F6" w:rsidRDefault="00171817" w:rsidP="0063466C">
      <w:pPr>
        <w:spacing w:after="60"/>
        <w:rPr>
          <w:lang w:val="pt-BR"/>
        </w:rPr>
      </w:pPr>
      <w:r w:rsidRPr="008D38F6">
        <w:rPr>
          <w:b/>
          <w:bCs/>
          <w:lang w:val="pt-BR"/>
        </w:rPr>
        <w:t>Renovação da Cobertura a partir de um Contrato Separado</w:t>
      </w:r>
    </w:p>
    <w:p w:rsidR="00171817" w:rsidRPr="008D38F6" w:rsidRDefault="00171817" w:rsidP="0063466C">
      <w:pPr>
        <w:rPr>
          <w:lang w:val="pt-BR"/>
        </w:rPr>
      </w:pPr>
      <w:r w:rsidRPr="008D38F6">
        <w:rPr>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w:t>
      </w:r>
      <w:r w:rsidR="00571BC7" w:rsidRPr="008D38F6">
        <w:rPr>
          <w:lang w:val="pt-BR"/>
        </w:rPr>
        <w:t> </w:t>
      </w:r>
      <w:r w:rsidRPr="008D38F6">
        <w:rPr>
          <w:lang w:val="pt-BR"/>
        </w:rPr>
        <w:t>do término da cobertura sob o contrato anterior, a menos que a cobertura esteja sendo transferida de um Contrato de Licença Open. Nesse caso, os clientes terão 90 dias a partir da data de término para fazer o pedido.</w:t>
      </w:r>
    </w:p>
    <w:p w:rsidR="00865A60" w:rsidRPr="008D38F6" w:rsidRDefault="00865A60" w:rsidP="00865A60">
      <w:pPr>
        <w:tabs>
          <w:tab w:val="num" w:pos="0"/>
        </w:tabs>
        <w:rPr>
          <w:lang w:val="pt-BR"/>
        </w:rPr>
      </w:pPr>
    </w:p>
    <w:p w:rsidR="00171817" w:rsidRPr="00416070" w:rsidRDefault="00171817" w:rsidP="002171C3">
      <w:pPr>
        <w:pStyle w:val="Heading4"/>
        <w:ind w:hanging="720"/>
      </w:pPr>
      <w:bookmarkStart w:id="760" w:name="_Toc336338224"/>
      <w:bookmarkStart w:id="761" w:name="_Toc352234292"/>
      <w:r w:rsidRPr="00416070">
        <w:rPr>
          <w:rFonts w:ascii="Tahoma" w:hAnsi="Tahoma" w:cs="Tahoma"/>
          <w:sz w:val="24"/>
          <w:szCs w:val="22"/>
        </w:rPr>
        <w:t>Contrato Enterprise 2011 ou versões posteriores</w:t>
      </w:r>
      <w:bookmarkEnd w:id="760"/>
      <w:bookmarkEnd w:id="761"/>
    </w:p>
    <w:p w:rsidR="00171817" w:rsidRPr="008D38F6" w:rsidRDefault="00171817" w:rsidP="00865A60">
      <w:pPr>
        <w:outlineLvl w:val="2"/>
        <w:rPr>
          <w:lang w:val="pt-BR"/>
        </w:rPr>
      </w:pPr>
    </w:p>
    <w:p w:rsidR="00171817" w:rsidRPr="008D38F6" w:rsidRDefault="00171817" w:rsidP="0063466C">
      <w:pPr>
        <w:keepNext/>
        <w:tabs>
          <w:tab w:val="num" w:pos="720"/>
        </w:tabs>
        <w:spacing w:after="60"/>
        <w:ind w:left="360" w:hanging="360"/>
        <w:outlineLvl w:val="3"/>
        <w:rPr>
          <w:lang w:val="pt-BR"/>
        </w:rPr>
      </w:pPr>
      <w:r w:rsidRPr="008D38F6">
        <w:rPr>
          <w:b/>
          <w:szCs w:val="20"/>
          <w:lang w:val="pt-BR"/>
        </w:rPr>
        <w:t>Renovação da Cobertura sob o Mesmo Contrato</w:t>
      </w:r>
    </w:p>
    <w:p w:rsidR="00171817" w:rsidRPr="008D38F6" w:rsidRDefault="00171817" w:rsidP="00A56037">
      <w:pPr>
        <w:tabs>
          <w:tab w:val="num" w:pos="0"/>
        </w:tabs>
        <w:rPr>
          <w:lang w:val="pt-BR"/>
        </w:rPr>
      </w:pPr>
      <w:r w:rsidRPr="008D38F6">
        <w:rPr>
          <w:rFonts w:cs="Tahoma"/>
          <w:szCs w:val="20"/>
          <w:lang w:val="pt-BR"/>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FB5496" w:rsidRPr="008D38F6">
        <w:rPr>
          <w:rFonts w:cs="Tahoma"/>
          <w:szCs w:val="20"/>
          <w:lang w:val="pt-BR"/>
        </w:rPr>
        <w:t xml:space="preserve"> </w:t>
      </w:r>
      <w:r w:rsidRPr="008D38F6">
        <w:rPr>
          <w:rFonts w:cs="Tahoma"/>
          <w:szCs w:val="20"/>
          <w:lang w:val="pt-BR"/>
        </w:rPr>
        <w:t>Esse pedido deverá ser enviado antes do término do prazo anterior. O prazo de renovação terá início no dia seguinte ao término do prazo anterior. Para obter informações sobre como renovar a cobertura do Software Assurance sob um registro subsequente, veja</w:t>
      </w:r>
      <w:r w:rsidR="00A56037" w:rsidRPr="008D38F6">
        <w:rPr>
          <w:rFonts w:cs="Tahoma"/>
          <w:szCs w:val="20"/>
          <w:lang w:val="pt-BR"/>
        </w:rPr>
        <w:t> </w:t>
      </w:r>
      <w:r w:rsidRPr="008D38F6">
        <w:rPr>
          <w:rFonts w:cs="Tahoma"/>
          <w:szCs w:val="20"/>
          <w:lang w:val="pt-BR"/>
        </w:rPr>
        <w:t>abaixo.</w:t>
      </w:r>
    </w:p>
    <w:p w:rsidR="00171817" w:rsidRPr="008D38F6" w:rsidRDefault="00171817" w:rsidP="00171817">
      <w:pPr>
        <w:tabs>
          <w:tab w:val="num" w:pos="0"/>
        </w:tabs>
        <w:rPr>
          <w:lang w:val="pt-BR"/>
        </w:rPr>
      </w:pPr>
    </w:p>
    <w:p w:rsidR="00171817" w:rsidRPr="008D38F6" w:rsidRDefault="00171817" w:rsidP="0063466C">
      <w:pPr>
        <w:keepNext/>
        <w:tabs>
          <w:tab w:val="num" w:pos="720"/>
        </w:tabs>
        <w:spacing w:after="60"/>
        <w:ind w:left="360" w:hanging="360"/>
        <w:outlineLvl w:val="3"/>
        <w:rPr>
          <w:lang w:val="pt-BR"/>
        </w:rPr>
      </w:pPr>
      <w:r w:rsidRPr="008D38F6">
        <w:rPr>
          <w:b/>
          <w:szCs w:val="20"/>
          <w:lang w:val="pt-BR"/>
        </w:rPr>
        <w:t>Renovação da Cobertura a partir de um Contrato Separado</w:t>
      </w:r>
    </w:p>
    <w:p w:rsidR="00171817" w:rsidRPr="008D38F6" w:rsidRDefault="00171817" w:rsidP="00171817">
      <w:pPr>
        <w:tabs>
          <w:tab w:val="num" w:pos="0"/>
        </w:tabs>
        <w:rPr>
          <w:lang w:val="pt-BR"/>
        </w:rPr>
      </w:pPr>
      <w:r w:rsidRPr="008D38F6">
        <w:rPr>
          <w:rFonts w:cs="Tahoma"/>
          <w:color w:val="000000"/>
          <w:szCs w:val="20"/>
          <w:lang w:val="pt-BR"/>
        </w:rPr>
        <w:t>O cliente poderá solicitar o Software Assurance para qualquer produto sem precisar solicitar uma Licença simultaneamente caso os clientes tenham obtido licenças perpétuas para esse produto e a cobertura do Software</w:t>
      </w:r>
      <w:r w:rsidR="00571BC7" w:rsidRPr="008D38F6">
        <w:rPr>
          <w:rFonts w:cs="Tahoma"/>
          <w:color w:val="000000"/>
          <w:szCs w:val="20"/>
          <w:lang w:val="pt-BR"/>
        </w:rPr>
        <w:t> </w:t>
      </w:r>
      <w:r w:rsidRPr="008D38F6">
        <w:rPr>
          <w:rFonts w:cs="Tahoma"/>
          <w:color w:val="000000"/>
          <w:szCs w:val="20"/>
          <w:lang w:val="pt-BR"/>
        </w:rPr>
        <w:t>Assurance esteja ativa no momento da renovação.</w:t>
      </w:r>
      <w:r w:rsidR="00FB5496" w:rsidRPr="008D38F6">
        <w:rPr>
          <w:rFonts w:cs="Tahoma"/>
          <w:color w:val="000000"/>
          <w:szCs w:val="20"/>
          <w:lang w:val="pt-BR"/>
        </w:rPr>
        <w:t xml:space="preserve"> </w:t>
      </w:r>
      <w:r w:rsidRPr="008D38F6">
        <w:rPr>
          <w:rFonts w:cs="Tahoma"/>
          <w:color w:val="000000"/>
          <w:szCs w:val="20"/>
          <w:lang w:val="pt-BR"/>
        </w:rPr>
        <w:t>Para Produtos Adicionais, para</w:t>
      </w:r>
      <w:r w:rsidRPr="008D38F6">
        <w:rPr>
          <w:rFonts w:cs="Tahoma"/>
          <w:color w:val="000000"/>
          <w:szCs w:val="24"/>
          <w:lang w:val="pt-BR"/>
        </w:rPr>
        <w:t xml:space="preserve"> a cobertura que estiver sendo transferida de um Contrato Open License, o cliente tem 90 dias a partir do término para fazer o pedido.</w:t>
      </w:r>
    </w:p>
    <w:p w:rsidR="00171817" w:rsidRPr="008D38F6" w:rsidRDefault="00171817" w:rsidP="00171817">
      <w:pPr>
        <w:tabs>
          <w:tab w:val="num" w:pos="0"/>
        </w:tabs>
        <w:rPr>
          <w:lang w:val="pt-BR"/>
        </w:rPr>
      </w:pPr>
    </w:p>
    <w:p w:rsidR="00171817" w:rsidRPr="008D38F6" w:rsidRDefault="00171817" w:rsidP="0063466C">
      <w:pPr>
        <w:keepNext/>
        <w:tabs>
          <w:tab w:val="num" w:pos="720"/>
        </w:tabs>
        <w:spacing w:after="60"/>
        <w:ind w:left="360" w:hanging="360"/>
        <w:outlineLvl w:val="3"/>
        <w:rPr>
          <w:lang w:val="pt-BR"/>
        </w:rPr>
      </w:pPr>
      <w:r w:rsidRPr="008D38F6">
        <w:rPr>
          <w:b/>
          <w:szCs w:val="20"/>
          <w:lang w:val="pt-BR"/>
        </w:rPr>
        <w:t xml:space="preserve">Enrollment for Application Platform </w:t>
      </w:r>
    </w:p>
    <w:p w:rsidR="00171817" w:rsidRPr="008D38F6" w:rsidRDefault="00171817" w:rsidP="00171817">
      <w:pPr>
        <w:tabs>
          <w:tab w:val="num" w:pos="0"/>
        </w:tabs>
        <w:rPr>
          <w:lang w:val="pt-BR"/>
        </w:rPr>
      </w:pPr>
      <w:r w:rsidRPr="008D38F6">
        <w:rPr>
          <w:rFonts w:cs="Tahoma"/>
          <w:szCs w:val="20"/>
          <w:lang w:val="pt-BR"/>
        </w:rPr>
        <w:t>Os clientes poderão solicitar o Software Assurance para os produtos disponíveis sem precisar solicitar uma Licença simultaneamente conforme disposto nos termos e condições do registro.</w:t>
      </w:r>
    </w:p>
    <w:p w:rsidR="00BD1A6A" w:rsidRPr="008D38F6" w:rsidRDefault="00BD1A6A" w:rsidP="00865A60">
      <w:pPr>
        <w:rPr>
          <w:lang w:val="pt-BR"/>
        </w:rPr>
      </w:pPr>
      <w:bookmarkStart w:id="762" w:name="_Toc336338225"/>
    </w:p>
    <w:p w:rsidR="00171817" w:rsidRPr="00416070" w:rsidRDefault="00171817" w:rsidP="00951852">
      <w:pPr>
        <w:pStyle w:val="Heading4"/>
        <w:ind w:left="360"/>
      </w:pPr>
      <w:bookmarkStart w:id="763" w:name="_Toc352234293"/>
      <w:r w:rsidRPr="00416070">
        <w:rPr>
          <w:rFonts w:ascii="Tahoma" w:hAnsi="Tahoma" w:cs="Tahoma"/>
          <w:sz w:val="24"/>
        </w:rPr>
        <w:lastRenderedPageBreak/>
        <w:t>Contrato Enterprise Pré-2011</w:t>
      </w:r>
      <w:bookmarkEnd w:id="762"/>
      <w:bookmarkEnd w:id="763"/>
    </w:p>
    <w:p w:rsidR="00171817" w:rsidRPr="008D38F6" w:rsidRDefault="00171817" w:rsidP="00171817">
      <w:pPr>
        <w:tabs>
          <w:tab w:val="num" w:pos="0"/>
        </w:tabs>
        <w:rPr>
          <w:b/>
          <w:lang w:val="pt-BR"/>
        </w:rPr>
      </w:pPr>
    </w:p>
    <w:p w:rsidR="00171817" w:rsidRPr="008D38F6" w:rsidRDefault="00171817" w:rsidP="00171817">
      <w:pPr>
        <w:tabs>
          <w:tab w:val="num" w:pos="0"/>
        </w:tabs>
        <w:rPr>
          <w:lang w:val="pt-BR"/>
        </w:rPr>
      </w:pPr>
      <w:r w:rsidRPr="008D38F6">
        <w:rPr>
          <w:rFonts w:cs="Tahoma"/>
          <w:szCs w:val="20"/>
          <w:lang w:val="pt-BR"/>
        </w:rPr>
        <w:t>Ao término do registro, o cliente estará qualificado para o preço do Contrato Enterprise de renovação, que se baseia</w:t>
      </w:r>
      <w:r w:rsidR="00571BC7" w:rsidRPr="008D38F6">
        <w:rPr>
          <w:rFonts w:cs="Tahoma"/>
          <w:szCs w:val="20"/>
          <w:lang w:val="pt-BR"/>
        </w:rPr>
        <w:t> </w:t>
      </w:r>
      <w:r w:rsidRPr="008D38F6">
        <w:rPr>
          <w:rFonts w:cs="Tahoma"/>
          <w:szCs w:val="20"/>
          <w:lang w:val="pt-BR"/>
        </w:rPr>
        <w:t>unicamente no Software Assurance. Os clientes receberão uma notificação por escrito 60 dias antes do término do registro, informando-os sobre suas opções de renovação.</w:t>
      </w:r>
      <w:r w:rsidR="00FB5496" w:rsidRPr="008D38F6">
        <w:rPr>
          <w:rFonts w:cs="Tahoma"/>
          <w:szCs w:val="20"/>
          <w:lang w:val="pt-BR"/>
        </w:rPr>
        <w:t xml:space="preserve"> </w:t>
      </w:r>
      <w:r w:rsidRPr="008D38F6">
        <w:rPr>
          <w:rFonts w:cs="Tahoma"/>
          <w:szCs w:val="20"/>
          <w:lang w:val="pt-BR"/>
        </w:rPr>
        <w:t>Para renovar, os clientes deverão assinar um</w:t>
      </w:r>
      <w:r w:rsidR="00571BC7" w:rsidRPr="008D38F6">
        <w:rPr>
          <w:rFonts w:cs="Tahoma"/>
          <w:szCs w:val="20"/>
          <w:lang w:val="pt-BR"/>
        </w:rPr>
        <w:t> </w:t>
      </w:r>
      <w:r w:rsidRPr="008D38F6">
        <w:rPr>
          <w:rFonts w:cs="Tahoma"/>
          <w:szCs w:val="20"/>
          <w:lang w:val="pt-BR"/>
        </w:rPr>
        <w:t>novo Registro Enterprise 2011 ou posterior e Contrato. O prazo de renovação terá início no dia seguinte ao término do prazo ante</w:t>
      </w:r>
      <w:r w:rsidR="00A56037" w:rsidRPr="008D38F6">
        <w:rPr>
          <w:rFonts w:cs="Tahoma"/>
          <w:szCs w:val="20"/>
          <w:lang w:val="pt-BR"/>
        </w:rPr>
        <w:t>rior.</w:t>
      </w:r>
    </w:p>
    <w:p w:rsidR="00171817" w:rsidRPr="008D38F6" w:rsidRDefault="00171817" w:rsidP="00171817">
      <w:pPr>
        <w:tabs>
          <w:tab w:val="num" w:pos="0"/>
        </w:tabs>
        <w:rPr>
          <w:b/>
          <w:lang w:val="pt-BR"/>
        </w:rPr>
      </w:pPr>
    </w:p>
    <w:p w:rsidR="003E606C" w:rsidRPr="008D38F6" w:rsidRDefault="00171817" w:rsidP="0063466C">
      <w:pPr>
        <w:tabs>
          <w:tab w:val="num" w:pos="0"/>
        </w:tabs>
        <w:spacing w:after="60"/>
        <w:rPr>
          <w:lang w:val="pt-BR"/>
        </w:rPr>
      </w:pPr>
      <w:r w:rsidRPr="008D38F6">
        <w:rPr>
          <w:rFonts w:cs="Tahoma"/>
          <w:b/>
          <w:szCs w:val="20"/>
          <w:lang w:val="pt-BR"/>
        </w:rPr>
        <w:t>Enrollment for Application Platform</w:t>
      </w:r>
    </w:p>
    <w:p w:rsidR="00171817" w:rsidRPr="008D38F6" w:rsidRDefault="00171817" w:rsidP="0063466C">
      <w:pPr>
        <w:tabs>
          <w:tab w:val="num" w:pos="0"/>
        </w:tabs>
        <w:rPr>
          <w:lang w:val="pt-BR"/>
        </w:rPr>
      </w:pPr>
      <w:r w:rsidRPr="008D38F6">
        <w:rPr>
          <w:rFonts w:cs="Tahoma"/>
          <w:szCs w:val="20"/>
          <w:lang w:val="pt-BR"/>
        </w:rPr>
        <w:t>Os clientes poderão solicitar o Software Assurance para os produtos disponíveis sem precisar solicitar uma Licença simultaneamente conforme disposto nos termos e condições do registro.</w:t>
      </w:r>
    </w:p>
    <w:p w:rsidR="00865A60" w:rsidRPr="008D38F6" w:rsidRDefault="00865A60" w:rsidP="00865A60">
      <w:pPr>
        <w:rPr>
          <w:lang w:val="pt-BR"/>
        </w:rPr>
      </w:pPr>
    </w:p>
    <w:p w:rsidR="00171817" w:rsidRPr="00416070" w:rsidRDefault="00171817" w:rsidP="00951852">
      <w:pPr>
        <w:pStyle w:val="Heading4"/>
        <w:ind w:left="360"/>
      </w:pPr>
      <w:bookmarkStart w:id="764" w:name="_Toc323159750"/>
      <w:bookmarkStart w:id="765" w:name="_Toc336338226"/>
      <w:bookmarkStart w:id="766" w:name="_Toc352234294"/>
      <w:r w:rsidRPr="00416070">
        <w:rPr>
          <w:rFonts w:ascii="Tahoma" w:hAnsi="Tahoma" w:cs="Tahoma"/>
          <w:sz w:val="24"/>
        </w:rPr>
        <w:t>Renovação entre programas</w:t>
      </w:r>
      <w:bookmarkEnd w:id="764"/>
      <w:bookmarkEnd w:id="765"/>
      <w:bookmarkEnd w:id="766"/>
    </w:p>
    <w:p w:rsidR="00171817" w:rsidRPr="008D38F6" w:rsidRDefault="00171817" w:rsidP="00171817">
      <w:pPr>
        <w:tabs>
          <w:tab w:val="num" w:pos="0"/>
        </w:tabs>
        <w:rPr>
          <w:lang w:val="pt-BR"/>
        </w:rPr>
      </w:pPr>
    </w:p>
    <w:p w:rsidR="00171817" w:rsidRPr="008D38F6" w:rsidRDefault="00171817" w:rsidP="00171817">
      <w:pPr>
        <w:pStyle w:val="AppendIndentSub"/>
        <w:tabs>
          <w:tab w:val="num" w:pos="0"/>
        </w:tabs>
        <w:ind w:left="0"/>
        <w:rPr>
          <w:lang w:val="pt-BR"/>
        </w:rPr>
      </w:pPr>
      <w:r w:rsidRPr="008D38F6">
        <w:rPr>
          <w:rFonts w:ascii="Tahoma" w:hAnsi="Tahoma" w:cs="Tahoma"/>
          <w:sz w:val="18"/>
          <w:lang w:val="pt-BR"/>
        </w:rPr>
        <w:t>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w:t>
      </w:r>
      <w:r w:rsidR="00A56037" w:rsidRPr="008D38F6">
        <w:rPr>
          <w:rFonts w:ascii="Tahoma" w:hAnsi="Tahoma" w:cs="Tahoma"/>
          <w:sz w:val="18"/>
          <w:lang w:val="pt-BR"/>
        </w:rPr>
        <w:t xml:space="preserve"> término da cobertura anterior.</w:t>
      </w:r>
    </w:p>
    <w:p w:rsidR="00171817" w:rsidRPr="008D38F6" w:rsidRDefault="00171817" w:rsidP="00171817">
      <w:pPr>
        <w:pStyle w:val="AppendIndentSub"/>
        <w:tabs>
          <w:tab w:val="num" w:pos="0"/>
        </w:tabs>
        <w:ind w:left="0"/>
        <w:rPr>
          <w:rFonts w:ascii="Tahoma" w:hAnsi="Tahoma" w:cs="Tahoma"/>
          <w:sz w:val="18"/>
          <w:szCs w:val="18"/>
          <w:lang w:val="pt-BR"/>
        </w:rPr>
      </w:pPr>
    </w:p>
    <w:p w:rsidR="00171817" w:rsidRPr="008D38F6" w:rsidRDefault="00171817" w:rsidP="00171817">
      <w:pPr>
        <w:pStyle w:val="AppendIndentSub"/>
        <w:tabs>
          <w:tab w:val="num" w:pos="0"/>
        </w:tabs>
        <w:ind w:left="0"/>
        <w:rPr>
          <w:lang w:val="pt-BR"/>
        </w:rPr>
      </w:pPr>
      <w:r w:rsidRPr="008D38F6">
        <w:rPr>
          <w:rFonts w:ascii="Tahoma" w:hAnsi="Tahoma" w:cs="Tahoma"/>
          <w:sz w:val="18"/>
          <w:lang w:val="pt-BR"/>
        </w:rPr>
        <w:t>Os clientes que estiverem renovando a partir do Programa de Licença Open terão 90 dias a partir da data de término da cobertura anterior para fazer esse pedido. Para os Contratos de versões de 2008 e anteriores, esse pedido deverá ser feito dentro de 30 dias da data de término da cobertura anterior (90 dias se a renovação for a partir do Programa de Licença Open).</w:t>
      </w:r>
    </w:p>
    <w:p w:rsidR="00171817" w:rsidRPr="008D38F6" w:rsidRDefault="00171817" w:rsidP="00171817">
      <w:pPr>
        <w:pStyle w:val="AppendIndentSub"/>
        <w:tabs>
          <w:tab w:val="num" w:pos="0"/>
        </w:tabs>
        <w:ind w:left="0"/>
        <w:rPr>
          <w:rFonts w:ascii="Tahoma" w:hAnsi="Tahoma" w:cs="Tahoma"/>
          <w:sz w:val="18"/>
          <w:szCs w:val="18"/>
          <w:lang w:val="pt-BR"/>
        </w:rPr>
      </w:pPr>
    </w:p>
    <w:p w:rsidR="00171817" w:rsidRPr="008D38F6" w:rsidRDefault="00171817" w:rsidP="00171817">
      <w:pPr>
        <w:pStyle w:val="AppendIndentSub"/>
        <w:tabs>
          <w:tab w:val="num" w:pos="0"/>
        </w:tabs>
        <w:ind w:left="0"/>
        <w:rPr>
          <w:lang w:val="pt-BR"/>
        </w:rPr>
      </w:pPr>
      <w:r w:rsidRPr="008D38F6">
        <w:rPr>
          <w:rFonts w:ascii="Tahoma" w:hAnsi="Tahoma" w:cs="Tahoma"/>
          <w:sz w:val="18"/>
          <w:szCs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FB5496" w:rsidRPr="008D38F6">
        <w:rPr>
          <w:rFonts w:ascii="Tahoma" w:hAnsi="Tahoma" w:cs="Tahoma"/>
          <w:sz w:val="18"/>
          <w:szCs w:val="18"/>
          <w:lang w:val="pt-BR"/>
        </w:rPr>
        <w:t xml:space="preserve"> </w:t>
      </w:r>
      <w:r w:rsidRPr="008D38F6">
        <w:rPr>
          <w:rFonts w:ascii="Tahoma" w:hAnsi="Tahoma" w:cs="Tahoma"/>
          <w:sz w:val="18"/>
          <w:szCs w:val="18"/>
          <w:lang w:val="pt-BR"/>
        </w:rPr>
        <w:t>Como os preços do Software Assurance não</w:t>
      </w:r>
      <w:r w:rsidR="00571BC7" w:rsidRPr="008D38F6">
        <w:rPr>
          <w:rFonts w:ascii="Tahoma" w:hAnsi="Tahoma" w:cs="Tahoma"/>
          <w:sz w:val="18"/>
          <w:szCs w:val="18"/>
          <w:lang w:val="pt-BR"/>
        </w:rPr>
        <w:t> </w:t>
      </w:r>
      <w:r w:rsidRPr="008D38F6">
        <w:rPr>
          <w:rFonts w:ascii="Tahoma" w:hAnsi="Tahoma" w:cs="Tahoma"/>
          <w:sz w:val="18"/>
          <w:szCs w:val="18"/>
          <w:lang w:val="pt-BR"/>
        </w:rPr>
        <w:t>serão proporcionais a nenhum período anual parcial de cobertura, os clientes deverão determinar o momento dos pedidos a fim de aproveitar qualquer aniversário da data de início de vigência de seus contratos existentes.</w:t>
      </w:r>
      <w:r w:rsidR="00FB5496" w:rsidRPr="008D38F6">
        <w:rPr>
          <w:rFonts w:ascii="Tahoma" w:hAnsi="Tahoma" w:cs="Tahoma"/>
          <w:sz w:val="18"/>
          <w:szCs w:val="18"/>
          <w:lang w:val="pt-BR"/>
        </w:rPr>
        <w:t xml:space="preserve"> </w:t>
      </w:r>
      <w:r w:rsidRPr="008D38F6">
        <w:rPr>
          <w:rFonts w:ascii="Tahoma" w:hAnsi="Tahoma" w:cs="Tahoma"/>
          <w:sz w:val="18"/>
          <w:szCs w:val="18"/>
          <w:lang w:val="pt-BR"/>
        </w:rPr>
        <w:t>Para</w:t>
      </w:r>
      <w:r w:rsidR="00571BC7" w:rsidRPr="008D38F6">
        <w:rPr>
          <w:rFonts w:ascii="Tahoma" w:hAnsi="Tahoma" w:cs="Tahoma"/>
          <w:sz w:val="18"/>
          <w:szCs w:val="18"/>
          <w:lang w:val="pt-BR"/>
        </w:rPr>
        <w:t> </w:t>
      </w:r>
      <w:r w:rsidRPr="008D38F6">
        <w:rPr>
          <w:rFonts w:ascii="Tahoma" w:hAnsi="Tahoma" w:cs="Tahoma"/>
          <w:sz w:val="18"/>
          <w:szCs w:val="18"/>
          <w:lang w:val="pt-BR"/>
        </w:rPr>
        <w:t>os Contratos de versões de 2008 e anteriores, contanto que a cobertura seja renovada dentro de 30 dias (90</w:t>
      </w:r>
      <w:r w:rsidR="00571BC7" w:rsidRPr="008D38F6">
        <w:rPr>
          <w:rFonts w:ascii="Tahoma" w:hAnsi="Tahoma" w:cs="Tahoma"/>
          <w:sz w:val="18"/>
          <w:szCs w:val="18"/>
          <w:lang w:val="pt-BR"/>
        </w:rPr>
        <w:t> </w:t>
      </w:r>
      <w:r w:rsidRPr="008D38F6">
        <w:rPr>
          <w:rFonts w:ascii="Tahoma" w:hAnsi="Tahoma" w:cs="Tahoma"/>
          <w:sz w:val="18"/>
          <w:szCs w:val="18"/>
          <w:lang w:val="pt-BR"/>
        </w:rPr>
        <w:t>dias se a 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w:t>
      </w:r>
      <w:r w:rsidR="00A56037" w:rsidRPr="008D38F6">
        <w:rPr>
          <w:rFonts w:ascii="Tahoma" w:hAnsi="Tahoma" w:cs="Tahoma"/>
          <w:sz w:val="18"/>
          <w:szCs w:val="18"/>
          <w:lang w:val="pt-BR"/>
        </w:rPr>
        <w:t xml:space="preserve"> que a cobertura seja renovada.</w:t>
      </w:r>
    </w:p>
    <w:p w:rsidR="00023FE7" w:rsidRPr="008D38F6" w:rsidRDefault="00023FE7">
      <w:pPr>
        <w:pStyle w:val="AppendixIndent"/>
        <w:tabs>
          <w:tab w:val="num" w:pos="0"/>
        </w:tabs>
        <w:ind w:left="0"/>
        <w:rPr>
          <w:rFonts w:ascii="Tahoma" w:hAnsi="Tahoma" w:cs="Tahoma"/>
          <w:sz w:val="18"/>
          <w:szCs w:val="18"/>
          <w:lang w:val="pt-BR"/>
        </w:rPr>
      </w:pPr>
    </w:p>
    <w:p w:rsidR="00023FE7" w:rsidRPr="008D38F6" w:rsidRDefault="00023FE7">
      <w:pPr>
        <w:rPr>
          <w:lang w:val="pt-BR"/>
        </w:rPr>
      </w:pPr>
      <w:r w:rsidRPr="008D38F6">
        <w:rPr>
          <w:rFonts w:cs="Tahoma"/>
          <w:lang w:val="pt-BR"/>
        </w:rPr>
        <w:br w:type="page"/>
      </w:r>
    </w:p>
    <w:p w:rsidR="00EA1A1E" w:rsidRPr="00416070" w:rsidRDefault="00EA1A1E" w:rsidP="003179E3">
      <w:pPr>
        <w:pStyle w:val="Heading1"/>
        <w:spacing w:before="0"/>
      </w:pPr>
      <w:bookmarkStart w:id="767" w:name="_Toc336338227"/>
      <w:bookmarkStart w:id="768" w:name="_Toc352234295"/>
      <w:r w:rsidRPr="00416070">
        <w:lastRenderedPageBreak/>
        <w:t>SEÇÃO 7 – BENEFÍCIOS DO software assurance (SA) e Benefícios dos Serviços</w:t>
      </w:r>
      <w:r w:rsidR="008F22AF" w:rsidRPr="008D38F6">
        <w:rPr>
          <w:lang w:val="pt-BR"/>
        </w:rPr>
        <w:t> </w:t>
      </w:r>
      <w:r w:rsidRPr="00416070">
        <w:t>Online (OLS)</w:t>
      </w:r>
      <w:bookmarkEnd w:id="767"/>
      <w:bookmarkEnd w:id="768"/>
    </w:p>
    <w:p w:rsidR="00EA1A1E" w:rsidRPr="008D38F6" w:rsidRDefault="00EA1A1E" w:rsidP="00EA1A1E">
      <w:pPr>
        <w:rPr>
          <w:lang w:val="pt-BR"/>
        </w:rPr>
      </w:pPr>
    </w:p>
    <w:p w:rsidR="00E7419A" w:rsidRPr="008D38F6" w:rsidRDefault="00E7419A" w:rsidP="00E7419A">
      <w:pPr>
        <w:spacing w:after="60"/>
        <w:rPr>
          <w:lang w:val="pt-BR"/>
        </w:rPr>
      </w:pPr>
      <w:r w:rsidRPr="008D38F6">
        <w:rPr>
          <w:rFonts w:cs="Tahoma"/>
          <w:szCs w:val="20"/>
          <w:lang w:val="pt-BR"/>
        </w:rPr>
        <w:t>Os benefícios do Software Assurance e os benefícios dos Serviços Online são descritos nesta seção.</w:t>
      </w:r>
    </w:p>
    <w:p w:rsidR="00EA1A1E" w:rsidRPr="008D38F6" w:rsidRDefault="00EA1A1E" w:rsidP="00BA0707">
      <w:pPr>
        <w:rPr>
          <w:lang w:val="pt-BR"/>
        </w:rPr>
      </w:pPr>
    </w:p>
    <w:p w:rsidR="003E606C" w:rsidRPr="008D38F6" w:rsidRDefault="003E606C" w:rsidP="0063466C">
      <w:pPr>
        <w:spacing w:after="60"/>
        <w:rPr>
          <w:lang w:val="pt-BR"/>
        </w:rPr>
      </w:pPr>
      <w:r w:rsidRPr="008D38F6">
        <w:rPr>
          <w:rFonts w:cs="Tahoma"/>
          <w:b/>
          <w:szCs w:val="20"/>
          <w:lang w:val="pt-BR"/>
        </w:rPr>
        <w:t>Benefícios do Software Assurance</w:t>
      </w:r>
    </w:p>
    <w:p w:rsidR="00E7419A" w:rsidRPr="008D38F6" w:rsidRDefault="00E7419A" w:rsidP="00AD1F35">
      <w:pPr>
        <w:rPr>
          <w:lang w:val="pt-BR"/>
        </w:rPr>
      </w:pPr>
      <w:r w:rsidRPr="008D38F6">
        <w:rPr>
          <w:rFonts w:cs="Tahoma"/>
          <w:szCs w:val="20"/>
          <w:lang w:val="pt-BR"/>
        </w:rPr>
        <w:t>Esses benefícios variam de acordo com o produto e o pool de produtos. O acesso e os direitos do cliente de usar os</w:t>
      </w:r>
      <w:r w:rsidR="008F22AF" w:rsidRPr="008D38F6">
        <w:rPr>
          <w:rFonts w:cs="Tahoma"/>
          <w:szCs w:val="20"/>
          <w:lang w:val="pt-BR"/>
        </w:rPr>
        <w:t> </w:t>
      </w:r>
      <w:r w:rsidRPr="008D38F6">
        <w:rPr>
          <w:rFonts w:cs="Tahoma"/>
          <w:szCs w:val="20"/>
          <w:lang w:val="pt-BR"/>
        </w:rPr>
        <w:t>benefícios do Software Assurance geralmente expiram com o término da cobertura do Software Assurance. A</w:t>
      </w:r>
      <w:r w:rsidR="008F22AF" w:rsidRPr="008D38F6">
        <w:rPr>
          <w:rFonts w:cs="Tahoma"/>
          <w:szCs w:val="20"/>
          <w:lang w:val="pt-BR"/>
        </w:rPr>
        <w:t> </w:t>
      </w:r>
      <w:r w:rsidRPr="008D38F6">
        <w:rPr>
          <w:rFonts w:cs="Tahoma"/>
          <w:szCs w:val="20"/>
          <w:lang w:val="pt-BR"/>
        </w:rPr>
        <w:t>maioria dos benefícios do Software Assurance é concedida no início do período da cobertura.</w:t>
      </w:r>
      <w:r w:rsidR="00FB5496" w:rsidRPr="008D38F6">
        <w:rPr>
          <w:rFonts w:cs="Tahoma"/>
          <w:szCs w:val="20"/>
          <w:lang w:val="pt-BR"/>
        </w:rPr>
        <w:t xml:space="preserve"> </w:t>
      </w:r>
      <w:r w:rsidRPr="008D38F6">
        <w:rPr>
          <w:rFonts w:cs="Tahoma"/>
          <w:szCs w:val="20"/>
          <w:lang w:val="pt-BR"/>
        </w:rPr>
        <w:t>Quaisquer alterações</w:t>
      </w:r>
      <w:r w:rsidR="008F22AF" w:rsidRPr="008D38F6">
        <w:rPr>
          <w:rFonts w:cs="Tahoma"/>
          <w:szCs w:val="20"/>
          <w:lang w:val="pt-BR"/>
        </w:rPr>
        <w:t> </w:t>
      </w:r>
      <w:r w:rsidRPr="008D38F6">
        <w:rPr>
          <w:rFonts w:cs="Tahoma"/>
          <w:szCs w:val="20"/>
          <w:lang w:val="pt-BR"/>
        </w:rPr>
        <w:t>que ocorrerem durante o período de cobertura (por exemplo, compras adicionais, devoluções ou</w:t>
      </w:r>
      <w:r w:rsidR="00AD1F35" w:rsidRPr="008D38F6">
        <w:rPr>
          <w:rFonts w:cs="Tahoma"/>
          <w:szCs w:val="20"/>
          <w:lang w:val="pt-BR"/>
        </w:rPr>
        <w:t> </w:t>
      </w:r>
      <w:r w:rsidRPr="008D38F6">
        <w:rPr>
          <w:rFonts w:cs="Tahoma"/>
          <w:szCs w:val="20"/>
          <w:lang w:val="pt-BR"/>
        </w:rPr>
        <w:t>transições de serviços online) poderão resultar em uma alteração na qualificação ao benefício.</w:t>
      </w:r>
    </w:p>
    <w:p w:rsidR="00BA0707" w:rsidRPr="008D38F6" w:rsidRDefault="00BA0707" w:rsidP="00BA0707">
      <w:pPr>
        <w:rPr>
          <w:lang w:val="pt-BR"/>
        </w:rPr>
      </w:pPr>
    </w:p>
    <w:p w:rsidR="0063466C" w:rsidRPr="008D38F6" w:rsidRDefault="0063466C" w:rsidP="0063466C">
      <w:pPr>
        <w:spacing w:after="60"/>
        <w:rPr>
          <w:lang w:val="pt-BR"/>
        </w:rPr>
      </w:pPr>
      <w:r w:rsidRPr="008D38F6">
        <w:rPr>
          <w:rFonts w:cs="Tahoma"/>
          <w:b/>
          <w:szCs w:val="20"/>
          <w:lang w:val="pt-BR"/>
        </w:rPr>
        <w:t>Benefícios dos Serviços Online</w:t>
      </w:r>
    </w:p>
    <w:p w:rsidR="00E7419A" w:rsidRPr="008D38F6" w:rsidRDefault="009F1A2B" w:rsidP="0063466C">
      <w:pPr>
        <w:rPr>
          <w:lang w:val="pt-BR"/>
        </w:rPr>
      </w:pPr>
      <w:r w:rsidRPr="008D38F6">
        <w:rPr>
          <w:rFonts w:cs="Tahoma"/>
          <w:szCs w:val="20"/>
          <w:lang w:val="pt-BR"/>
        </w:rPr>
        <w:t>Esses benefícios variam de acordo com o produto.</w:t>
      </w:r>
      <w:r w:rsidR="00FB5496" w:rsidRPr="008D38F6">
        <w:rPr>
          <w:rFonts w:cs="Tahoma"/>
          <w:szCs w:val="20"/>
          <w:lang w:val="pt-BR"/>
        </w:rPr>
        <w:t xml:space="preserve"> </w:t>
      </w:r>
      <w:r w:rsidRPr="008D38F6">
        <w:rPr>
          <w:rFonts w:cs="Tahoma"/>
          <w:szCs w:val="20"/>
          <w:lang w:val="pt-BR"/>
        </w:rPr>
        <w:t>O acesso e os direitos de uso dos benefícios dos Serviços Online do Cliente cessarão no término das licenças de assinatura dos s</w:t>
      </w:r>
      <w:r w:rsidR="00AD1F35" w:rsidRPr="008D38F6">
        <w:rPr>
          <w:rFonts w:cs="Tahoma"/>
          <w:szCs w:val="20"/>
          <w:lang w:val="pt-BR"/>
        </w:rPr>
        <w:t>erviços online correspondentes.</w:t>
      </w:r>
    </w:p>
    <w:p w:rsidR="009F1A2B" w:rsidRPr="008D38F6" w:rsidRDefault="009F1A2B" w:rsidP="0063466C">
      <w:pPr>
        <w:rPr>
          <w:lang w:val="pt-BR"/>
        </w:rPr>
      </w:pPr>
    </w:p>
    <w:p w:rsidR="00E7419A" w:rsidRPr="008D38F6" w:rsidRDefault="00E7419A" w:rsidP="0063466C">
      <w:pPr>
        <w:rPr>
          <w:lang w:val="pt-BR"/>
        </w:rPr>
      </w:pPr>
      <w:r w:rsidRPr="008D38F6">
        <w:rPr>
          <w:rFonts w:cs="Tahoma"/>
          <w:szCs w:val="20"/>
          <w:lang w:val="pt-BR"/>
        </w:rPr>
        <w:t>Quaisquer exceções às regras acima serão indicadas nas seções sobre benefícios individuais a seguir.</w:t>
      </w:r>
      <w:r w:rsidR="00FB5496" w:rsidRPr="008D38F6">
        <w:rPr>
          <w:rFonts w:cs="Tahoma"/>
          <w:szCs w:val="20"/>
          <w:lang w:val="pt-BR"/>
        </w:rPr>
        <w:t xml:space="preserve"> </w:t>
      </w:r>
      <w:r w:rsidRPr="008D38F6">
        <w:rPr>
          <w:rFonts w:cs="Tahoma"/>
          <w:szCs w:val="20"/>
          <w:lang w:val="pt-BR"/>
        </w:rPr>
        <w:t>Os</w:t>
      </w:r>
      <w:r w:rsidR="002D000C" w:rsidRPr="008D38F6">
        <w:rPr>
          <w:rFonts w:cs="Tahoma"/>
          <w:szCs w:val="20"/>
          <w:lang w:val="pt-BR"/>
        </w:rPr>
        <w:t> </w:t>
      </w:r>
      <w:r w:rsidRPr="008D38F6">
        <w:rPr>
          <w:rFonts w:cs="Tahoma"/>
          <w:szCs w:val="20"/>
          <w:lang w:val="pt-BR"/>
        </w:rPr>
        <w:t>benefícios</w:t>
      </w:r>
      <w:r w:rsidR="008F22AF" w:rsidRPr="008D38F6">
        <w:rPr>
          <w:rFonts w:cs="Tahoma"/>
          <w:szCs w:val="20"/>
          <w:lang w:val="pt-BR"/>
        </w:rPr>
        <w:t> </w:t>
      </w:r>
      <w:r w:rsidRPr="008D38F6">
        <w:rPr>
          <w:rFonts w:cs="Tahoma"/>
          <w:szCs w:val="20"/>
          <w:lang w:val="pt-BR"/>
        </w:rPr>
        <w:t>estão sujeitos a alterações e podem ser descontinuados a qualquer momento sem notificação prévia.</w:t>
      </w:r>
      <w:r w:rsidR="002D000C" w:rsidRPr="008D38F6">
        <w:rPr>
          <w:rFonts w:cs="Tahoma"/>
          <w:szCs w:val="20"/>
          <w:lang w:val="pt-BR"/>
        </w:rPr>
        <w:t> </w:t>
      </w:r>
      <w:r w:rsidRPr="008D38F6">
        <w:rPr>
          <w:rFonts w:cs="Tahoma"/>
          <w:szCs w:val="20"/>
          <w:lang w:val="pt-BR"/>
        </w:rPr>
        <w:t>A</w:t>
      </w:r>
      <w:r w:rsidR="008F22AF" w:rsidRPr="008D38F6">
        <w:rPr>
          <w:rFonts w:cs="Tahoma"/>
          <w:szCs w:val="20"/>
          <w:lang w:val="pt-BR"/>
        </w:rPr>
        <w:t> </w:t>
      </w:r>
      <w:r w:rsidRPr="008D38F6">
        <w:rPr>
          <w:rFonts w:cs="Tahoma"/>
          <w:szCs w:val="20"/>
          <w:lang w:val="pt-BR"/>
        </w:rPr>
        <w:t>disponibilidade dos benefícios variam por programa, região, o</w:t>
      </w:r>
      <w:r w:rsidR="00AD1F35" w:rsidRPr="008D38F6">
        <w:rPr>
          <w:rFonts w:cs="Tahoma"/>
          <w:szCs w:val="20"/>
          <w:lang w:val="pt-BR"/>
        </w:rPr>
        <w:t>pções de fornecimento e idioma.</w:t>
      </w:r>
    </w:p>
    <w:p w:rsidR="00023FE7" w:rsidRPr="008D38F6" w:rsidRDefault="00023FE7" w:rsidP="0063466C">
      <w:pPr>
        <w:pStyle w:val="AppendixBodyText"/>
        <w:spacing w:after="0"/>
        <w:rPr>
          <w:lang w:val="pt-BR"/>
        </w:rPr>
      </w:pPr>
    </w:p>
    <w:p w:rsidR="00023FE7" w:rsidRPr="008D38F6" w:rsidRDefault="00023FE7" w:rsidP="0063466C">
      <w:pPr>
        <w:pStyle w:val="AppendixBodyText"/>
        <w:spacing w:after="0"/>
        <w:rPr>
          <w:lang w:val="pt-BR"/>
        </w:rPr>
      </w:pPr>
      <w:r w:rsidRPr="008D38F6">
        <w:rPr>
          <w:rFonts w:ascii="Tahoma" w:hAnsi="Tahoma" w:cs="Tahoma"/>
          <w:sz w:val="18"/>
          <w:lang w:val="pt-BR"/>
        </w:rPr>
        <w:t>Os benefícios do Software Assurance e os benefícios dos Serviços Online estão alocados em diferentes programas, conforme mostrado na tabela a seguir:</w:t>
      </w:r>
    </w:p>
    <w:p w:rsidR="00023FE7" w:rsidRPr="008D38F6" w:rsidRDefault="00023FE7" w:rsidP="00BA0707">
      <w:pPr>
        <w:pStyle w:val="AppendixBodyText"/>
        <w:spacing w:after="0"/>
        <w:rPr>
          <w:lang w:val="pt-B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260"/>
        <w:gridCol w:w="1170"/>
        <w:gridCol w:w="1692"/>
        <w:gridCol w:w="2943"/>
        <w:gridCol w:w="1125"/>
      </w:tblGrid>
      <w:tr w:rsidR="009233CA" w:rsidRPr="00416070" w:rsidTr="007009C5">
        <w:trPr>
          <w:trHeight w:val="178"/>
        </w:trPr>
        <w:tc>
          <w:tcPr>
            <w:tcW w:w="1447" w:type="dxa"/>
            <w:shd w:val="clear" w:color="auto" w:fill="FFCC99"/>
            <w:vAlign w:val="center"/>
          </w:tcPr>
          <w:p w:rsidR="00394D2B" w:rsidRPr="00416070" w:rsidRDefault="00394D2B" w:rsidP="00FF3343">
            <w:pPr>
              <w:pStyle w:val="AppendixTableHeadings"/>
              <w:jc w:val="left"/>
              <w:rPr>
                <w:rFonts w:ascii="Tahoma" w:hAnsi="Tahoma" w:cs="Tahoma"/>
                <w:sz w:val="20"/>
                <w:szCs w:val="20"/>
              </w:rPr>
            </w:pPr>
            <w:r w:rsidRPr="00416070">
              <w:rPr>
                <w:rFonts w:ascii="Tahoma" w:hAnsi="Tahoma" w:cs="Tahoma"/>
                <w:sz w:val="20"/>
                <w:szCs w:val="20"/>
              </w:rPr>
              <w:t>Programas</w:t>
            </w:r>
          </w:p>
        </w:tc>
        <w:tc>
          <w:tcPr>
            <w:tcW w:w="1260" w:type="dxa"/>
            <w:shd w:val="clear" w:color="auto" w:fill="FFCC99"/>
            <w:vAlign w:val="center"/>
          </w:tcPr>
          <w:p w:rsidR="00394D2B" w:rsidRPr="00416070" w:rsidRDefault="00394D2B" w:rsidP="00FF3343">
            <w:pPr>
              <w:pStyle w:val="AppendixTableHeadings"/>
              <w:jc w:val="left"/>
              <w:rPr>
                <w:rFonts w:ascii="Tahoma" w:hAnsi="Tahoma" w:cs="Tahoma"/>
                <w:sz w:val="20"/>
                <w:szCs w:val="20"/>
              </w:rPr>
            </w:pPr>
            <w:r w:rsidRPr="00416070">
              <w:rPr>
                <w:rFonts w:ascii="Tahoma" w:hAnsi="Tahoma" w:cs="Tahoma"/>
                <w:sz w:val="20"/>
                <w:szCs w:val="20"/>
              </w:rPr>
              <w:t>Licença Open</w:t>
            </w:r>
          </w:p>
        </w:tc>
        <w:tc>
          <w:tcPr>
            <w:tcW w:w="1170" w:type="dxa"/>
            <w:shd w:val="clear" w:color="auto" w:fill="FFCC99"/>
            <w:vAlign w:val="center"/>
          </w:tcPr>
          <w:p w:rsidR="00394D2B" w:rsidRPr="00416070" w:rsidRDefault="00394D2B" w:rsidP="00FF3343">
            <w:pPr>
              <w:pStyle w:val="AppendixTableHeadings"/>
              <w:jc w:val="left"/>
              <w:rPr>
                <w:rFonts w:ascii="Tahoma" w:hAnsi="Tahoma" w:cs="Tahoma"/>
                <w:sz w:val="20"/>
                <w:szCs w:val="20"/>
              </w:rPr>
            </w:pPr>
            <w:r w:rsidRPr="00416070">
              <w:rPr>
                <w:rFonts w:ascii="Tahoma" w:hAnsi="Tahoma" w:cs="Tahoma"/>
                <w:sz w:val="20"/>
                <w:szCs w:val="20"/>
              </w:rPr>
              <w:t>Open Value</w:t>
            </w:r>
          </w:p>
        </w:tc>
        <w:tc>
          <w:tcPr>
            <w:tcW w:w="1692" w:type="dxa"/>
            <w:shd w:val="clear" w:color="auto" w:fill="FFCC99"/>
            <w:vAlign w:val="center"/>
          </w:tcPr>
          <w:p w:rsidR="00394D2B" w:rsidRPr="00416070" w:rsidRDefault="00394D2B" w:rsidP="00FF3343">
            <w:pPr>
              <w:pStyle w:val="AppendixTableHeadings"/>
              <w:jc w:val="left"/>
              <w:rPr>
                <w:rFonts w:ascii="Tahoma" w:hAnsi="Tahoma" w:cs="Tahoma"/>
                <w:sz w:val="20"/>
                <w:szCs w:val="20"/>
              </w:rPr>
            </w:pPr>
            <w:r w:rsidRPr="00416070">
              <w:rPr>
                <w:rFonts w:ascii="Tahoma" w:hAnsi="Tahoma" w:cs="Tahoma"/>
                <w:sz w:val="20"/>
                <w:szCs w:val="20"/>
              </w:rPr>
              <w:t>Open Value Subscription – Soluções Educacionais</w:t>
            </w:r>
          </w:p>
        </w:tc>
        <w:tc>
          <w:tcPr>
            <w:tcW w:w="2943" w:type="dxa"/>
            <w:shd w:val="clear" w:color="auto" w:fill="FFCC99"/>
            <w:vAlign w:val="center"/>
          </w:tcPr>
          <w:p w:rsidR="00394D2B" w:rsidRPr="008D38F6" w:rsidRDefault="00394D2B" w:rsidP="00FF3343">
            <w:pPr>
              <w:pStyle w:val="AppendixTableHeadings"/>
              <w:jc w:val="left"/>
              <w:rPr>
                <w:lang w:val="pt-BR"/>
              </w:rPr>
            </w:pPr>
            <w:r w:rsidRPr="008D38F6">
              <w:rPr>
                <w:rFonts w:ascii="Tahoma" w:hAnsi="Tahoma" w:cs="Tahoma"/>
                <w:sz w:val="20"/>
                <w:szCs w:val="20"/>
                <w:lang w:val="pt-BR"/>
              </w:rPr>
              <w:t>Select*</w:t>
            </w:r>
          </w:p>
          <w:p w:rsidR="00394D2B" w:rsidRPr="008D38F6" w:rsidRDefault="00394D2B" w:rsidP="00FF3343">
            <w:pPr>
              <w:pStyle w:val="AppendixTableHeadings"/>
              <w:jc w:val="left"/>
              <w:rPr>
                <w:lang w:val="pt-BR"/>
              </w:rPr>
            </w:pPr>
            <w:r w:rsidRPr="008D38F6">
              <w:rPr>
                <w:rFonts w:ascii="Tahoma" w:hAnsi="Tahoma" w:cs="Tahoma"/>
                <w:sz w:val="20"/>
                <w:szCs w:val="20"/>
                <w:lang w:val="pt-BR"/>
              </w:rPr>
              <w:t>Contrato Enterprise</w:t>
            </w:r>
          </w:p>
          <w:p w:rsidR="00394D2B" w:rsidRPr="008D38F6" w:rsidRDefault="00394D2B" w:rsidP="00FF3343">
            <w:pPr>
              <w:pStyle w:val="AppendixTableHeadings"/>
              <w:jc w:val="left"/>
              <w:rPr>
                <w:lang w:val="pt-BR"/>
              </w:rPr>
            </w:pPr>
            <w:r w:rsidRPr="008D38F6">
              <w:rPr>
                <w:rFonts w:ascii="Tahoma" w:hAnsi="Tahoma" w:cs="Tahoma"/>
                <w:sz w:val="20"/>
                <w:szCs w:val="20"/>
                <w:lang w:val="pt-BR"/>
              </w:rPr>
              <w:t>Soluções Educacionais do</w:t>
            </w:r>
            <w:r w:rsidR="002D000C" w:rsidRPr="008D38F6">
              <w:rPr>
                <w:rFonts w:ascii="Tahoma" w:hAnsi="Tahoma" w:cs="Tahoma"/>
                <w:sz w:val="20"/>
                <w:szCs w:val="20"/>
                <w:lang w:val="pt-BR"/>
              </w:rPr>
              <w:t> </w:t>
            </w:r>
            <w:r w:rsidRPr="008D38F6">
              <w:rPr>
                <w:rFonts w:ascii="Tahoma" w:hAnsi="Tahoma" w:cs="Tahoma"/>
                <w:sz w:val="20"/>
                <w:szCs w:val="20"/>
                <w:lang w:val="pt-BR"/>
              </w:rPr>
              <w:t>Registro sob o Contrato para Campus e o</w:t>
            </w:r>
          </w:p>
          <w:p w:rsidR="00394D2B" w:rsidRPr="00416070" w:rsidRDefault="00394D2B" w:rsidP="00FF3343">
            <w:pPr>
              <w:pStyle w:val="AppendixTableHeadings"/>
              <w:jc w:val="left"/>
              <w:rPr>
                <w:rFonts w:ascii="Tahoma" w:hAnsi="Tahoma" w:cs="Tahoma"/>
                <w:sz w:val="20"/>
                <w:szCs w:val="20"/>
              </w:rPr>
            </w:pPr>
            <w:r w:rsidRPr="00416070">
              <w:rPr>
                <w:rFonts w:ascii="Tahoma" w:hAnsi="Tahoma" w:cs="Tahoma"/>
                <w:sz w:val="20"/>
                <w:szCs w:val="20"/>
              </w:rPr>
              <w:t>Contrato School</w:t>
            </w:r>
          </w:p>
        </w:tc>
        <w:tc>
          <w:tcPr>
            <w:tcW w:w="1125" w:type="dxa"/>
            <w:shd w:val="clear" w:color="auto" w:fill="FFCC99"/>
            <w:vAlign w:val="center"/>
          </w:tcPr>
          <w:p w:rsidR="00394D2B" w:rsidRPr="00416070" w:rsidRDefault="00394D2B" w:rsidP="007E466C">
            <w:pPr>
              <w:pStyle w:val="AppendixTableHeadings"/>
              <w:rPr>
                <w:rFonts w:ascii="Tahoma" w:hAnsi="Tahoma" w:cs="Tahoma"/>
                <w:sz w:val="20"/>
                <w:szCs w:val="20"/>
              </w:rPr>
            </w:pPr>
            <w:r w:rsidRPr="00416070">
              <w:rPr>
                <w:rFonts w:ascii="Tahoma" w:hAnsi="Tahoma" w:cs="Tahoma"/>
                <w:sz w:val="20"/>
                <w:szCs w:val="20"/>
              </w:rPr>
              <w:t>Select Plus</w:t>
            </w:r>
          </w:p>
        </w:tc>
      </w:tr>
      <w:tr w:rsidR="009233CA" w:rsidRPr="00416070" w:rsidTr="007009C5">
        <w:trPr>
          <w:trHeight w:val="369"/>
        </w:trPr>
        <w:tc>
          <w:tcPr>
            <w:tcW w:w="1447" w:type="dxa"/>
            <w:vAlign w:val="center"/>
          </w:tcPr>
          <w:p w:rsidR="00394D2B" w:rsidRPr="008D38F6" w:rsidRDefault="00394D2B">
            <w:pPr>
              <w:pStyle w:val="AppendixTableText"/>
              <w:rPr>
                <w:rFonts w:ascii="Tahoma" w:hAnsi="Tahoma" w:cs="Tahoma"/>
                <w:szCs w:val="20"/>
                <w:lang w:val="pt-BR"/>
              </w:rPr>
            </w:pPr>
            <w:r w:rsidRPr="008D38F6">
              <w:rPr>
                <w:rFonts w:ascii="Tahoma" w:hAnsi="Tahoma" w:cs="Tahoma"/>
                <w:szCs w:val="20"/>
                <w:lang w:val="pt-BR"/>
              </w:rPr>
              <w:t>Os benefícios estão disponíveis por:</w:t>
            </w:r>
          </w:p>
        </w:tc>
        <w:tc>
          <w:tcPr>
            <w:tcW w:w="1260" w:type="dxa"/>
            <w:vAlign w:val="center"/>
          </w:tcPr>
          <w:p w:rsidR="00394D2B" w:rsidRPr="00416070" w:rsidRDefault="00394D2B">
            <w:pPr>
              <w:pStyle w:val="AppendixTableText"/>
              <w:rPr>
                <w:rFonts w:ascii="Tahoma" w:hAnsi="Tahoma" w:cs="Tahoma"/>
                <w:szCs w:val="20"/>
              </w:rPr>
            </w:pPr>
            <w:r w:rsidRPr="00416070">
              <w:rPr>
                <w:rFonts w:ascii="Tahoma" w:hAnsi="Tahoma" w:cs="Tahoma"/>
                <w:szCs w:val="20"/>
              </w:rPr>
              <w:t>Número de Licença</w:t>
            </w:r>
          </w:p>
        </w:tc>
        <w:tc>
          <w:tcPr>
            <w:tcW w:w="1170" w:type="dxa"/>
            <w:vAlign w:val="center"/>
          </w:tcPr>
          <w:p w:rsidR="00394D2B" w:rsidRPr="00416070" w:rsidRDefault="00394D2B">
            <w:pPr>
              <w:pStyle w:val="AppendixTableText"/>
              <w:rPr>
                <w:rFonts w:ascii="Tahoma" w:hAnsi="Tahoma" w:cs="Tahoma"/>
                <w:szCs w:val="20"/>
              </w:rPr>
            </w:pPr>
            <w:r w:rsidRPr="00416070">
              <w:rPr>
                <w:rFonts w:ascii="Tahoma" w:hAnsi="Tahoma" w:cs="Tahoma"/>
                <w:szCs w:val="20"/>
              </w:rPr>
              <w:t>Contrato</w:t>
            </w:r>
          </w:p>
        </w:tc>
        <w:tc>
          <w:tcPr>
            <w:tcW w:w="1692" w:type="dxa"/>
            <w:vAlign w:val="center"/>
          </w:tcPr>
          <w:p w:rsidR="00394D2B" w:rsidRPr="00416070" w:rsidRDefault="00394D2B" w:rsidP="00394D2B">
            <w:pPr>
              <w:pStyle w:val="AppendixTableText"/>
              <w:rPr>
                <w:rFonts w:ascii="Tahoma" w:hAnsi="Tahoma" w:cs="Tahoma"/>
                <w:szCs w:val="20"/>
              </w:rPr>
            </w:pPr>
            <w:r w:rsidRPr="00416070">
              <w:rPr>
                <w:rFonts w:ascii="Tahoma" w:hAnsi="Tahoma" w:cs="Tahoma"/>
                <w:szCs w:val="20"/>
              </w:rPr>
              <w:t>Contrato</w:t>
            </w:r>
          </w:p>
        </w:tc>
        <w:tc>
          <w:tcPr>
            <w:tcW w:w="2943" w:type="dxa"/>
            <w:vAlign w:val="center"/>
          </w:tcPr>
          <w:p w:rsidR="00394D2B" w:rsidRPr="00416070" w:rsidRDefault="00394D2B">
            <w:pPr>
              <w:pStyle w:val="AppendixTableText"/>
              <w:rPr>
                <w:rFonts w:ascii="Tahoma" w:hAnsi="Tahoma" w:cs="Tahoma"/>
                <w:szCs w:val="20"/>
              </w:rPr>
            </w:pPr>
            <w:r w:rsidRPr="00416070">
              <w:rPr>
                <w:rFonts w:ascii="Tahoma" w:hAnsi="Tahoma" w:cs="Tahoma"/>
                <w:szCs w:val="20"/>
              </w:rPr>
              <w:t>Qualificado</w:t>
            </w:r>
          </w:p>
        </w:tc>
        <w:tc>
          <w:tcPr>
            <w:tcW w:w="1125" w:type="dxa"/>
          </w:tcPr>
          <w:p w:rsidR="00394D2B" w:rsidRPr="00416070" w:rsidRDefault="00394D2B">
            <w:pPr>
              <w:pStyle w:val="AppendixTableText"/>
              <w:rPr>
                <w:rFonts w:ascii="Tahoma" w:hAnsi="Tahoma" w:cs="Tahoma"/>
                <w:szCs w:val="20"/>
              </w:rPr>
            </w:pPr>
            <w:r w:rsidRPr="00416070">
              <w:rPr>
                <w:rFonts w:ascii="Tahoma" w:hAnsi="Tahoma" w:cs="Tahoma"/>
                <w:szCs w:val="20"/>
              </w:rPr>
              <w:t>Afiliada Registrada</w:t>
            </w:r>
          </w:p>
        </w:tc>
      </w:tr>
    </w:tbl>
    <w:p w:rsidR="00023FE7" w:rsidRPr="008D38F6" w:rsidRDefault="00023FE7" w:rsidP="0063466C">
      <w:pPr>
        <w:pStyle w:val="AppendixBodyText"/>
        <w:spacing w:after="0"/>
        <w:ind w:right="403"/>
        <w:rPr>
          <w:rFonts w:ascii="Tahoma" w:hAnsi="Tahoma" w:cs="Tahoma"/>
          <w:sz w:val="16"/>
          <w:szCs w:val="16"/>
          <w:lang w:val="pt-BR"/>
        </w:rPr>
      </w:pPr>
      <w:r w:rsidRPr="008D38F6">
        <w:rPr>
          <w:rFonts w:ascii="Tahoma" w:hAnsi="Tahoma" w:cs="Tahoma"/>
          <w:b/>
          <w:i/>
          <w:sz w:val="16"/>
          <w:szCs w:val="16"/>
          <w:lang w:val="pt-BR"/>
        </w:rPr>
        <w:t>Observação:</w:t>
      </w:r>
      <w:r w:rsidRPr="008D38F6">
        <w:rPr>
          <w:rFonts w:ascii="Tahoma" w:hAnsi="Tahoma" w:cs="Tahoma"/>
          <w:i/>
          <w:sz w:val="16"/>
          <w:szCs w:val="16"/>
          <w:lang w:val="pt-BR"/>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rsidR="00023FE7" w:rsidRPr="008D38F6" w:rsidRDefault="00023FE7" w:rsidP="0063466C">
      <w:pPr>
        <w:pStyle w:val="AppendixBodyText"/>
        <w:spacing w:after="0"/>
        <w:rPr>
          <w:lang w:val="pt-BR"/>
        </w:rPr>
      </w:pPr>
    </w:p>
    <w:p w:rsidR="00023FE7" w:rsidRPr="008D38F6" w:rsidRDefault="00023FE7" w:rsidP="00AD1F35">
      <w:pPr>
        <w:pStyle w:val="AppendixBodyText"/>
        <w:spacing w:after="0"/>
        <w:rPr>
          <w:sz w:val="18"/>
          <w:szCs w:val="18"/>
          <w:lang w:val="pt-BR"/>
        </w:rPr>
      </w:pPr>
      <w:r w:rsidRPr="008D38F6">
        <w:rPr>
          <w:rFonts w:ascii="Tahoma" w:hAnsi="Tahoma" w:cs="Tahoma"/>
          <w:sz w:val="18"/>
          <w:szCs w:val="18"/>
          <w:lang w:val="pt-BR"/>
        </w:rPr>
        <w:t>Os Benefícios do Software Assurance e os benefícios dos Serviços Online são exibidos na tabela a seguir.</w:t>
      </w:r>
      <w:r w:rsidR="00FB5496" w:rsidRPr="008D38F6">
        <w:rPr>
          <w:rFonts w:ascii="Tahoma" w:hAnsi="Tahoma" w:cs="Tahoma"/>
          <w:sz w:val="18"/>
          <w:szCs w:val="18"/>
          <w:lang w:val="pt-BR"/>
        </w:rPr>
        <w:t xml:space="preserve"> </w:t>
      </w:r>
      <w:r w:rsidRPr="008D38F6">
        <w:rPr>
          <w:rFonts w:ascii="Tahoma" w:hAnsi="Tahoma" w:cs="Tahoma"/>
          <w:sz w:val="18"/>
          <w:szCs w:val="18"/>
          <w:lang w:val="pt-BR"/>
        </w:rPr>
        <w:t>Determinados benefícios correspondem a licenças individuais para as quais o Software Assurance foi adquirido.</w:t>
      </w:r>
      <w:r w:rsidR="00FB5496" w:rsidRPr="008D38F6">
        <w:rPr>
          <w:rFonts w:ascii="Tahoma" w:hAnsi="Tahoma" w:cs="Tahoma"/>
          <w:sz w:val="18"/>
          <w:szCs w:val="18"/>
          <w:lang w:val="pt-BR"/>
        </w:rPr>
        <w:t xml:space="preserve"> </w:t>
      </w:r>
      <w:r w:rsidRPr="008D38F6">
        <w:rPr>
          <w:rFonts w:ascii="Tahoma" w:hAnsi="Tahoma" w:cs="Tahoma"/>
          <w:sz w:val="18"/>
          <w:szCs w:val="18"/>
          <w:lang w:val="pt-BR"/>
        </w:rPr>
        <w:t>O</w:t>
      </w:r>
      <w:r w:rsidR="002D000C" w:rsidRPr="008D38F6">
        <w:rPr>
          <w:rFonts w:ascii="Tahoma" w:hAnsi="Tahoma" w:cs="Tahoma"/>
          <w:sz w:val="18"/>
          <w:szCs w:val="18"/>
          <w:lang w:val="pt-BR"/>
        </w:rPr>
        <w:t> </w:t>
      </w:r>
      <w:r w:rsidRPr="008D38F6">
        <w:rPr>
          <w:rFonts w:ascii="Tahoma" w:hAnsi="Tahoma" w:cs="Tahoma"/>
          <w:sz w:val="18"/>
          <w:szCs w:val="18"/>
          <w:lang w:val="pt-BR"/>
        </w:rPr>
        <w:t>Software Assurance (ou outra proteção de atualização) ativo de qualquer produto qualificado, independentemente da versão do produto que um cliente esteja usando, qualifica o cliente para esses benefícios.</w:t>
      </w:r>
      <w:r w:rsidR="00FB5496" w:rsidRPr="008D38F6">
        <w:rPr>
          <w:rFonts w:ascii="Tahoma" w:hAnsi="Tahoma" w:cs="Tahoma"/>
          <w:sz w:val="18"/>
          <w:szCs w:val="18"/>
          <w:lang w:val="pt-BR"/>
        </w:rPr>
        <w:t xml:space="preserve"> </w:t>
      </w:r>
      <w:r w:rsidRPr="008D38F6">
        <w:rPr>
          <w:rFonts w:ascii="Tahoma" w:hAnsi="Tahoma" w:cs="Tahoma"/>
          <w:sz w:val="18"/>
          <w:szCs w:val="18"/>
          <w:lang w:val="pt-BR"/>
        </w:rPr>
        <w:t>Os produtos qualificados estão identificados na seção de cada produto.</w:t>
      </w:r>
      <w:r w:rsidR="00FB5496" w:rsidRPr="008D38F6">
        <w:rPr>
          <w:rFonts w:ascii="Tahoma" w:hAnsi="Tahoma" w:cs="Tahoma"/>
          <w:sz w:val="18"/>
          <w:szCs w:val="18"/>
          <w:lang w:val="pt-BR"/>
        </w:rPr>
        <w:t xml:space="preserve"> </w:t>
      </w:r>
      <w:r w:rsidRPr="008D38F6">
        <w:rPr>
          <w:rFonts w:ascii="Tahoma" w:hAnsi="Tahoma" w:cs="Tahoma"/>
          <w:sz w:val="18"/>
          <w:szCs w:val="18"/>
          <w:lang w:val="pt-BR"/>
        </w:rPr>
        <w:t>Alguns benefícios são concedidos com base nos gastos de</w:t>
      </w:r>
      <w:r w:rsidR="00AD1F35" w:rsidRPr="008D38F6">
        <w:rPr>
          <w:rFonts w:ascii="Tahoma" w:hAnsi="Tahoma" w:cs="Tahoma"/>
          <w:sz w:val="18"/>
          <w:szCs w:val="18"/>
          <w:lang w:val="pt-BR"/>
        </w:rPr>
        <w:t> </w:t>
      </w:r>
      <w:r w:rsidRPr="008D38F6">
        <w:rPr>
          <w:rFonts w:ascii="Tahoma" w:hAnsi="Tahoma" w:cs="Tahoma"/>
          <w:sz w:val="18"/>
          <w:szCs w:val="18"/>
          <w:lang w:val="pt-BR"/>
        </w:rPr>
        <w:t>SA do Cliente com um determinado conjunto de produtos qualificados de um pool.</w:t>
      </w:r>
      <w:r w:rsidR="00FB5496" w:rsidRPr="008D38F6">
        <w:rPr>
          <w:rFonts w:ascii="Tahoma" w:hAnsi="Tahoma" w:cs="Tahoma"/>
          <w:sz w:val="18"/>
          <w:szCs w:val="18"/>
          <w:lang w:val="pt-BR"/>
        </w:rPr>
        <w:t xml:space="preserve"> </w:t>
      </w:r>
      <w:r w:rsidRPr="008D38F6">
        <w:rPr>
          <w:rFonts w:ascii="Tahoma" w:hAnsi="Tahoma" w:cs="Tahoma"/>
          <w:sz w:val="18"/>
          <w:szCs w:val="18"/>
          <w:lang w:val="pt-BR"/>
        </w:rPr>
        <w:t>Para esses fins, “gastos de SA” não são literalmente os gastos reais em dólares do cliente.</w:t>
      </w:r>
      <w:r w:rsidR="00FB5496" w:rsidRPr="008D38F6">
        <w:rPr>
          <w:rFonts w:ascii="Tahoma" w:hAnsi="Tahoma" w:cs="Tahoma"/>
          <w:sz w:val="18"/>
          <w:szCs w:val="18"/>
          <w:lang w:val="pt-BR"/>
        </w:rPr>
        <w:t xml:space="preserve"> </w:t>
      </w:r>
      <w:r w:rsidRPr="008D38F6">
        <w:rPr>
          <w:rFonts w:ascii="Tahoma" w:hAnsi="Tahoma" w:cs="Tahoma"/>
          <w:sz w:val="18"/>
          <w:szCs w:val="18"/>
          <w:lang w:val="pt-BR"/>
        </w:rPr>
        <w:t>Em vez disso, eles são uma aproximação da quantia gasta</w:t>
      </w:r>
      <w:r w:rsidR="002D000C" w:rsidRPr="008D38F6">
        <w:rPr>
          <w:rFonts w:ascii="Tahoma" w:hAnsi="Tahoma" w:cs="Tahoma"/>
          <w:sz w:val="18"/>
          <w:szCs w:val="18"/>
          <w:lang w:val="pt-BR"/>
        </w:rPr>
        <w:t> </w:t>
      </w:r>
      <w:r w:rsidRPr="008D38F6">
        <w:rPr>
          <w:rFonts w:ascii="Tahoma" w:hAnsi="Tahoma" w:cs="Tahoma"/>
          <w:sz w:val="18"/>
          <w:szCs w:val="18"/>
          <w:lang w:val="pt-BR"/>
        </w:rPr>
        <w:t>por um cliente em cobertura de Software Assurance para esses produtos sob o Registro Select ou Enterprise, o</w:t>
      </w:r>
      <w:r w:rsidR="002D000C" w:rsidRPr="008D38F6">
        <w:rPr>
          <w:rFonts w:ascii="Tahoma" w:hAnsi="Tahoma" w:cs="Tahoma"/>
          <w:sz w:val="18"/>
          <w:szCs w:val="18"/>
          <w:lang w:val="pt-BR"/>
        </w:rPr>
        <w:t> </w:t>
      </w:r>
      <w:r w:rsidRPr="008D38F6">
        <w:rPr>
          <w:rFonts w:ascii="Tahoma" w:hAnsi="Tahoma" w:cs="Tahoma"/>
          <w:sz w:val="18"/>
          <w:szCs w:val="18"/>
          <w:lang w:val="pt-BR"/>
        </w:rPr>
        <w:t>registro Select Plus ou o contrato Open (por exemplo, aquisições apenas de SA e aquisições do componente SA de</w:t>
      </w:r>
      <w:r w:rsidR="002D000C" w:rsidRPr="008D38F6">
        <w:rPr>
          <w:rFonts w:ascii="Tahoma" w:hAnsi="Tahoma" w:cs="Tahoma"/>
          <w:sz w:val="18"/>
          <w:szCs w:val="18"/>
          <w:lang w:val="pt-BR"/>
        </w:rPr>
        <w:t> </w:t>
      </w:r>
      <w:r w:rsidRPr="008D38F6">
        <w:rPr>
          <w:rFonts w:ascii="Tahoma" w:hAnsi="Tahoma" w:cs="Tahoma"/>
          <w:sz w:val="18"/>
          <w:szCs w:val="18"/>
          <w:lang w:val="pt-BR"/>
        </w:rPr>
        <w:t>L&amp;SA (Licença e Software Assurance).</w:t>
      </w:r>
      <w:r w:rsidR="00FB5496" w:rsidRPr="008D38F6">
        <w:rPr>
          <w:rFonts w:ascii="Tahoma" w:hAnsi="Tahoma" w:cs="Tahoma"/>
          <w:sz w:val="18"/>
          <w:szCs w:val="18"/>
          <w:lang w:val="pt-BR"/>
        </w:rPr>
        <w:t xml:space="preserve"> </w:t>
      </w:r>
      <w:r w:rsidRPr="008D38F6">
        <w:rPr>
          <w:rFonts w:ascii="Tahoma" w:hAnsi="Tahoma" w:cs="Tahoma"/>
          <w:sz w:val="18"/>
          <w:szCs w:val="18"/>
          <w:lang w:val="pt-BR"/>
        </w:rPr>
        <w:t>Para os clientes sob programas de assinatura, esses gastos são uma aproximação do valor total em dólares que o cliente gastou com o licenciamento desses produtos sob seu registro ou</w:t>
      </w:r>
      <w:r w:rsidR="002D000C" w:rsidRPr="008D38F6">
        <w:rPr>
          <w:rFonts w:ascii="Tahoma" w:hAnsi="Tahoma" w:cs="Tahoma"/>
          <w:sz w:val="18"/>
          <w:szCs w:val="18"/>
          <w:lang w:val="pt-BR"/>
        </w:rPr>
        <w:t> </w:t>
      </w:r>
      <w:r w:rsidRPr="008D38F6">
        <w:rPr>
          <w:rFonts w:ascii="Tahoma" w:hAnsi="Tahoma" w:cs="Tahoma"/>
          <w:sz w:val="18"/>
          <w:szCs w:val="18"/>
          <w:lang w:val="pt-BR"/>
        </w:rPr>
        <w:t>contrato.</w:t>
      </w:r>
      <w:r w:rsidR="00FB5496" w:rsidRPr="008D38F6">
        <w:rPr>
          <w:rFonts w:ascii="Tahoma" w:hAnsi="Tahoma" w:cs="Tahoma"/>
          <w:sz w:val="18"/>
          <w:szCs w:val="18"/>
          <w:lang w:val="pt-BR"/>
        </w:rPr>
        <w:t xml:space="preserve"> </w:t>
      </w:r>
      <w:r w:rsidRPr="008D38F6">
        <w:rPr>
          <w:rFonts w:ascii="Tahoma" w:hAnsi="Tahoma" w:cs="Tahoma"/>
          <w:sz w:val="18"/>
          <w:szCs w:val="18"/>
          <w:lang w:val="pt-BR"/>
        </w:rPr>
        <w:t>Outros benefícios correspondem ao Programa de Membros do Software Assurance. O Programa de Membros do Software Assurance para o pool de produtos aplicável qualifica o cliente a esses benefícios.</w:t>
      </w:r>
    </w:p>
    <w:p w:rsidR="00F76ED4" w:rsidRPr="008D38F6" w:rsidRDefault="00F76ED4">
      <w:pPr>
        <w:rPr>
          <w:lang w:val="pt-BR"/>
        </w:rPr>
      </w:pPr>
      <w:r w:rsidRPr="008D38F6">
        <w:rPr>
          <w:rFonts w:cs="Tahoma"/>
          <w:lang w:val="pt-BR"/>
        </w:rPr>
        <w:br w:type="page"/>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416070"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070" w:rsidRDefault="004B4C79" w:rsidP="00E06FE8">
            <w:pPr>
              <w:pStyle w:val="AppendixTableHeadings"/>
              <w:rPr>
                <w:rFonts w:ascii="Tahoma" w:hAnsi="Tahoma" w:cs="Tahoma"/>
                <w:sz w:val="20"/>
                <w:szCs w:val="20"/>
              </w:rPr>
            </w:pPr>
            <w:r w:rsidRPr="00416070">
              <w:rPr>
                <w:rFonts w:ascii="Tahoma" w:hAnsi="Tahoma" w:cs="Tahoma"/>
                <w:sz w:val="20"/>
                <w:szCs w:val="20"/>
              </w:rPr>
              <w:lastRenderedPageBreak/>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070" w:rsidRDefault="004B4C79" w:rsidP="00E06FE8">
            <w:pPr>
              <w:pStyle w:val="AppendixTableHeadings"/>
              <w:rPr>
                <w:rFonts w:ascii="Tahoma" w:hAnsi="Tahoma" w:cs="Tahoma"/>
                <w:sz w:val="20"/>
                <w:szCs w:val="20"/>
              </w:rPr>
            </w:pPr>
            <w:r w:rsidRPr="00416070">
              <w:rPr>
                <w:rFonts w:ascii="Tahoma" w:hAnsi="Tahoma" w:cs="Tahoma"/>
                <w:sz w:val="20"/>
                <w:szCs w:val="20"/>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070" w:rsidRDefault="004B4C79" w:rsidP="00E06FE8">
            <w:pPr>
              <w:pStyle w:val="AppendixTableHeadings"/>
              <w:rPr>
                <w:rFonts w:ascii="Tahoma" w:hAnsi="Tahoma" w:cs="Tahoma"/>
                <w:sz w:val="20"/>
                <w:szCs w:val="20"/>
              </w:rPr>
            </w:pPr>
            <w:r w:rsidRPr="00416070">
              <w:rPr>
                <w:rFonts w:ascii="Tahoma" w:hAnsi="Tahoma" w:cs="Tahoma"/>
                <w:sz w:val="20"/>
                <w:szCs w:val="20"/>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070" w:rsidRDefault="004B4C79" w:rsidP="00E06FE8">
            <w:pPr>
              <w:pStyle w:val="AppendixTableHeadings"/>
              <w:rPr>
                <w:rFonts w:ascii="Tahoma" w:hAnsi="Tahoma" w:cs="Tahoma"/>
                <w:sz w:val="20"/>
                <w:szCs w:val="20"/>
              </w:rPr>
            </w:pPr>
            <w:r w:rsidRPr="00416070">
              <w:rPr>
                <w:rFonts w:ascii="Tahoma" w:hAnsi="Tahoma" w:cs="Tahoma"/>
                <w:sz w:val="20"/>
                <w:szCs w:val="20"/>
              </w:rPr>
              <w:t>Pool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070" w:rsidRDefault="006705D4" w:rsidP="00E06FE8">
            <w:pPr>
              <w:pStyle w:val="AppendixTableHeadings"/>
              <w:rPr>
                <w:rFonts w:ascii="Tahoma" w:hAnsi="Tahoma" w:cs="Tahoma"/>
                <w:sz w:val="20"/>
                <w:szCs w:val="20"/>
              </w:rPr>
            </w:pPr>
            <w:r w:rsidRPr="00416070">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070" w:rsidRDefault="004B4C79" w:rsidP="00E06FE8">
            <w:pPr>
              <w:pStyle w:val="AppendixTableHeadings"/>
              <w:rPr>
                <w:rFonts w:ascii="Tahoma" w:hAnsi="Tahoma" w:cs="Tahoma"/>
                <w:sz w:val="20"/>
                <w:szCs w:val="20"/>
              </w:rPr>
            </w:pPr>
            <w:r w:rsidRPr="00416070">
              <w:rPr>
                <w:rFonts w:ascii="Tahoma" w:hAnsi="Tahoma" w:cs="Tahoma"/>
                <w:sz w:val="20"/>
                <w:szCs w:val="20"/>
              </w:rPr>
              <w:t>Office 365</w:t>
            </w:r>
          </w:p>
        </w:tc>
      </w:tr>
      <w:tr w:rsidR="004B4C79" w:rsidRPr="00416070"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416070" w:rsidRDefault="004B4C79">
            <w:pPr>
              <w:pStyle w:val="AppendixTableText"/>
              <w:jc w:val="left"/>
              <w:rPr>
                <w:rFonts w:ascii="Tahoma" w:hAnsi="Tahoma" w:cs="Tahoma"/>
              </w:rPr>
            </w:pPr>
            <w:r w:rsidRPr="00416070">
              <w:rPr>
                <w:rFonts w:ascii="Tahoma" w:hAnsi="Tahoma" w:cs="Tahoma"/>
              </w:rPr>
              <w:t>Direitos à Nova Versão</w:t>
            </w:r>
          </w:p>
        </w:tc>
        <w:tc>
          <w:tcPr>
            <w:tcW w:w="1530" w:type="dxa"/>
            <w:tcBorders>
              <w:top w:val="single" w:sz="8" w:space="0" w:color="auto"/>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416070" w:rsidRDefault="00302B84" w:rsidP="00E06FE8">
            <w:pPr>
              <w:pStyle w:val="AppendixTableText"/>
              <w:rPr>
                <w:rFonts w:ascii="Tahoma" w:hAnsi="Tahoma" w:cs="Tahoma"/>
              </w:rPr>
            </w:pPr>
            <w:r w:rsidRPr="00416070">
              <w:rPr>
                <w:rFonts w:ascii="Tahoma" w:hAnsi="Tahoma" w:cs="Tahoma"/>
              </w:rPr>
              <w:t>Sim</w:t>
            </w:r>
          </w:p>
        </w:tc>
        <w:tc>
          <w:tcPr>
            <w:tcW w:w="1440" w:type="dxa"/>
            <w:tcBorders>
              <w:top w:val="single" w:sz="8" w:space="0" w:color="auto"/>
              <w:left w:val="nil"/>
              <w:bottom w:val="single" w:sz="4" w:space="0" w:color="auto"/>
              <w:right w:val="single" w:sz="4" w:space="0" w:color="auto"/>
            </w:tcBorders>
            <w:vAlign w:val="center"/>
          </w:tcPr>
          <w:p w:rsidR="004B4C79" w:rsidRPr="00416070" w:rsidRDefault="00302B84" w:rsidP="00E06FE8">
            <w:pPr>
              <w:pStyle w:val="AppendixTableText"/>
              <w:rPr>
                <w:rFonts w:ascii="Tahoma" w:hAnsi="Tahoma" w:cs="Tahoma"/>
              </w:rPr>
            </w:pPr>
            <w:r w:rsidRPr="00416070">
              <w:rPr>
                <w:rFonts w:ascii="Tahoma" w:hAnsi="Tahoma" w:cs="Tahoma"/>
              </w:rPr>
              <w:t>Sim</w:t>
            </w:r>
          </w:p>
        </w:tc>
      </w:tr>
      <w:tr w:rsidR="004B4C79" w:rsidRPr="00416070"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16070" w:rsidRDefault="004B4C79" w:rsidP="002D000C">
            <w:pPr>
              <w:pStyle w:val="AppendixTableText"/>
              <w:jc w:val="left"/>
              <w:rPr>
                <w:rFonts w:ascii="Tahoma" w:hAnsi="Tahoma" w:cs="Tahoma"/>
              </w:rPr>
            </w:pPr>
            <w:r w:rsidRPr="00416070">
              <w:rPr>
                <w:rFonts w:ascii="Tahoma" w:hAnsi="Tahoma" w:cs="Tahoma"/>
              </w:rPr>
              <w:t>Pacote Multilíngue do</w:t>
            </w:r>
            <w:r w:rsidR="002D000C" w:rsidRPr="00416070">
              <w:rPr>
                <w:rFonts w:ascii="Tahoma" w:hAnsi="Tahoma" w:cs="Tahoma"/>
              </w:rPr>
              <w:t> </w:t>
            </w:r>
            <w:r w:rsidRPr="00416070">
              <w:rPr>
                <w:rFonts w:ascii="Tahoma" w:hAnsi="Tahoma" w:cs="Tahoma"/>
              </w:rPr>
              <w:t>Office</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Style w:val="CommentReference"/>
                <w:rFonts w:ascii="Tahoma" w:hAnsi="Tahoma" w:cs="Tahoma"/>
                <w:sz w:val="18"/>
                <w:szCs w:val="18"/>
              </w:rPr>
            </w:pPr>
            <w:r w:rsidRPr="00416070">
              <w:rPr>
                <w:rFonts w:ascii="Tahoma" w:hAnsi="Tahoma" w:cs="Tahoma"/>
              </w:rPr>
              <w:t>Sim</w:t>
            </w:r>
          </w:p>
        </w:tc>
      </w:tr>
      <w:tr w:rsidR="004B4C79" w:rsidRPr="00416070"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16070" w:rsidRDefault="00E7419A">
            <w:pPr>
              <w:pStyle w:val="AppendixTableText"/>
              <w:jc w:val="left"/>
              <w:rPr>
                <w:rFonts w:ascii="Tahoma" w:hAnsi="Tahoma" w:cs="Tahoma"/>
              </w:rPr>
            </w:pPr>
            <w:r w:rsidRPr="00416070">
              <w:rPr>
                <w:rFonts w:ascii="Tahoma" w:hAnsi="Tahoma" w:cs="Tahoma"/>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Style w:val="CommentReference"/>
                <w:rFonts w:ascii="Tahoma" w:hAnsi="Tahoma" w:cs="Tahoma"/>
                <w:sz w:val="18"/>
                <w:szCs w:val="18"/>
              </w:rPr>
            </w:pPr>
            <w:r w:rsidRPr="00416070">
              <w:rPr>
                <w:rStyle w:val="CommentReference"/>
                <w:rFonts w:ascii="Tahoma" w:hAnsi="Tahoma" w:cs="Tahoma"/>
                <w:sz w:val="18"/>
                <w:szCs w:val="18"/>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Style w:val="CommentReference"/>
                <w:rFonts w:ascii="Tahoma" w:hAnsi="Tahoma" w:cs="Tahoma"/>
                <w:sz w:val="18"/>
                <w:szCs w:val="18"/>
              </w:rPr>
            </w:pPr>
          </w:p>
        </w:tc>
      </w:tr>
      <w:tr w:rsidR="004B4C79" w:rsidRPr="00416070"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16070" w:rsidRDefault="004B4C79" w:rsidP="0040728D">
            <w:pPr>
              <w:pStyle w:val="AppendixTableText"/>
              <w:jc w:val="left"/>
              <w:rPr>
                <w:rFonts w:ascii="Tahoma" w:hAnsi="Tahoma" w:cs="Tahoma"/>
              </w:rPr>
            </w:pPr>
            <w:r w:rsidRPr="00416070">
              <w:rPr>
                <w:rFonts w:ascii="Tahoma" w:hAnsi="Tahoma" w:cs="Tahoma"/>
              </w:rPr>
              <w:t>Windows 8 Enterprise</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44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4B4C79" w:rsidRPr="00416070"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16070" w:rsidRDefault="004B4C79">
            <w:pPr>
              <w:pStyle w:val="AppendixTableText"/>
              <w:jc w:val="left"/>
              <w:rPr>
                <w:rFonts w:ascii="Tahoma" w:hAnsi="Tahoma" w:cs="Tahoma"/>
              </w:rPr>
            </w:pPr>
            <w:r w:rsidRPr="00416070">
              <w:rPr>
                <w:rFonts w:ascii="Tahoma" w:hAnsi="Tahoma" w:cs="Tahoma"/>
              </w:rPr>
              <w:t>Cupons de Treinamento</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4B4C79" w:rsidRPr="00416070"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16070" w:rsidRDefault="004B4C79">
            <w:pPr>
              <w:pStyle w:val="AppendixTableText"/>
              <w:jc w:val="left"/>
              <w:rPr>
                <w:rFonts w:ascii="Tahoma" w:hAnsi="Tahoma" w:cs="Tahoma"/>
              </w:rPr>
            </w:pPr>
            <w:r w:rsidRPr="00416070">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44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r>
      <w:tr w:rsidR="004B4C79" w:rsidRPr="00416070"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16070" w:rsidRDefault="004B4C79">
            <w:pPr>
              <w:pStyle w:val="AppendixTableText"/>
              <w:jc w:val="left"/>
              <w:rPr>
                <w:rFonts w:ascii="Tahoma" w:hAnsi="Tahoma" w:cs="Tahoma"/>
              </w:rPr>
            </w:pPr>
            <w:r w:rsidRPr="00416070">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4B4C79" w:rsidRPr="00416070"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16070" w:rsidRDefault="004B4C79">
            <w:pPr>
              <w:pStyle w:val="AppendixTableText"/>
              <w:jc w:val="left"/>
              <w:rPr>
                <w:rFonts w:ascii="Tahoma" w:hAnsi="Tahoma" w:cs="Tahoma"/>
              </w:rPr>
            </w:pPr>
            <w:r w:rsidRPr="00416070">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4B4C79" w:rsidRPr="00416070"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D38F6" w:rsidRDefault="004B4C79">
            <w:pPr>
              <w:pStyle w:val="AppendixTableText"/>
              <w:jc w:val="left"/>
              <w:rPr>
                <w:rFonts w:ascii="Tahoma" w:hAnsi="Tahoma" w:cs="Tahoma"/>
                <w:lang w:val="pt-BR"/>
              </w:rPr>
            </w:pPr>
            <w:r w:rsidRPr="008D38F6">
              <w:rPr>
                <w:rFonts w:ascii="Tahoma" w:hAnsi="Tahoma" w:cs="Tahoma"/>
                <w:lang w:val="pt-BR"/>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Style w:val="CommentReference"/>
                <w:rFonts w:ascii="Tahoma" w:hAnsi="Tahoma" w:cs="Tahoma"/>
                <w:sz w:val="18"/>
                <w:szCs w:val="18"/>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620185" w:rsidRPr="00416070"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416070" w:rsidRDefault="00620185">
            <w:pPr>
              <w:pStyle w:val="AppendixTableText"/>
              <w:jc w:val="left"/>
              <w:rPr>
                <w:rFonts w:ascii="Tahoma" w:hAnsi="Tahoma" w:cs="Tahoma"/>
              </w:rPr>
            </w:pPr>
            <w:r w:rsidRPr="00416070">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416070"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416070"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416070" w:rsidRDefault="00620185"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620185" w:rsidRPr="00416070"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416070" w:rsidRDefault="00620185" w:rsidP="00E06FE8">
            <w:pPr>
              <w:pStyle w:val="AppendixTableText"/>
              <w:rPr>
                <w:rFonts w:ascii="Tahoma" w:hAnsi="Tahoma" w:cs="Tahoma"/>
              </w:rPr>
            </w:pPr>
          </w:p>
        </w:tc>
      </w:tr>
      <w:tr w:rsidR="00E06FE8" w:rsidRPr="00416070"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416070" w:rsidRDefault="00E06FE8">
            <w:pPr>
              <w:pStyle w:val="AppendixTableText"/>
              <w:jc w:val="left"/>
              <w:rPr>
                <w:rFonts w:ascii="Tahoma" w:hAnsi="Tahoma" w:cs="Tahoma"/>
              </w:rPr>
            </w:pPr>
            <w:r w:rsidRPr="00416070">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416070"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416070"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416070" w:rsidRDefault="00E06FE8"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E06FE8" w:rsidRPr="00416070"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416070" w:rsidRDefault="00E06FE8" w:rsidP="00E06FE8">
            <w:pPr>
              <w:pStyle w:val="AppendixTableText"/>
              <w:rPr>
                <w:rFonts w:ascii="Tahoma" w:hAnsi="Tahoma" w:cs="Tahoma"/>
              </w:rPr>
            </w:pPr>
          </w:p>
        </w:tc>
      </w:tr>
      <w:tr w:rsidR="004B4C79" w:rsidRPr="00416070"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D38F6" w:rsidRDefault="004B4C79">
            <w:pPr>
              <w:pStyle w:val="AppendixTableText"/>
              <w:jc w:val="left"/>
              <w:rPr>
                <w:rFonts w:ascii="Tahoma" w:hAnsi="Tahoma" w:cs="Tahoma"/>
                <w:lang w:val="pt-BR"/>
              </w:rPr>
            </w:pPr>
            <w:r w:rsidRPr="008D38F6">
              <w:rPr>
                <w:rFonts w:ascii="Tahoma" w:hAnsi="Tahoma" w:cs="Tahoma"/>
                <w:lang w:val="pt-BR"/>
              </w:rPr>
              <w:t>Backup Passivo para Recuperação de Desastres</w:t>
            </w:r>
          </w:p>
        </w:tc>
        <w:tc>
          <w:tcPr>
            <w:tcW w:w="1530" w:type="dxa"/>
            <w:tcBorders>
              <w:top w:val="nil"/>
              <w:left w:val="nil"/>
              <w:bottom w:val="single" w:sz="4" w:space="0" w:color="auto"/>
              <w:right w:val="single" w:sz="4" w:space="0" w:color="auto"/>
            </w:tcBorders>
            <w:vAlign w:val="center"/>
          </w:tcPr>
          <w:p w:rsidR="004B4C79" w:rsidRPr="008D38F6"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rsidR="004B4C79" w:rsidRPr="008D38F6"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4B4C79" w:rsidRPr="00416070"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8D38F6" w:rsidRDefault="004B4C79">
            <w:pPr>
              <w:pStyle w:val="AppendixTableText"/>
              <w:jc w:val="left"/>
              <w:rPr>
                <w:rFonts w:ascii="Tahoma" w:hAnsi="Tahoma" w:cs="Tahoma"/>
                <w:lang w:val="pt-BR"/>
              </w:rPr>
            </w:pPr>
            <w:r w:rsidRPr="008D38F6">
              <w:rPr>
                <w:rFonts w:ascii="Tahoma" w:hAnsi="Tahoma" w:cs="Tahoma"/>
                <w:lang w:val="pt-BR"/>
              </w:rPr>
              <w:t>Serviços de Assinatura do TechNet SA</w:t>
            </w:r>
          </w:p>
        </w:tc>
        <w:tc>
          <w:tcPr>
            <w:tcW w:w="1530" w:type="dxa"/>
            <w:tcBorders>
              <w:top w:val="single" w:sz="4" w:space="0" w:color="auto"/>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4B4C79" w:rsidRPr="00416070"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16070" w:rsidRDefault="004B4C79">
            <w:pPr>
              <w:pStyle w:val="AppendixTableText"/>
              <w:jc w:val="left"/>
              <w:rPr>
                <w:rFonts w:ascii="Tahoma" w:hAnsi="Tahoma" w:cs="Tahoma"/>
              </w:rPr>
            </w:pPr>
            <w:r w:rsidRPr="00416070">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4B4C79" w:rsidRPr="00416070"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16070" w:rsidRDefault="004B4C79" w:rsidP="005F52C6">
            <w:pPr>
              <w:pStyle w:val="AppendixTableText"/>
              <w:jc w:val="left"/>
              <w:rPr>
                <w:rFonts w:ascii="Tahoma" w:hAnsi="Tahoma" w:cs="Tahoma"/>
              </w:rPr>
            </w:pPr>
            <w:r w:rsidRPr="00416070">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4B4C79" w:rsidRPr="00416070"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16070" w:rsidRDefault="004B4C79">
            <w:pPr>
              <w:pStyle w:val="AppendixTableText"/>
              <w:jc w:val="left"/>
              <w:rPr>
                <w:rFonts w:ascii="Tahoma" w:hAnsi="Tahoma" w:cs="Tahoma"/>
              </w:rPr>
            </w:pPr>
            <w:r w:rsidRPr="00416070">
              <w:rPr>
                <w:rFonts w:ascii="Tahoma" w:hAnsi="Tahoma" w:cs="Tahoma"/>
              </w:rPr>
              <w:t>Suporte Estendido a Hotfix</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Style w:val="CommentReference"/>
                <w:rFonts w:ascii="Tahoma" w:hAnsi="Tahoma" w:cs="Tahoma"/>
                <w:sz w:val="18"/>
                <w:szCs w:val="18"/>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4B4C79" w:rsidRPr="00416070"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16070" w:rsidRDefault="004B4C79">
            <w:pPr>
              <w:pStyle w:val="AppendixTableText"/>
              <w:jc w:val="left"/>
              <w:rPr>
                <w:rFonts w:ascii="Tahoma" w:hAnsi="Tahoma" w:cs="Tahoma"/>
                <w:color w:val="000000"/>
              </w:rPr>
            </w:pPr>
            <w:r w:rsidRPr="00416070">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spacing w:after="120"/>
              <w:rPr>
                <w:rFonts w:ascii="Tahoma" w:hAnsi="Tahoma" w:cs="Tahoma"/>
                <w:color w:val="000000"/>
              </w:rPr>
            </w:pPr>
            <w:r w:rsidRPr="00416070">
              <w:rPr>
                <w:rFonts w:ascii="Tahoma" w:hAnsi="Tahoma" w:cs="Tahoma"/>
                <w:color w:val="000000"/>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spacing w:before="120"/>
              <w:rPr>
                <w:rFonts w:ascii="Tahoma" w:hAnsi="Tahoma" w:cs="Tahoma"/>
                <w:color w:val="000000"/>
              </w:rPr>
            </w:pPr>
            <w:r w:rsidRPr="00416070">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spacing w:before="120"/>
              <w:rPr>
                <w:rFonts w:ascii="Tahoma" w:hAnsi="Tahoma" w:cs="Tahoma"/>
                <w:color w:val="000000"/>
              </w:rPr>
            </w:pPr>
          </w:p>
        </w:tc>
      </w:tr>
      <w:tr w:rsidR="004B4C79" w:rsidRPr="00416070"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D38F6" w:rsidRDefault="00E7419A" w:rsidP="00E7419A">
            <w:pPr>
              <w:pStyle w:val="AppendixTableText"/>
              <w:jc w:val="left"/>
              <w:rPr>
                <w:rFonts w:ascii="Tahoma" w:hAnsi="Tahoma" w:cs="Tahoma"/>
                <w:color w:val="000000"/>
                <w:lang w:val="pt-BR"/>
              </w:rPr>
            </w:pPr>
            <w:r w:rsidRPr="008D38F6">
              <w:rPr>
                <w:rFonts w:ascii="Tahoma" w:hAnsi="Tahoma" w:cs="Tahoma"/>
                <w:color w:val="000000"/>
                <w:lang w:val="pt-BR"/>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D38F6" w:rsidRDefault="004B4C79" w:rsidP="00E06FE8">
            <w:pPr>
              <w:pStyle w:val="AppendixTableText"/>
              <w:rPr>
                <w:rFonts w:ascii="Tahoma" w:hAnsi="Tahoma" w:cs="Tahoma"/>
                <w:color w:val="000000"/>
                <w:lang w:val="pt-BR"/>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spacing w:after="120"/>
              <w:rPr>
                <w:rFonts w:ascii="Tahoma" w:hAnsi="Tahoma" w:cs="Tahoma"/>
                <w:color w:val="000000"/>
              </w:rPr>
            </w:pPr>
            <w:r w:rsidRPr="00416070">
              <w:rPr>
                <w:rFonts w:ascii="Tahoma" w:hAnsi="Tahoma" w:cs="Tahoma"/>
                <w:color w:val="000000"/>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spacing w:before="120"/>
              <w:rPr>
                <w:rFonts w:ascii="Tahoma" w:hAnsi="Tahoma" w:cs="Tahoma"/>
                <w:color w:val="000000"/>
              </w:rPr>
            </w:pPr>
            <w:r w:rsidRPr="00416070">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spacing w:before="120"/>
              <w:rPr>
                <w:rFonts w:ascii="Tahoma" w:hAnsi="Tahoma" w:cs="Tahoma"/>
                <w:color w:val="000000"/>
              </w:rPr>
            </w:pPr>
          </w:p>
        </w:tc>
      </w:tr>
      <w:tr w:rsidR="004B4C79" w:rsidRPr="00416070"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16070" w:rsidRDefault="004B4C79">
            <w:pPr>
              <w:pStyle w:val="AppendixTableText"/>
              <w:jc w:val="left"/>
              <w:rPr>
                <w:rFonts w:ascii="Tahoma" w:hAnsi="Tahoma" w:cs="Tahoma"/>
                <w:color w:val="000000"/>
              </w:rPr>
            </w:pPr>
            <w:r w:rsidRPr="00416070">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spacing w:after="120"/>
              <w:rPr>
                <w:rFonts w:ascii="Tahoma" w:hAnsi="Tahoma" w:cs="Tahoma"/>
                <w:color w:val="000000"/>
              </w:rPr>
            </w:pPr>
            <w:r w:rsidRPr="00416070">
              <w:rPr>
                <w:rFonts w:ascii="Tahoma" w:hAnsi="Tahoma" w:cs="Tahoma"/>
                <w:color w:val="000000"/>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spacing w:before="120"/>
              <w:rPr>
                <w:rFonts w:ascii="Tahoma" w:hAnsi="Tahoma" w:cs="Tahoma"/>
                <w:color w:val="000000"/>
              </w:rPr>
            </w:pPr>
            <w:r w:rsidRPr="00416070">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spacing w:before="120"/>
              <w:rPr>
                <w:rFonts w:ascii="Tahoma" w:hAnsi="Tahoma" w:cs="Tahoma"/>
                <w:color w:val="000000"/>
              </w:rPr>
            </w:pPr>
          </w:p>
        </w:tc>
      </w:tr>
      <w:tr w:rsidR="004B4C79" w:rsidRPr="00416070"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16070" w:rsidRDefault="004B4C79">
            <w:pPr>
              <w:pStyle w:val="AppendixTableText"/>
              <w:jc w:val="left"/>
              <w:rPr>
                <w:rFonts w:ascii="Tahoma" w:hAnsi="Tahoma" w:cs="Tahoma"/>
              </w:rPr>
            </w:pPr>
            <w:r w:rsidRPr="00416070">
              <w:rPr>
                <w:rFonts w:ascii="Tahoma" w:hAnsi="Tahoma" w:cs="Tahoma"/>
              </w:rPr>
              <w:t>Licença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Não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070" w:rsidRDefault="004B4C79" w:rsidP="00E06FE8">
            <w:pPr>
              <w:pStyle w:val="AppendixTableText"/>
              <w:rPr>
                <w:rFonts w:ascii="Tahoma" w:hAnsi="Tahoma" w:cs="Tahoma"/>
              </w:rPr>
            </w:pPr>
          </w:p>
        </w:tc>
      </w:tr>
      <w:tr w:rsidR="00870095" w:rsidRPr="00416070"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416070" w:rsidRDefault="00870095">
            <w:pPr>
              <w:pStyle w:val="AppendixTableText"/>
              <w:jc w:val="left"/>
              <w:rPr>
                <w:rFonts w:ascii="Tahoma" w:hAnsi="Tahoma" w:cs="Tahoma"/>
              </w:rPr>
            </w:pPr>
            <w:r w:rsidRPr="00416070">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416070"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416070" w:rsidRDefault="00870095"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416070"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416070" w:rsidRDefault="00175615" w:rsidP="00E06FE8">
            <w:pPr>
              <w:pStyle w:val="AppendixTableText"/>
              <w:rPr>
                <w:rFonts w:ascii="Tahoma" w:hAnsi="Tahoma" w:cs="Tahoma"/>
              </w:rPr>
            </w:pPr>
            <w:r w:rsidRPr="00416070">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416070" w:rsidRDefault="00870095" w:rsidP="00E06FE8">
            <w:pPr>
              <w:pStyle w:val="AppendixTableText"/>
              <w:rPr>
                <w:rFonts w:ascii="Tahoma" w:hAnsi="Tahoma" w:cs="Tahoma"/>
              </w:rPr>
            </w:pPr>
          </w:p>
        </w:tc>
      </w:tr>
      <w:tr w:rsidR="00175615" w:rsidRPr="00416070"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8D38F6" w:rsidRDefault="00175615">
            <w:pPr>
              <w:pStyle w:val="AppendixTableText"/>
              <w:jc w:val="left"/>
              <w:rPr>
                <w:rFonts w:ascii="Tahoma" w:hAnsi="Tahoma" w:cs="Tahoma"/>
                <w:lang w:val="pt-BR"/>
              </w:rPr>
            </w:pPr>
            <w:r w:rsidRPr="008D38F6">
              <w:rPr>
                <w:rFonts w:ascii="Tahoma" w:hAnsi="Tahoma" w:cs="Tahoma"/>
                <w:lang w:val="pt-BR"/>
              </w:rPr>
              <w:t>Licença de Assinatura do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8D38F6" w:rsidRDefault="00175615" w:rsidP="00E06FE8">
            <w:pPr>
              <w:pStyle w:val="AppendixTableText"/>
              <w:rPr>
                <w:rFonts w:ascii="Tahoma" w:hAnsi="Tahoma" w:cs="Tahoma"/>
                <w:lang w:val="pt-BR"/>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416070" w:rsidRDefault="00175615" w:rsidP="00E06FE8">
            <w:pPr>
              <w:pStyle w:val="AppendixTableText"/>
              <w:rPr>
                <w:rFonts w:ascii="Tahoma" w:hAnsi="Tahoma" w:cs="Tahoma"/>
              </w:rPr>
            </w:pPr>
            <w:r w:rsidRPr="00416070">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416070"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416070" w:rsidRDefault="00175615" w:rsidP="00E06FE8">
            <w:pPr>
              <w:pStyle w:val="AppendixTableText"/>
              <w:rPr>
                <w:rFonts w:ascii="Tahoma" w:hAnsi="Tahoma" w:cs="Tahoma"/>
              </w:rPr>
            </w:pPr>
            <w:r w:rsidRPr="00416070">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416070" w:rsidRDefault="00175615" w:rsidP="00E06FE8">
            <w:pPr>
              <w:pStyle w:val="AppendixTableText"/>
              <w:rPr>
                <w:rFonts w:ascii="Tahoma" w:hAnsi="Tahoma" w:cs="Tahoma"/>
              </w:rPr>
            </w:pPr>
          </w:p>
        </w:tc>
      </w:tr>
    </w:tbl>
    <w:p w:rsidR="00023FE7" w:rsidRPr="008D38F6" w:rsidRDefault="00023FE7">
      <w:pPr>
        <w:pStyle w:val="AppendixBodyText"/>
        <w:ind w:right="180"/>
        <w:rPr>
          <w:rFonts w:ascii="Tahoma" w:hAnsi="Tahoma" w:cs="Tahoma"/>
          <w:sz w:val="16"/>
          <w:szCs w:val="16"/>
          <w:lang w:val="pt-BR"/>
        </w:rPr>
      </w:pPr>
      <w:r w:rsidRPr="008D38F6">
        <w:rPr>
          <w:rFonts w:ascii="Tahoma" w:hAnsi="Tahoma" w:cs="Tahoma"/>
          <w:i/>
          <w:sz w:val="16"/>
          <w:szCs w:val="16"/>
          <w:lang w:val="pt-BR"/>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rsidR="00023FE7" w:rsidRPr="008D38F6" w:rsidRDefault="00023FE7">
      <w:pPr>
        <w:pStyle w:val="AppendixBodyText"/>
        <w:ind w:right="180"/>
        <w:rPr>
          <w:rFonts w:ascii="Tahoma" w:hAnsi="Tahoma" w:cs="Tahoma"/>
          <w:sz w:val="16"/>
          <w:szCs w:val="16"/>
          <w:lang w:val="pt-BR"/>
        </w:rPr>
      </w:pPr>
      <w:r w:rsidRPr="008D38F6">
        <w:rPr>
          <w:rFonts w:ascii="Tahoma" w:hAnsi="Tahoma" w:cs="Tahoma"/>
          <w:i/>
          <w:sz w:val="16"/>
          <w:szCs w:val="16"/>
          <w:lang w:val="pt-BR"/>
        </w:rPr>
        <w:t>*A Microsoft poderá reter na fonte ou descontinuar, a qualquer momento, qualquer benefício relacionado ao Programa de Membros do Software Assurance disponível sob o quarto registro, e subsequentes, que esteja sob o mesmo contrato Select se</w:t>
      </w:r>
      <w:r w:rsidR="002D000C" w:rsidRPr="008D38F6">
        <w:rPr>
          <w:rFonts w:ascii="Tahoma" w:hAnsi="Tahoma" w:cs="Tahoma"/>
          <w:i/>
          <w:sz w:val="16"/>
          <w:szCs w:val="16"/>
          <w:lang w:val="pt-BR"/>
        </w:rPr>
        <w:t> </w:t>
      </w:r>
      <w:r w:rsidRPr="008D38F6">
        <w:rPr>
          <w:rFonts w:ascii="Tahoma" w:hAnsi="Tahoma" w:cs="Tahoma"/>
          <w:i/>
          <w:sz w:val="16"/>
          <w:szCs w:val="16"/>
          <w:lang w:val="pt-BR"/>
        </w:rPr>
        <w:t>possuir um motivo comercial para tal.</w:t>
      </w:r>
    </w:p>
    <w:p w:rsidR="00023FE7" w:rsidRPr="008D38F6" w:rsidRDefault="00302B84" w:rsidP="0063466C">
      <w:pPr>
        <w:pStyle w:val="AppendixBodyText"/>
        <w:spacing w:after="0"/>
        <w:rPr>
          <w:rFonts w:ascii="Tahoma" w:hAnsi="Tahoma" w:cs="Tahoma"/>
          <w:sz w:val="16"/>
          <w:szCs w:val="16"/>
          <w:lang w:val="pt-BR"/>
        </w:rPr>
      </w:pPr>
      <w:r w:rsidRPr="008D38F6">
        <w:rPr>
          <w:rFonts w:ascii="Tahoma" w:hAnsi="Tahoma" w:cs="Tahoma"/>
          <w:i/>
          <w:sz w:val="16"/>
          <w:szCs w:val="16"/>
          <w:lang w:val="pt-BR"/>
        </w:rPr>
        <w:t>***Geralmente, as ofertas de assinatura que abrangem componentes de software compostos de software adaptado incluirão direitos da nova versão para esses componentes.</w:t>
      </w:r>
    </w:p>
    <w:p w:rsidR="00F76ED4" w:rsidRPr="008D38F6" w:rsidRDefault="00F76ED4">
      <w:pPr>
        <w:rPr>
          <w:lang w:val="pt-BR"/>
        </w:rPr>
      </w:pPr>
      <w:r w:rsidRPr="008D38F6">
        <w:rPr>
          <w:rFonts w:cs="Tahoma"/>
          <w:lang w:val="pt-BR"/>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B06414" w:rsidTr="0044720D">
        <w:trPr>
          <w:trHeight w:val="60"/>
        </w:trPr>
        <w:tc>
          <w:tcPr>
            <w:tcW w:w="8280" w:type="dxa"/>
            <w:shd w:val="clear" w:color="auto" w:fill="FFCC99"/>
            <w:vAlign w:val="center"/>
          </w:tcPr>
          <w:p w:rsidR="00AD6AD6" w:rsidRPr="008D38F6" w:rsidRDefault="00AD6AD6" w:rsidP="004B54F7">
            <w:pPr>
              <w:pStyle w:val="AppendixTableHeadings"/>
              <w:rPr>
                <w:rFonts w:ascii="Tahoma" w:hAnsi="Tahoma" w:cs="Tahoma"/>
                <w:sz w:val="20"/>
                <w:szCs w:val="20"/>
                <w:lang w:val="pt-BR"/>
              </w:rPr>
            </w:pPr>
            <w:r w:rsidRPr="008D38F6">
              <w:rPr>
                <w:rFonts w:ascii="Tahoma" w:hAnsi="Tahoma" w:cs="Tahoma"/>
                <w:sz w:val="20"/>
                <w:szCs w:val="20"/>
                <w:lang w:val="pt-BR"/>
              </w:rPr>
              <w:lastRenderedPageBreak/>
              <w:t>Produtos do Pool de Aplicativos do Office System</w:t>
            </w:r>
          </w:p>
        </w:tc>
      </w:tr>
      <w:tr w:rsidR="00AD6AD6" w:rsidRPr="00416070" w:rsidTr="0044720D">
        <w:trPr>
          <w:trHeight w:val="438"/>
        </w:trPr>
        <w:tc>
          <w:tcPr>
            <w:tcW w:w="8280" w:type="dxa"/>
            <w:vAlign w:val="center"/>
          </w:tcPr>
          <w:p w:rsidR="00AD6AD6" w:rsidRPr="00416070" w:rsidRDefault="00AD6AD6" w:rsidP="004B54F7">
            <w:pPr>
              <w:spacing w:line="240" w:lineRule="atLeast"/>
            </w:pPr>
            <w:r w:rsidRPr="00416070">
              <w:rPr>
                <w:rFonts w:cs="Tahoma"/>
                <w:color w:val="000000"/>
                <w:szCs w:val="18"/>
              </w:rPr>
              <w:t>Office Standard 2013</w:t>
            </w:r>
          </w:p>
          <w:p w:rsidR="00AD6AD6" w:rsidRPr="00416070" w:rsidRDefault="00AD6AD6" w:rsidP="004B54F7">
            <w:pPr>
              <w:spacing w:line="240" w:lineRule="atLeast"/>
            </w:pPr>
            <w:r w:rsidRPr="00416070">
              <w:rPr>
                <w:rFonts w:cs="Tahoma"/>
                <w:color w:val="000000"/>
                <w:szCs w:val="18"/>
              </w:rPr>
              <w:t>Office Professional Plus 2013</w:t>
            </w:r>
          </w:p>
          <w:p w:rsidR="00AD6AD6" w:rsidRPr="00416070" w:rsidRDefault="00AD6AD6" w:rsidP="004B54F7">
            <w:pPr>
              <w:spacing w:line="240" w:lineRule="atLeast"/>
            </w:pPr>
            <w:r w:rsidRPr="00416070">
              <w:rPr>
                <w:rFonts w:cs="Tahoma"/>
                <w:color w:val="000000"/>
                <w:szCs w:val="18"/>
              </w:rPr>
              <w:t>Project Standard 2013</w:t>
            </w:r>
          </w:p>
          <w:p w:rsidR="00AD6AD6" w:rsidRPr="00416070" w:rsidRDefault="00AD6AD6" w:rsidP="004B54F7">
            <w:pPr>
              <w:spacing w:line="240" w:lineRule="atLeast"/>
            </w:pPr>
            <w:r w:rsidRPr="00416070">
              <w:rPr>
                <w:rFonts w:cs="Tahoma"/>
                <w:color w:val="000000"/>
                <w:szCs w:val="18"/>
              </w:rPr>
              <w:t>Project Professional 2013</w:t>
            </w:r>
          </w:p>
          <w:p w:rsidR="00AD6AD6" w:rsidRPr="00416070" w:rsidRDefault="00AD6AD6" w:rsidP="004B54F7">
            <w:pPr>
              <w:spacing w:line="240" w:lineRule="atLeast"/>
            </w:pPr>
            <w:r w:rsidRPr="00416070">
              <w:rPr>
                <w:rFonts w:cs="Tahoma"/>
                <w:color w:val="000000"/>
                <w:szCs w:val="18"/>
              </w:rPr>
              <w:t>Visio</w:t>
            </w:r>
            <w:r w:rsidR="00510A6E" w:rsidRPr="00416070">
              <w:rPr>
                <w:rFonts w:cs="Tahoma"/>
                <w:color w:val="000000"/>
                <w:szCs w:val="18"/>
                <w:vertAlign w:val="superscript"/>
              </w:rPr>
              <w:t>®</w:t>
            </w:r>
            <w:r w:rsidRPr="00416070">
              <w:rPr>
                <w:rFonts w:cs="Tahoma"/>
                <w:color w:val="000000"/>
                <w:szCs w:val="18"/>
              </w:rPr>
              <w:t xml:space="preserve"> Standard 2013</w:t>
            </w:r>
          </w:p>
          <w:p w:rsidR="00AD6AD6" w:rsidRPr="00416070" w:rsidRDefault="00AD6AD6" w:rsidP="004B54F7">
            <w:pPr>
              <w:spacing w:line="240" w:lineRule="atLeast"/>
            </w:pPr>
            <w:r w:rsidRPr="00416070">
              <w:rPr>
                <w:rFonts w:cs="Tahoma"/>
                <w:color w:val="000000"/>
                <w:szCs w:val="18"/>
              </w:rPr>
              <w:t>Visio</w:t>
            </w:r>
            <w:r w:rsidR="00510A6E" w:rsidRPr="00416070">
              <w:rPr>
                <w:rFonts w:cs="Tahoma"/>
                <w:color w:val="000000"/>
                <w:szCs w:val="18"/>
                <w:vertAlign w:val="superscript"/>
              </w:rPr>
              <w:t>®</w:t>
            </w:r>
            <w:r w:rsidRPr="00416070">
              <w:rPr>
                <w:rFonts w:cs="Tahoma"/>
                <w:color w:val="000000"/>
                <w:szCs w:val="18"/>
              </w:rPr>
              <w:t xml:space="preserve"> Professional 2013</w:t>
            </w:r>
          </w:p>
          <w:p w:rsidR="00AD6AD6" w:rsidRPr="00416070" w:rsidRDefault="00AD6AD6" w:rsidP="004B54F7">
            <w:pPr>
              <w:spacing w:line="240" w:lineRule="atLeast"/>
            </w:pPr>
            <w:r w:rsidRPr="00416070">
              <w:rPr>
                <w:rFonts w:cs="Tahoma"/>
                <w:color w:val="000000"/>
                <w:szCs w:val="18"/>
              </w:rPr>
              <w:t>Access 2013</w:t>
            </w:r>
          </w:p>
          <w:p w:rsidR="00AD6AD6" w:rsidRPr="00416070" w:rsidRDefault="00AD6AD6" w:rsidP="004B54F7">
            <w:pPr>
              <w:spacing w:line="240" w:lineRule="atLeast"/>
            </w:pPr>
            <w:r w:rsidRPr="00416070">
              <w:rPr>
                <w:rFonts w:cs="Tahoma"/>
                <w:color w:val="000000"/>
                <w:szCs w:val="18"/>
              </w:rPr>
              <w:t xml:space="preserve">Excel 2013 </w:t>
            </w:r>
          </w:p>
          <w:p w:rsidR="00AD6AD6" w:rsidRPr="00416070" w:rsidRDefault="00AD6AD6" w:rsidP="004B54F7">
            <w:pPr>
              <w:spacing w:line="240" w:lineRule="atLeast"/>
            </w:pPr>
            <w:r w:rsidRPr="00416070">
              <w:rPr>
                <w:rFonts w:cs="Tahoma"/>
                <w:color w:val="000000"/>
                <w:szCs w:val="18"/>
              </w:rPr>
              <w:t>InfoPath</w:t>
            </w:r>
            <w:r w:rsidR="00510A6E" w:rsidRPr="00416070">
              <w:rPr>
                <w:rFonts w:cs="Tahoma"/>
                <w:color w:val="000000"/>
                <w:szCs w:val="18"/>
                <w:vertAlign w:val="superscript"/>
              </w:rPr>
              <w:t>®</w:t>
            </w:r>
            <w:r w:rsidRPr="00416070">
              <w:rPr>
                <w:rFonts w:cs="Tahoma"/>
                <w:color w:val="000000"/>
                <w:szCs w:val="18"/>
              </w:rPr>
              <w:t xml:space="preserve"> 2013</w:t>
            </w:r>
          </w:p>
          <w:p w:rsidR="00AD6AD6" w:rsidRPr="00416070" w:rsidRDefault="00AD6AD6" w:rsidP="004B54F7">
            <w:pPr>
              <w:spacing w:line="240" w:lineRule="atLeast"/>
            </w:pPr>
            <w:r w:rsidRPr="00416070">
              <w:rPr>
                <w:rFonts w:cs="Tahoma"/>
                <w:color w:val="000000"/>
                <w:szCs w:val="18"/>
              </w:rPr>
              <w:t>Lync 2013</w:t>
            </w:r>
          </w:p>
          <w:p w:rsidR="00AD6AD6" w:rsidRPr="00416070" w:rsidRDefault="00AD6AD6" w:rsidP="004B54F7">
            <w:pPr>
              <w:spacing w:line="240" w:lineRule="atLeast"/>
            </w:pPr>
            <w:r w:rsidRPr="00416070">
              <w:rPr>
                <w:rFonts w:cs="Tahoma"/>
                <w:color w:val="000000"/>
                <w:szCs w:val="18"/>
              </w:rPr>
              <w:t>OneNote™ 2013</w:t>
            </w:r>
          </w:p>
          <w:p w:rsidR="00AD6AD6" w:rsidRPr="00416070" w:rsidRDefault="00AD6AD6" w:rsidP="004B54F7">
            <w:pPr>
              <w:spacing w:line="240" w:lineRule="atLeast"/>
            </w:pPr>
            <w:r w:rsidRPr="00416070">
              <w:rPr>
                <w:rFonts w:cs="Tahoma"/>
                <w:color w:val="000000"/>
                <w:szCs w:val="18"/>
              </w:rPr>
              <w:t>Outlook</w:t>
            </w:r>
            <w:r w:rsidR="00510A6E" w:rsidRPr="00416070">
              <w:rPr>
                <w:rFonts w:cs="Tahoma"/>
                <w:color w:val="000000"/>
                <w:szCs w:val="18"/>
                <w:vertAlign w:val="superscript"/>
              </w:rPr>
              <w:t>®</w:t>
            </w:r>
            <w:r w:rsidRPr="00416070">
              <w:rPr>
                <w:rFonts w:cs="Tahoma"/>
                <w:color w:val="000000"/>
                <w:szCs w:val="18"/>
              </w:rPr>
              <w:t xml:space="preserve"> 2013</w:t>
            </w:r>
          </w:p>
          <w:p w:rsidR="00AD6AD6" w:rsidRPr="00416070" w:rsidRDefault="00AD6AD6" w:rsidP="004B54F7">
            <w:pPr>
              <w:spacing w:line="240" w:lineRule="atLeast"/>
            </w:pPr>
            <w:r w:rsidRPr="00416070">
              <w:rPr>
                <w:rFonts w:cs="Tahoma"/>
                <w:color w:val="000000"/>
                <w:szCs w:val="18"/>
              </w:rPr>
              <w:t>PowerPoint</w:t>
            </w:r>
            <w:r w:rsidR="00510A6E" w:rsidRPr="00416070">
              <w:rPr>
                <w:rFonts w:cs="Tahoma"/>
                <w:color w:val="000000"/>
                <w:szCs w:val="18"/>
                <w:vertAlign w:val="superscript"/>
              </w:rPr>
              <w:t>®</w:t>
            </w:r>
            <w:r w:rsidRPr="00416070">
              <w:rPr>
                <w:rFonts w:cs="Tahoma"/>
                <w:color w:val="000000"/>
                <w:szCs w:val="18"/>
              </w:rPr>
              <w:t xml:space="preserve"> 2013</w:t>
            </w:r>
          </w:p>
          <w:p w:rsidR="00AD6AD6" w:rsidRPr="00416070" w:rsidRDefault="00AD6AD6" w:rsidP="004B54F7">
            <w:pPr>
              <w:spacing w:line="240" w:lineRule="atLeast"/>
            </w:pPr>
            <w:r w:rsidRPr="00416070">
              <w:rPr>
                <w:rFonts w:cs="Tahoma"/>
                <w:color w:val="000000"/>
                <w:szCs w:val="18"/>
              </w:rPr>
              <w:t>Publisher 2013</w:t>
            </w:r>
          </w:p>
          <w:p w:rsidR="00AD6AD6" w:rsidRPr="00416070" w:rsidRDefault="00AD6AD6" w:rsidP="004B54F7">
            <w:pPr>
              <w:spacing w:line="240" w:lineRule="atLeast"/>
            </w:pPr>
            <w:r w:rsidRPr="00416070">
              <w:rPr>
                <w:rFonts w:cs="Tahoma"/>
                <w:color w:val="000000"/>
                <w:szCs w:val="18"/>
              </w:rPr>
              <w:t>Word 2013</w:t>
            </w:r>
          </w:p>
          <w:p w:rsidR="00AD6AD6" w:rsidRPr="00416070" w:rsidRDefault="00AD6AD6" w:rsidP="004B54F7">
            <w:pPr>
              <w:spacing w:line="240" w:lineRule="atLeast"/>
            </w:pPr>
            <w:r w:rsidRPr="00416070">
              <w:rPr>
                <w:rFonts w:cs="Tahoma"/>
                <w:color w:val="000000"/>
                <w:szCs w:val="18"/>
              </w:rPr>
              <w:t xml:space="preserve">Office para Mac Standard 2011 </w:t>
            </w:r>
          </w:p>
          <w:p w:rsidR="00AD6AD6" w:rsidRPr="008D38F6" w:rsidRDefault="00AD6AD6" w:rsidP="004B54F7">
            <w:pPr>
              <w:spacing w:line="240" w:lineRule="atLeast"/>
              <w:rPr>
                <w:lang w:val="pt-BR"/>
              </w:rPr>
            </w:pPr>
            <w:r w:rsidRPr="008D38F6">
              <w:rPr>
                <w:rFonts w:cs="Tahoma"/>
                <w:color w:val="000000"/>
                <w:szCs w:val="18"/>
                <w:lang w:val="pt-BR"/>
              </w:rPr>
              <w:t>Lync para Mac 2011</w:t>
            </w:r>
          </w:p>
          <w:p w:rsidR="00061A45" w:rsidRPr="008D38F6" w:rsidRDefault="007C4ADB" w:rsidP="004B54F7">
            <w:pPr>
              <w:spacing w:line="240" w:lineRule="atLeast"/>
              <w:rPr>
                <w:lang w:val="pt-BR"/>
              </w:rPr>
            </w:pPr>
            <w:r w:rsidRPr="008D38F6">
              <w:rPr>
                <w:rFonts w:cs="Tahoma"/>
                <w:color w:val="000000"/>
                <w:szCs w:val="18"/>
                <w:lang w:val="pt-BR"/>
              </w:rPr>
              <w:t>Outlook para Mac 2011</w:t>
            </w:r>
          </w:p>
          <w:p w:rsidR="00AD6AD6" w:rsidRPr="00416070" w:rsidRDefault="00AD6AD6" w:rsidP="004B54F7">
            <w:pPr>
              <w:spacing w:line="240" w:lineRule="atLeast"/>
            </w:pPr>
            <w:r w:rsidRPr="00416070">
              <w:rPr>
                <w:rFonts w:cs="Tahoma"/>
                <w:color w:val="000000"/>
                <w:szCs w:val="18"/>
              </w:rPr>
              <w:t>PowerPoint para Mac 2011</w:t>
            </w:r>
          </w:p>
          <w:p w:rsidR="00AD6AD6" w:rsidRPr="00416070" w:rsidRDefault="00AD6AD6" w:rsidP="004B54F7">
            <w:pPr>
              <w:spacing w:line="240" w:lineRule="atLeast"/>
            </w:pPr>
            <w:r w:rsidRPr="00416070">
              <w:rPr>
                <w:rFonts w:cs="Tahoma"/>
                <w:color w:val="000000"/>
                <w:szCs w:val="18"/>
              </w:rPr>
              <w:t>Excel para Mac 2011</w:t>
            </w:r>
          </w:p>
          <w:p w:rsidR="00AD6AD6" w:rsidRPr="00416070" w:rsidRDefault="00AD6AD6" w:rsidP="004B54F7">
            <w:pPr>
              <w:spacing w:line="240" w:lineRule="atLeast"/>
              <w:rPr>
                <w:rFonts w:cs="Tahoma"/>
                <w:color w:val="000000"/>
                <w:szCs w:val="18"/>
              </w:rPr>
            </w:pPr>
            <w:r w:rsidRPr="00416070">
              <w:rPr>
                <w:rFonts w:cs="Tahoma"/>
                <w:color w:val="000000"/>
                <w:szCs w:val="18"/>
              </w:rPr>
              <w:t>Word para Mac 2011</w:t>
            </w:r>
          </w:p>
        </w:tc>
      </w:tr>
    </w:tbl>
    <w:p w:rsidR="00D8064F" w:rsidRPr="008D38F6" w:rsidRDefault="00AD6AD6" w:rsidP="0044720D">
      <w:pPr>
        <w:pStyle w:val="AppendixBodyText"/>
        <w:spacing w:after="0"/>
        <w:ind w:firstLine="550"/>
        <w:rPr>
          <w:lang w:val="pt-BR"/>
        </w:rPr>
      </w:pPr>
      <w:r w:rsidRPr="008D38F6">
        <w:rPr>
          <w:rFonts w:ascii="Tahoma" w:hAnsi="Tahoma" w:cs="Tahoma"/>
          <w:b/>
          <w:i/>
          <w:sz w:val="16"/>
          <w:szCs w:val="16"/>
          <w:lang w:val="pt-BR"/>
        </w:rPr>
        <w:t>Observação:</w:t>
      </w:r>
      <w:r w:rsidRPr="008D38F6">
        <w:rPr>
          <w:rFonts w:ascii="Tahoma" w:hAnsi="Tahoma" w:cs="Tahoma"/>
          <w:i/>
          <w:sz w:val="16"/>
          <w:szCs w:val="16"/>
          <w:lang w:val="pt-BR"/>
        </w:rPr>
        <w:t xml:space="preserve"> a lista de produtos do Pool de Aplicativos do Office System está sujeita a alterações.</w:t>
      </w:r>
    </w:p>
    <w:p w:rsidR="00BA0707" w:rsidRPr="008D38F6" w:rsidRDefault="00BA0707" w:rsidP="0063466C">
      <w:pPr>
        <w:pStyle w:val="AppendixBodyText"/>
        <w:spacing w:after="0"/>
        <w:rPr>
          <w:rFonts w:ascii="Tahoma" w:hAnsi="Tahoma" w:cs="Tahoma"/>
          <w:sz w:val="18"/>
          <w:szCs w:val="18"/>
          <w:lang w:val="pt-BR"/>
        </w:rPr>
      </w:pPr>
    </w:p>
    <w:p w:rsidR="00023FE7" w:rsidRPr="00A56037" w:rsidRDefault="00023FE7">
      <w:pPr>
        <w:pStyle w:val="Heading2"/>
        <w:ind w:left="0"/>
        <w:rPr>
          <w:rFonts w:ascii="Tahoma" w:hAnsi="Tahoma" w:cs="Tahoma"/>
        </w:rPr>
      </w:pPr>
      <w:bookmarkStart w:id="769" w:name="_Toc336338228"/>
      <w:bookmarkStart w:id="770" w:name="_Toc352234296"/>
      <w:r w:rsidRPr="00A56037">
        <w:rPr>
          <w:rFonts w:ascii="Tahoma" w:hAnsi="Tahoma" w:cs="Tahoma"/>
        </w:rPr>
        <w:t>Direitos à Nova Versão</w:t>
      </w:r>
      <w:bookmarkEnd w:id="769"/>
      <w:bookmarkEnd w:id="770"/>
    </w:p>
    <w:p w:rsidR="00023FE7" w:rsidRPr="008D38F6" w:rsidRDefault="00023FE7" w:rsidP="00BA0707">
      <w:pPr>
        <w:rPr>
          <w:lang w:val="pt-BR"/>
        </w:rPr>
      </w:pPr>
    </w:p>
    <w:p w:rsidR="00023FE7" w:rsidRPr="008D38F6" w:rsidRDefault="00023FE7" w:rsidP="0063466C">
      <w:pPr>
        <w:pStyle w:val="AppendixBodyText"/>
        <w:spacing w:after="0"/>
        <w:rPr>
          <w:lang w:val="pt-BR"/>
        </w:rPr>
      </w:pPr>
      <w:r w:rsidRPr="008D38F6">
        <w:rPr>
          <w:rFonts w:ascii="Tahoma" w:hAnsi="Tahoma" w:cs="Tahoma"/>
          <w:color w:val="000000"/>
          <w:sz w:val="18"/>
          <w:lang w:val="pt-BR"/>
        </w:rPr>
        <w:t>Com o Software Assurance, os clientes estão qualificados a atualizar para novas versões de softwares licenciados disponibilizados durante o prazo da cobertura do Software Assurance.</w:t>
      </w:r>
      <w:r w:rsidR="00FB5496" w:rsidRPr="008D38F6">
        <w:rPr>
          <w:rFonts w:ascii="Tahoma" w:hAnsi="Tahoma" w:cs="Tahoma"/>
          <w:color w:val="000000"/>
          <w:sz w:val="18"/>
          <w:lang w:val="pt-BR"/>
        </w:rPr>
        <w:t xml:space="preserve"> </w:t>
      </w:r>
      <w:r w:rsidRPr="008D38F6">
        <w:rPr>
          <w:rFonts w:ascii="Tahoma" w:hAnsi="Tahoma" w:cs="Tahoma"/>
          <w:color w:val="000000"/>
          <w:sz w:val="18"/>
          <w:lang w:val="pt-BR"/>
        </w:rPr>
        <w:t>“Direitos à Nova Versão” significa, para qualquer produto subjacente licenciado para o qual a cobertura do Software Assurance é solicitada, o direito de</w:t>
      </w:r>
      <w:r w:rsidR="007009C5" w:rsidRPr="008D38F6">
        <w:rPr>
          <w:rFonts w:ascii="Tahoma" w:hAnsi="Tahoma" w:cs="Tahoma"/>
          <w:color w:val="000000"/>
          <w:sz w:val="18"/>
          <w:lang w:val="pt-BR"/>
        </w:rPr>
        <w:t> </w:t>
      </w:r>
      <w:r w:rsidRPr="008D38F6">
        <w:rPr>
          <w:rFonts w:ascii="Tahoma" w:hAnsi="Tahoma" w:cs="Tahoma"/>
          <w:color w:val="000000"/>
          <w:sz w:val="18"/>
          <w:lang w:val="pt-BR"/>
        </w:rPr>
        <w:t>atualizar para, e executar em lugar do produto subjacente licenciado, a versão mais recente desse produto disponibilizado durante o período da cobertura.</w:t>
      </w:r>
      <w:r w:rsidR="00FB5496" w:rsidRPr="008D38F6">
        <w:rPr>
          <w:rFonts w:ascii="Tahoma" w:hAnsi="Tahoma" w:cs="Tahoma"/>
          <w:color w:val="000000"/>
          <w:sz w:val="18"/>
          <w:lang w:val="pt-BR"/>
        </w:rPr>
        <w:t xml:space="preserve"> </w:t>
      </w:r>
      <w:r w:rsidRPr="008D38F6">
        <w:rPr>
          <w:rFonts w:ascii="Tahoma" w:hAnsi="Tahoma" w:cs="Tahoma"/>
          <w:color w:val="000000"/>
          <w:sz w:val="18"/>
          <w:lang w:val="pt-BR"/>
        </w:rPr>
        <w:t>Por exemplo, se uma nova versão do Microsoft Office for disponibilizada durante o prazo de sua cobertura, suas licenças serão automaticamente atualizadas para a nova versão. Os clientes que adquirirem licenças perpétuas por meio do Software Assurance poderão implantar as atualizações após o término de suas coberturas.</w:t>
      </w:r>
    </w:p>
    <w:p w:rsidR="00BA0707" w:rsidRPr="008D38F6" w:rsidRDefault="00BA0707" w:rsidP="0063466C">
      <w:pPr>
        <w:pStyle w:val="AppendixBodyText"/>
        <w:spacing w:after="0"/>
        <w:rPr>
          <w:rFonts w:ascii="Tahoma" w:hAnsi="Tahoma" w:cs="Tahoma"/>
          <w:lang w:val="pt-BR"/>
        </w:rPr>
      </w:pPr>
    </w:p>
    <w:p w:rsidR="00023FE7" w:rsidRPr="00416070" w:rsidRDefault="00023FE7">
      <w:pPr>
        <w:pStyle w:val="Heading2"/>
        <w:ind w:left="0"/>
      </w:pPr>
      <w:bookmarkStart w:id="771" w:name="_Toc336338229"/>
      <w:bookmarkStart w:id="772" w:name="_Toc352234297"/>
      <w:r w:rsidRPr="00416070">
        <w:rPr>
          <w:rFonts w:ascii="Tahoma" w:hAnsi="Tahoma"/>
        </w:rPr>
        <w:t>Pacote Multilíngue do Office</w:t>
      </w:r>
      <w:bookmarkEnd w:id="771"/>
      <w:bookmarkEnd w:id="772"/>
    </w:p>
    <w:p w:rsidR="00023FE7" w:rsidRPr="008D38F6" w:rsidRDefault="00023FE7" w:rsidP="00BA0707">
      <w:pPr>
        <w:rPr>
          <w:lang w:val="pt-BR"/>
        </w:rPr>
      </w:pPr>
    </w:p>
    <w:p w:rsidR="0063466C" w:rsidRPr="008D38F6" w:rsidRDefault="00E7419A" w:rsidP="0063466C">
      <w:pPr>
        <w:spacing w:after="60"/>
        <w:jc w:val="both"/>
        <w:rPr>
          <w:lang w:val="pt-BR"/>
        </w:rPr>
      </w:pPr>
      <w:r w:rsidRPr="008D38F6">
        <w:rPr>
          <w:rFonts w:cs="Tahoma"/>
          <w:b/>
          <w:szCs w:val="18"/>
          <w:lang w:val="pt-BR"/>
        </w:rPr>
        <w:t>Clientes do Software Assurance</w:t>
      </w:r>
    </w:p>
    <w:p w:rsidR="00E7419A" w:rsidRPr="008D38F6" w:rsidRDefault="00E7419A" w:rsidP="00E7419A">
      <w:pPr>
        <w:jc w:val="both"/>
        <w:rPr>
          <w:lang w:val="pt-BR"/>
        </w:rPr>
      </w:pPr>
      <w:r w:rsidRPr="008D38F6">
        <w:rPr>
          <w:rFonts w:cs="Tahoma"/>
          <w:szCs w:val="18"/>
          <w:lang w:val="pt-BR"/>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qualificadas.</w:t>
      </w:r>
    </w:p>
    <w:p w:rsidR="0063466C" w:rsidRPr="008D38F6" w:rsidRDefault="0063466C" w:rsidP="00E7419A">
      <w:pPr>
        <w:jc w:val="both"/>
        <w:rPr>
          <w:lang w:val="pt-BR"/>
        </w:rPr>
      </w:pPr>
    </w:p>
    <w:p w:rsidR="0063466C" w:rsidRPr="008D38F6" w:rsidRDefault="00E7419A" w:rsidP="0063466C">
      <w:pPr>
        <w:spacing w:after="60"/>
        <w:jc w:val="both"/>
        <w:rPr>
          <w:lang w:val="pt-BR"/>
        </w:rPr>
      </w:pPr>
      <w:r w:rsidRPr="008D38F6">
        <w:rPr>
          <w:rFonts w:cs="Tahoma"/>
          <w:b/>
          <w:szCs w:val="18"/>
          <w:lang w:val="pt-BR"/>
        </w:rPr>
        <w:t>Clientes qualificados para os Benefícios de Serviços Online</w:t>
      </w:r>
    </w:p>
    <w:p w:rsidR="00E7419A" w:rsidRPr="008D38F6" w:rsidRDefault="00E7419A" w:rsidP="00E7419A">
      <w:pPr>
        <w:jc w:val="both"/>
        <w:rPr>
          <w:lang w:val="pt-BR"/>
        </w:rPr>
      </w:pPr>
      <w:r w:rsidRPr="008D38F6">
        <w:rPr>
          <w:rFonts w:cs="Tahoma"/>
          <w:szCs w:val="18"/>
          <w:lang w:val="pt-BR"/>
        </w:rPr>
        <w:t>Clientes com o Office ProPlus para Office 365 e Office 365 Enterprise E3 e E4 estão qualificados para usar esse benefício durante o pr</w:t>
      </w:r>
      <w:r w:rsidR="00A56037" w:rsidRPr="008D38F6">
        <w:rPr>
          <w:rFonts w:cs="Tahoma"/>
          <w:szCs w:val="18"/>
          <w:lang w:val="pt-BR"/>
        </w:rPr>
        <w:t>azo de seu respectivo registro.</w:t>
      </w:r>
    </w:p>
    <w:p w:rsidR="00023FE7" w:rsidRPr="008D38F6" w:rsidRDefault="00023FE7" w:rsidP="00BA0707">
      <w:pPr>
        <w:jc w:val="both"/>
        <w:rPr>
          <w:lang w:val="pt-BR"/>
        </w:rPr>
      </w:pPr>
    </w:p>
    <w:p w:rsidR="00023FE7" w:rsidRPr="008D38F6" w:rsidRDefault="00023FE7">
      <w:pPr>
        <w:jc w:val="both"/>
        <w:rPr>
          <w:lang w:val="pt-BR"/>
        </w:rPr>
      </w:pPr>
      <w:r w:rsidRPr="008D38F6">
        <w:rPr>
          <w:lang w:val="pt-BR"/>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FB5496" w:rsidRPr="008D38F6">
        <w:rPr>
          <w:lang w:val="pt-BR"/>
        </w:rPr>
        <w:t xml:space="preserve"> </w:t>
      </w:r>
      <w:r w:rsidRPr="008D38F6">
        <w:rPr>
          <w:lang w:val="pt-BR"/>
        </w:rPr>
        <w:t>Caso contrário, o direito de uso do Pacote Multilíngue do Office se encerrará no término dos direitos concedidos sob a licenç</w:t>
      </w:r>
      <w:r w:rsidR="00A56037" w:rsidRPr="008D38F6">
        <w:rPr>
          <w:lang w:val="pt-BR"/>
        </w:rPr>
        <w:t>a qualificada do Office System.</w:t>
      </w:r>
    </w:p>
    <w:p w:rsidR="00BA0707" w:rsidRPr="008D38F6" w:rsidRDefault="00BA0707" w:rsidP="00BA0707">
      <w:pPr>
        <w:jc w:val="both"/>
        <w:rPr>
          <w:lang w:val="pt-BR"/>
        </w:rPr>
      </w:pPr>
    </w:p>
    <w:p w:rsidR="00F76ED4" w:rsidRPr="008D38F6" w:rsidRDefault="00F76ED4">
      <w:pPr>
        <w:rPr>
          <w:lang w:val="pt-BR"/>
        </w:rPr>
      </w:pPr>
      <w:bookmarkStart w:id="773" w:name="_Toc291204555"/>
      <w:r w:rsidRPr="008D38F6">
        <w:rPr>
          <w:b/>
          <w:sz w:val="24"/>
          <w:szCs w:val="24"/>
          <w:lang w:val="pt-BR"/>
        </w:rPr>
        <w:br w:type="page"/>
      </w:r>
    </w:p>
    <w:p w:rsidR="000D4ECA" w:rsidRPr="008D38F6" w:rsidRDefault="000D4ECA" w:rsidP="000D4ECA">
      <w:pPr>
        <w:outlineLvl w:val="1"/>
        <w:rPr>
          <w:lang w:val="pt-BR"/>
        </w:rPr>
      </w:pPr>
      <w:r w:rsidRPr="008D38F6">
        <w:rPr>
          <w:b/>
          <w:sz w:val="24"/>
          <w:szCs w:val="24"/>
          <w:lang w:val="pt-BR"/>
        </w:rPr>
        <w:lastRenderedPageBreak/>
        <w:t>Serviços de Planejamento</w:t>
      </w:r>
      <w:bookmarkEnd w:id="773"/>
    </w:p>
    <w:p w:rsidR="000D4ECA" w:rsidRPr="008D38F6" w:rsidRDefault="000D4ECA" w:rsidP="000D4ECA">
      <w:pPr>
        <w:rPr>
          <w:lang w:val="pt-BR"/>
        </w:rPr>
      </w:pPr>
    </w:p>
    <w:p w:rsidR="000D4ECA" w:rsidRPr="00416070" w:rsidRDefault="000D4ECA" w:rsidP="00A56037">
      <w:pPr>
        <w:spacing w:after="60"/>
      </w:pPr>
      <w:r w:rsidRPr="008D38F6">
        <w:rPr>
          <w:rFonts w:cs="Tahoma"/>
          <w:color w:val="000000"/>
          <w:szCs w:val="18"/>
          <w:lang w:val="pt-BR"/>
        </w:rPr>
        <w:t>Os clientes (que não forem de Licença Academic Select, Select Plus para Academic, Contrato para Campus e Contrato School e Open Value Subscription - Soluções Educacionais) com o Programa de Membros do Software Assurance nos</w:t>
      </w:r>
      <w:r w:rsidR="00A56037" w:rsidRPr="008D38F6">
        <w:rPr>
          <w:rFonts w:cs="Tahoma"/>
          <w:color w:val="000000"/>
          <w:szCs w:val="18"/>
          <w:lang w:val="pt-BR"/>
        </w:rPr>
        <w:t> </w:t>
      </w:r>
      <w:r w:rsidRPr="008D38F6">
        <w:rPr>
          <w:rFonts w:cs="Tahoma"/>
          <w:color w:val="000000"/>
          <w:szCs w:val="18"/>
          <w:lang w:val="pt-BR"/>
        </w:rPr>
        <w:t>Pools de Aplicativos e Servidores estão qualificados para esse benefício.</w:t>
      </w:r>
      <w:r w:rsidR="00FB5496" w:rsidRPr="008D38F6">
        <w:rPr>
          <w:rFonts w:cs="Tahoma"/>
          <w:color w:val="000000"/>
          <w:szCs w:val="18"/>
          <w:lang w:val="pt-BR"/>
        </w:rPr>
        <w:t xml:space="preserve"> </w:t>
      </w:r>
      <w:r w:rsidRPr="008D38F6">
        <w:rPr>
          <w:rFonts w:cs="Tahoma"/>
          <w:color w:val="000000"/>
          <w:szCs w:val="18"/>
          <w:lang w:val="pt-BR"/>
        </w:rPr>
        <w:t>O benefício Serviços de Planejamento fornece aos clientes qualificados ofertas de serviços personalizados predefinidas.</w:t>
      </w:r>
      <w:r w:rsidR="00FB5496" w:rsidRPr="008D38F6">
        <w:rPr>
          <w:rFonts w:cs="Tahoma"/>
          <w:color w:val="000000"/>
          <w:szCs w:val="18"/>
          <w:lang w:val="pt-BR"/>
        </w:rPr>
        <w:t xml:space="preserve"> </w:t>
      </w:r>
      <w:r w:rsidRPr="00416070">
        <w:rPr>
          <w:rFonts w:cs="Tahoma"/>
          <w:color w:val="000000"/>
          <w:szCs w:val="18"/>
        </w:rPr>
        <w:t>As ofertas disponíveis incluem:</w:t>
      </w:r>
    </w:p>
    <w:p w:rsidR="000D4ECA" w:rsidRPr="00416070" w:rsidRDefault="000D4ECA" w:rsidP="0063466C"/>
    <w:p w:rsidR="000D4ECA" w:rsidRPr="00416070" w:rsidRDefault="000D4ECA" w:rsidP="00024C3C">
      <w:pPr>
        <w:numPr>
          <w:ilvl w:val="0"/>
          <w:numId w:val="10"/>
        </w:numPr>
        <w:spacing w:after="60" w:line="276" w:lineRule="auto"/>
      </w:pPr>
      <w:r w:rsidRPr="00416070">
        <w:rPr>
          <w:rFonts w:cs="Tahoma"/>
          <w:color w:val="000000"/>
          <w:szCs w:val="18"/>
        </w:rPr>
        <w:t>Desktop Deployment Planning Services (DDPS)</w:t>
      </w:r>
    </w:p>
    <w:p w:rsidR="000D4ECA" w:rsidRPr="008D38F6" w:rsidRDefault="000D4ECA" w:rsidP="002C1048">
      <w:pPr>
        <w:numPr>
          <w:ilvl w:val="1"/>
          <w:numId w:val="130"/>
        </w:numPr>
        <w:spacing w:after="60" w:line="276" w:lineRule="auto"/>
        <w:ind w:left="1980"/>
        <w:rPr>
          <w:lang w:val="pt-BR"/>
        </w:rPr>
      </w:pPr>
      <w:r w:rsidRPr="008D38F6">
        <w:rPr>
          <w:rFonts w:cs="Tahoma"/>
          <w:color w:val="000000"/>
          <w:szCs w:val="18"/>
          <w:lang w:val="pt-BR"/>
        </w:rPr>
        <w:t>Descrição: O DDPS fornece aos clientes a análise fundamental, os procedimentos técnicos e</w:t>
      </w:r>
      <w:r w:rsidR="002D000C" w:rsidRPr="008D38F6">
        <w:rPr>
          <w:rFonts w:cs="Tahoma"/>
          <w:color w:val="000000"/>
          <w:szCs w:val="18"/>
          <w:lang w:val="pt-BR"/>
        </w:rPr>
        <w:t> </w:t>
      </w:r>
      <w:r w:rsidRPr="008D38F6">
        <w:rPr>
          <w:rFonts w:cs="Tahoma"/>
          <w:color w:val="000000"/>
          <w:szCs w:val="18"/>
          <w:lang w:val="pt-BR"/>
        </w:rPr>
        <w:t>de planejamento necessários para iniciar a implantação do desktop com o Office 2010 e</w:t>
      </w:r>
      <w:r w:rsidR="002D000C" w:rsidRPr="008D38F6">
        <w:rPr>
          <w:rFonts w:cs="Tahoma"/>
          <w:color w:val="000000"/>
          <w:szCs w:val="18"/>
          <w:lang w:val="pt-BR"/>
        </w:rPr>
        <w:t> </w:t>
      </w:r>
      <w:r w:rsidRPr="008D38F6">
        <w:rPr>
          <w:rFonts w:cs="Tahoma"/>
          <w:color w:val="000000"/>
          <w:szCs w:val="18"/>
          <w:lang w:val="pt-BR"/>
        </w:rPr>
        <w:t>o</w:t>
      </w:r>
      <w:r w:rsidR="002D000C" w:rsidRPr="008D38F6">
        <w:rPr>
          <w:rFonts w:cs="Tahoma"/>
          <w:color w:val="000000"/>
          <w:szCs w:val="18"/>
          <w:lang w:val="pt-BR"/>
        </w:rPr>
        <w:t> </w:t>
      </w:r>
      <w:r w:rsidRPr="008D38F6">
        <w:rPr>
          <w:rFonts w:cs="Tahoma"/>
          <w:color w:val="000000"/>
          <w:szCs w:val="18"/>
          <w:lang w:val="pt-BR"/>
        </w:rPr>
        <w:t>Windows 8. Essa oferta é baseada nas práticas recomendadas da Microsoft para implantação de desktop e ajuda os clientes e reduzir o custo, o risco e a complexidade das implantações por meio de altos níveis de processo e automação. O DDPS também pode auxiliar as organizações a avaliar o Office 365 abordando a consideração e os requisitos para adoção de um ambiente de desktop preparado para nuvem.</w:t>
      </w:r>
    </w:p>
    <w:p w:rsidR="000D4ECA" w:rsidRPr="00416070" w:rsidRDefault="000D4ECA" w:rsidP="002C1048">
      <w:pPr>
        <w:numPr>
          <w:ilvl w:val="1"/>
          <w:numId w:val="130"/>
        </w:numPr>
        <w:spacing w:after="60" w:line="276" w:lineRule="auto"/>
        <w:ind w:left="1980"/>
      </w:pPr>
      <w:r w:rsidRPr="00416070">
        <w:rPr>
          <w:rFonts w:cs="Tahoma"/>
          <w:color w:val="000000"/>
          <w:szCs w:val="18"/>
        </w:rPr>
        <w:t>Níveis de Serviço: 1, 3, 5, 10 ou 15 dias</w:t>
      </w:r>
    </w:p>
    <w:p w:rsidR="000D4ECA" w:rsidRPr="00416070" w:rsidRDefault="000D4ECA" w:rsidP="00024C3C">
      <w:pPr>
        <w:numPr>
          <w:ilvl w:val="0"/>
          <w:numId w:val="11"/>
        </w:numPr>
        <w:spacing w:after="60" w:line="276" w:lineRule="auto"/>
        <w:ind w:left="1440"/>
      </w:pPr>
      <w:r w:rsidRPr="00416070">
        <w:rPr>
          <w:rFonts w:cs="Tahoma"/>
          <w:color w:val="000000"/>
          <w:szCs w:val="18"/>
        </w:rPr>
        <w:t>SharePoint Deployment Planning Services (SDPS)</w:t>
      </w:r>
    </w:p>
    <w:p w:rsidR="000D4ECA" w:rsidRPr="008D38F6" w:rsidRDefault="000D4ECA" w:rsidP="002C1048">
      <w:pPr>
        <w:numPr>
          <w:ilvl w:val="1"/>
          <w:numId w:val="131"/>
        </w:numPr>
        <w:spacing w:after="60" w:line="276" w:lineRule="auto"/>
        <w:ind w:left="1980"/>
        <w:rPr>
          <w:lang w:val="pt-BR"/>
        </w:rPr>
      </w:pPr>
      <w:r w:rsidRPr="008D38F6">
        <w:rPr>
          <w:rFonts w:cs="Tahoma"/>
          <w:color w:val="000000"/>
          <w:szCs w:val="18"/>
          <w:lang w:val="pt-BR"/>
        </w:rPr>
        <w:t>Descrição: o SDPS permite que parceiros qualificados e consultores da Microsoft ajudem os clientes a desenvolver um plano de implantação do SharePoint Portal Server personalizado para o ambiente específico e avaliar os custos gerais da implantação da tecnologia.</w:t>
      </w:r>
      <w:r w:rsidR="00FB5496" w:rsidRPr="008D38F6">
        <w:rPr>
          <w:rFonts w:cs="Tahoma"/>
          <w:color w:val="000000"/>
          <w:szCs w:val="18"/>
          <w:lang w:val="pt-BR"/>
        </w:rPr>
        <w:t xml:space="preserve"> </w:t>
      </w:r>
      <w:r w:rsidRPr="008D38F6">
        <w:rPr>
          <w:rFonts w:cs="Tahoma"/>
          <w:color w:val="000000"/>
          <w:szCs w:val="18"/>
          <w:lang w:val="pt-BR"/>
        </w:rPr>
        <w:t>O SDPS também pode ajudar os clientes com o planejamento do desenvolvimento com o objetivo de</w:t>
      </w:r>
      <w:r w:rsidR="002D000C" w:rsidRPr="008D38F6">
        <w:rPr>
          <w:rFonts w:cs="Tahoma"/>
          <w:color w:val="000000"/>
          <w:szCs w:val="18"/>
          <w:lang w:val="pt-BR"/>
        </w:rPr>
        <w:t> </w:t>
      </w:r>
      <w:r w:rsidRPr="008D38F6">
        <w:rPr>
          <w:rFonts w:cs="Tahoma"/>
          <w:color w:val="000000"/>
          <w:szCs w:val="18"/>
          <w:lang w:val="pt-BR"/>
        </w:rPr>
        <w:t>auxiliar na transição para o Office 365, concentrando-se no SharePoint Online.</w:t>
      </w:r>
      <w:r w:rsidR="00FB5496" w:rsidRPr="008D38F6">
        <w:rPr>
          <w:rFonts w:cs="Tahoma"/>
          <w:color w:val="000000"/>
          <w:szCs w:val="18"/>
          <w:lang w:val="pt-BR"/>
        </w:rPr>
        <w:t xml:space="preserve"> </w:t>
      </w:r>
    </w:p>
    <w:p w:rsidR="000D4ECA" w:rsidRPr="00416070" w:rsidRDefault="000D4ECA" w:rsidP="002C1048">
      <w:pPr>
        <w:numPr>
          <w:ilvl w:val="1"/>
          <w:numId w:val="131"/>
        </w:numPr>
        <w:spacing w:after="60" w:line="276" w:lineRule="auto"/>
        <w:ind w:left="1980"/>
      </w:pPr>
      <w:r w:rsidRPr="00416070">
        <w:rPr>
          <w:rFonts w:cs="Tahoma"/>
          <w:color w:val="000000"/>
          <w:szCs w:val="18"/>
        </w:rPr>
        <w:t>Níveis de Serviço: 1, 3, 5, 10 ou 15 dias</w:t>
      </w:r>
    </w:p>
    <w:p w:rsidR="000D4ECA" w:rsidRPr="00416070" w:rsidRDefault="000D4ECA" w:rsidP="00024C3C">
      <w:pPr>
        <w:numPr>
          <w:ilvl w:val="0"/>
          <w:numId w:val="10"/>
        </w:numPr>
        <w:spacing w:after="60" w:line="276" w:lineRule="auto"/>
      </w:pPr>
      <w:r w:rsidRPr="00416070">
        <w:rPr>
          <w:rFonts w:cs="Tahoma"/>
          <w:color w:val="000000"/>
          <w:szCs w:val="18"/>
        </w:rPr>
        <w:t>Lync e Exchange Deployment Planning Services (L&amp;EDPS)</w:t>
      </w:r>
    </w:p>
    <w:p w:rsidR="000D4ECA" w:rsidRPr="008D38F6" w:rsidRDefault="000D4ECA" w:rsidP="002C1048">
      <w:pPr>
        <w:numPr>
          <w:ilvl w:val="1"/>
          <w:numId w:val="132"/>
        </w:numPr>
        <w:spacing w:after="60" w:line="276" w:lineRule="auto"/>
        <w:ind w:left="1980"/>
        <w:rPr>
          <w:lang w:val="pt-BR"/>
        </w:rPr>
      </w:pPr>
      <w:r w:rsidRPr="008D38F6">
        <w:rPr>
          <w:rFonts w:cs="Tahoma"/>
          <w:color w:val="000000"/>
          <w:szCs w:val="18"/>
          <w:lang w:val="pt-BR"/>
        </w:rPr>
        <w:t>Descrição: O L&amp;EDPS permite que parceiros qualificados e os consultores da Microsoft orientem os clientes pelas fases de planejamento da implantação e valor das implementações do Lync e do Exchange 2010, inclusive a análise do ambiente da organização do cliente e o compartilhamento de práticas recomendadas para soluções locais</w:t>
      </w:r>
      <w:r w:rsidR="002D000C" w:rsidRPr="008D38F6">
        <w:rPr>
          <w:rFonts w:cs="Tahoma"/>
          <w:color w:val="000000"/>
          <w:szCs w:val="18"/>
          <w:lang w:val="pt-BR"/>
        </w:rPr>
        <w:t> </w:t>
      </w:r>
      <w:r w:rsidRPr="008D38F6">
        <w:rPr>
          <w:rFonts w:cs="Tahoma"/>
          <w:color w:val="000000"/>
          <w:szCs w:val="18"/>
          <w:lang w:val="pt-BR"/>
        </w:rPr>
        <w:t>e em nuvem.</w:t>
      </w:r>
      <w:r w:rsidR="00FB5496" w:rsidRPr="008D38F6">
        <w:rPr>
          <w:rFonts w:cs="Tahoma"/>
          <w:color w:val="000000"/>
          <w:szCs w:val="18"/>
          <w:lang w:val="pt-BR"/>
        </w:rPr>
        <w:t xml:space="preserve"> </w:t>
      </w:r>
      <w:r w:rsidRPr="008D38F6">
        <w:rPr>
          <w:rFonts w:cs="Tahoma"/>
          <w:color w:val="000000"/>
          <w:szCs w:val="18"/>
          <w:lang w:val="pt-BR"/>
        </w:rPr>
        <w:t>O L&amp;EDPS também pode ajudar os clientes com o planejamento do desenvolvimento com o objetivo de auxiliar na transição para o Office 365, concentrando-se</w:t>
      </w:r>
      <w:r w:rsidR="002D000C" w:rsidRPr="008D38F6">
        <w:rPr>
          <w:rFonts w:cs="Tahoma"/>
          <w:color w:val="000000"/>
          <w:szCs w:val="18"/>
          <w:lang w:val="pt-BR"/>
        </w:rPr>
        <w:t> </w:t>
      </w:r>
      <w:r w:rsidRPr="008D38F6">
        <w:rPr>
          <w:rFonts w:cs="Tahoma"/>
          <w:color w:val="000000"/>
          <w:szCs w:val="18"/>
          <w:lang w:val="pt-BR"/>
        </w:rPr>
        <w:t>no Lync e no Exchange Online.</w:t>
      </w:r>
    </w:p>
    <w:p w:rsidR="000D4ECA" w:rsidRPr="00416070" w:rsidRDefault="000D4ECA" w:rsidP="002C1048">
      <w:pPr>
        <w:numPr>
          <w:ilvl w:val="1"/>
          <w:numId w:val="132"/>
        </w:numPr>
        <w:spacing w:after="60" w:line="276" w:lineRule="auto"/>
        <w:ind w:left="1980"/>
      </w:pPr>
      <w:r w:rsidRPr="00416070">
        <w:rPr>
          <w:rFonts w:cs="Tahoma"/>
          <w:color w:val="000000"/>
          <w:szCs w:val="18"/>
        </w:rPr>
        <w:t>Níveis de Serviço: 1, 3, 5, 10 ou 15 dias</w:t>
      </w:r>
    </w:p>
    <w:p w:rsidR="000D4ECA" w:rsidRPr="00416070" w:rsidRDefault="000D4ECA" w:rsidP="00024C3C">
      <w:pPr>
        <w:numPr>
          <w:ilvl w:val="0"/>
          <w:numId w:val="10"/>
        </w:numPr>
        <w:spacing w:after="60" w:line="276" w:lineRule="auto"/>
      </w:pPr>
      <w:r w:rsidRPr="00416070">
        <w:rPr>
          <w:rFonts w:cs="Tahoma"/>
          <w:color w:val="000000"/>
          <w:szCs w:val="18"/>
        </w:rPr>
        <w:t>Private Cloud, Management and Virtualization Deployment Planning Services (PVDPS)</w:t>
      </w:r>
    </w:p>
    <w:p w:rsidR="000D4ECA" w:rsidRPr="008D38F6" w:rsidRDefault="000D4ECA" w:rsidP="00A56037">
      <w:pPr>
        <w:numPr>
          <w:ilvl w:val="1"/>
          <w:numId w:val="133"/>
        </w:numPr>
        <w:spacing w:after="60" w:line="276" w:lineRule="auto"/>
        <w:ind w:left="1980"/>
        <w:rPr>
          <w:lang w:val="pt-BR"/>
        </w:rPr>
      </w:pPr>
      <w:r w:rsidRPr="008D38F6">
        <w:rPr>
          <w:rFonts w:cs="Tahoma"/>
          <w:color w:val="000000"/>
          <w:szCs w:val="18"/>
          <w:lang w:val="pt-BR"/>
        </w:rPr>
        <w:t xml:space="preserve">Descrição: </w:t>
      </w:r>
      <w:r w:rsidRPr="008D38F6">
        <w:rPr>
          <w:rFonts w:cs="Tahoma"/>
          <w:szCs w:val="18"/>
          <w:lang w:val="pt-BR"/>
        </w:rPr>
        <w:t>O PVDPS fornece compromissos de consultoria estruturados que ajudam os clientes a aproveitar as soluções de infraestrutura baseadas em Windows Server, Systems Center e Hyper-V. Esse serviço ajudará a reduzir custos de data center, aumentar a agilidade dos negócios e fornecer um controle aperfeiçoado da infraestrutura física, virtual</w:t>
      </w:r>
      <w:r w:rsidR="00A56037" w:rsidRPr="008D38F6">
        <w:rPr>
          <w:rFonts w:cs="Tahoma"/>
          <w:szCs w:val="18"/>
          <w:lang w:val="pt-BR"/>
        </w:rPr>
        <w:t> </w:t>
      </w:r>
      <w:r w:rsidRPr="008D38F6">
        <w:rPr>
          <w:rFonts w:cs="Tahoma"/>
          <w:szCs w:val="18"/>
          <w:lang w:val="pt-BR"/>
        </w:rPr>
        <w:t>e</w:t>
      </w:r>
      <w:r w:rsidR="002D000C" w:rsidRPr="008D38F6">
        <w:rPr>
          <w:rFonts w:cs="Tahoma"/>
          <w:szCs w:val="18"/>
          <w:lang w:val="pt-BR"/>
        </w:rPr>
        <w:t> </w:t>
      </w:r>
      <w:r w:rsidRPr="008D38F6">
        <w:rPr>
          <w:rFonts w:cs="Tahoma"/>
          <w:szCs w:val="18"/>
          <w:lang w:val="pt-BR"/>
        </w:rPr>
        <w:t>híbrida do cliente</w:t>
      </w:r>
      <w:r w:rsidRPr="008D38F6">
        <w:rPr>
          <w:rFonts w:cs="Tahoma"/>
          <w:color w:val="000000"/>
          <w:szCs w:val="18"/>
          <w:lang w:val="pt-BR"/>
        </w:rPr>
        <w:t xml:space="preserve">. </w:t>
      </w:r>
    </w:p>
    <w:p w:rsidR="000D4ECA" w:rsidRPr="00416070" w:rsidRDefault="000D4ECA" w:rsidP="002C1048">
      <w:pPr>
        <w:numPr>
          <w:ilvl w:val="1"/>
          <w:numId w:val="133"/>
        </w:numPr>
        <w:spacing w:after="60" w:line="276" w:lineRule="auto"/>
        <w:ind w:left="1980"/>
      </w:pPr>
      <w:r w:rsidRPr="00416070">
        <w:rPr>
          <w:rFonts w:cs="Tahoma"/>
          <w:color w:val="000000"/>
          <w:szCs w:val="18"/>
        </w:rPr>
        <w:t>Níveis de Serviço: 3, 5, 10 ou 15 dias</w:t>
      </w:r>
    </w:p>
    <w:p w:rsidR="000D4ECA" w:rsidRPr="00416070" w:rsidRDefault="000D4ECA" w:rsidP="00024C3C">
      <w:pPr>
        <w:numPr>
          <w:ilvl w:val="0"/>
          <w:numId w:val="10"/>
        </w:numPr>
        <w:spacing w:after="60" w:line="276" w:lineRule="auto"/>
      </w:pPr>
      <w:r w:rsidRPr="00416070">
        <w:rPr>
          <w:rFonts w:cs="Tahoma"/>
          <w:color w:val="000000"/>
          <w:szCs w:val="18"/>
        </w:rPr>
        <w:t>SQL Server Deployment Planning Services (SSDPS)</w:t>
      </w:r>
    </w:p>
    <w:p w:rsidR="000D4ECA" w:rsidRPr="008D38F6" w:rsidRDefault="000D4ECA" w:rsidP="002C1048">
      <w:pPr>
        <w:numPr>
          <w:ilvl w:val="1"/>
          <w:numId w:val="134"/>
        </w:numPr>
        <w:spacing w:after="60" w:line="276" w:lineRule="auto"/>
        <w:ind w:left="1980"/>
        <w:rPr>
          <w:lang w:val="pt-BR"/>
        </w:rPr>
      </w:pPr>
      <w:r w:rsidRPr="008D38F6">
        <w:rPr>
          <w:rFonts w:cs="Tahoma"/>
          <w:color w:val="000000"/>
          <w:szCs w:val="18"/>
          <w:lang w:val="pt-BR"/>
        </w:rPr>
        <w:t xml:space="preserve">Descrição: </w:t>
      </w:r>
      <w:r w:rsidRPr="008D38F6">
        <w:rPr>
          <w:rFonts w:cs="Tahoma"/>
          <w:szCs w:val="18"/>
          <w:lang w:val="pt-BR"/>
        </w:rPr>
        <w:t>O SSDPS fornece uma avaliação aprofundada e o planejamento da implantação para migração para o SQL Server, atualização para a nova versão da solução SQL Server e</w:t>
      </w:r>
      <w:r w:rsidR="002D000C" w:rsidRPr="008D38F6">
        <w:rPr>
          <w:rFonts w:cs="Tahoma"/>
          <w:szCs w:val="18"/>
          <w:lang w:val="pt-BR"/>
        </w:rPr>
        <w:t> </w:t>
      </w:r>
      <w:r w:rsidRPr="008D38F6">
        <w:rPr>
          <w:rFonts w:cs="Tahoma"/>
          <w:szCs w:val="18"/>
          <w:lang w:val="pt-BR"/>
        </w:rPr>
        <w:t>SQL Server Business Intelligence.</w:t>
      </w:r>
    </w:p>
    <w:p w:rsidR="000D4ECA" w:rsidRPr="00416070" w:rsidRDefault="000D4ECA" w:rsidP="002C1048">
      <w:pPr>
        <w:numPr>
          <w:ilvl w:val="1"/>
          <w:numId w:val="134"/>
        </w:numPr>
        <w:spacing w:after="60" w:line="276" w:lineRule="auto"/>
        <w:ind w:left="1980"/>
      </w:pPr>
      <w:r w:rsidRPr="00416070">
        <w:rPr>
          <w:rFonts w:cs="Tahoma"/>
          <w:color w:val="000000"/>
          <w:szCs w:val="18"/>
        </w:rPr>
        <w:t>Níveis de Serviço: 3, 5, 10 ou 15 dias</w:t>
      </w:r>
    </w:p>
    <w:p w:rsidR="002D000C" w:rsidRPr="00416070" w:rsidRDefault="002D000C" w:rsidP="002D000C">
      <w:pPr>
        <w:spacing w:after="60" w:line="276" w:lineRule="auto"/>
        <w:ind w:left="1980"/>
        <w:rPr>
          <w:rFonts w:cs="Tahoma"/>
          <w:color w:val="000000"/>
          <w:szCs w:val="18"/>
        </w:rPr>
      </w:pPr>
    </w:p>
    <w:p w:rsidR="002D000C" w:rsidRPr="00416070" w:rsidRDefault="002D000C" w:rsidP="002D000C">
      <w:pPr>
        <w:spacing w:after="60" w:line="276" w:lineRule="auto"/>
        <w:ind w:left="1980"/>
        <w:rPr>
          <w:rFonts w:cs="Tahoma"/>
          <w:color w:val="000000"/>
          <w:szCs w:val="18"/>
        </w:rPr>
      </w:pPr>
    </w:p>
    <w:p w:rsidR="002D000C" w:rsidRPr="00416070" w:rsidRDefault="002D000C" w:rsidP="002D000C">
      <w:pPr>
        <w:spacing w:after="60" w:line="276" w:lineRule="auto"/>
        <w:ind w:left="1980"/>
      </w:pPr>
    </w:p>
    <w:p w:rsidR="000D4ECA" w:rsidRPr="00416070" w:rsidRDefault="000D4ECA" w:rsidP="00024C3C">
      <w:pPr>
        <w:numPr>
          <w:ilvl w:val="0"/>
          <w:numId w:val="10"/>
        </w:numPr>
        <w:spacing w:after="60" w:line="276" w:lineRule="auto"/>
      </w:pPr>
      <w:r w:rsidRPr="00416070">
        <w:rPr>
          <w:rFonts w:cs="Tahoma"/>
          <w:color w:val="000000"/>
          <w:szCs w:val="18"/>
        </w:rPr>
        <w:lastRenderedPageBreak/>
        <w:t>Developer Tools Deployment Planning Services (DTDPS)</w:t>
      </w:r>
    </w:p>
    <w:p w:rsidR="000D4ECA" w:rsidRPr="008D38F6" w:rsidRDefault="000D4ECA" w:rsidP="002C1048">
      <w:pPr>
        <w:numPr>
          <w:ilvl w:val="1"/>
          <w:numId w:val="135"/>
        </w:numPr>
        <w:spacing w:after="60" w:line="276" w:lineRule="auto"/>
        <w:ind w:left="1980"/>
        <w:rPr>
          <w:lang w:val="pt-BR"/>
        </w:rPr>
      </w:pPr>
      <w:r w:rsidRPr="008D38F6">
        <w:rPr>
          <w:rFonts w:cs="Tahoma"/>
          <w:color w:val="000000"/>
          <w:szCs w:val="18"/>
          <w:lang w:val="pt-BR"/>
        </w:rPr>
        <w:t xml:space="preserve">Descrição: </w:t>
      </w:r>
      <w:r w:rsidRPr="008D38F6">
        <w:rPr>
          <w:rFonts w:cs="Tahoma"/>
          <w:szCs w:val="18"/>
          <w:lang w:val="pt-BR"/>
        </w:rPr>
        <w:t>O DTDPS fornece uma análise rigorosa e uma abordagem concentrada em processo a fim de desenvolver um plano de implantação do Visual Studio Team Foundation Server ou do Visual Studio Test Tools.</w:t>
      </w:r>
      <w:r w:rsidR="00FB5496" w:rsidRPr="008D38F6">
        <w:rPr>
          <w:rFonts w:cs="Tahoma"/>
          <w:szCs w:val="18"/>
          <w:lang w:val="pt-BR"/>
        </w:rPr>
        <w:t xml:space="preserve"> </w:t>
      </w:r>
      <w:r w:rsidRPr="008D38F6">
        <w:rPr>
          <w:rFonts w:cs="Tahoma"/>
          <w:szCs w:val="18"/>
          <w:lang w:val="pt-BR"/>
        </w:rPr>
        <w:t>Seguindo as práticas recomendadas da Microsoft, um parceiro certificado criará um plano de implantação exclusivo, personalizado de acordo com as necessidades da empresa</w:t>
      </w:r>
      <w:r w:rsidR="00A56037" w:rsidRPr="008D38F6">
        <w:rPr>
          <w:rFonts w:cs="Tahoma"/>
          <w:color w:val="000000"/>
          <w:szCs w:val="18"/>
          <w:lang w:val="pt-BR"/>
        </w:rPr>
        <w:t>.</w:t>
      </w:r>
    </w:p>
    <w:p w:rsidR="000D4ECA" w:rsidRPr="00416070" w:rsidRDefault="000D4ECA" w:rsidP="002C1048">
      <w:pPr>
        <w:numPr>
          <w:ilvl w:val="1"/>
          <w:numId w:val="135"/>
        </w:numPr>
        <w:spacing w:after="60" w:line="276" w:lineRule="auto"/>
        <w:ind w:left="1980"/>
      </w:pPr>
      <w:r w:rsidRPr="00416070">
        <w:rPr>
          <w:rFonts w:cs="Tahoma"/>
          <w:color w:val="000000"/>
          <w:szCs w:val="18"/>
        </w:rPr>
        <w:t>Níveis de Serviço: 3 ou 5 dias</w:t>
      </w:r>
    </w:p>
    <w:p w:rsidR="000D4ECA" w:rsidRPr="00416070" w:rsidRDefault="000D4ECA" w:rsidP="00024C3C">
      <w:pPr>
        <w:numPr>
          <w:ilvl w:val="0"/>
          <w:numId w:val="10"/>
        </w:numPr>
        <w:spacing w:after="60" w:line="276" w:lineRule="auto"/>
      </w:pPr>
      <w:r w:rsidRPr="00416070">
        <w:rPr>
          <w:rFonts w:cs="Tahoma"/>
          <w:color w:val="000000"/>
          <w:szCs w:val="18"/>
        </w:rPr>
        <w:t>Public Cloud, Azure Deployment Planning Services (AZDPS)</w:t>
      </w:r>
    </w:p>
    <w:p w:rsidR="000D4ECA" w:rsidRPr="008D38F6" w:rsidRDefault="000D4ECA" w:rsidP="002C1048">
      <w:pPr>
        <w:numPr>
          <w:ilvl w:val="1"/>
          <w:numId w:val="136"/>
        </w:numPr>
        <w:spacing w:after="60" w:line="276" w:lineRule="auto"/>
        <w:ind w:left="1980"/>
        <w:rPr>
          <w:lang w:val="pt-BR"/>
        </w:rPr>
      </w:pPr>
      <w:r w:rsidRPr="008D38F6">
        <w:rPr>
          <w:rFonts w:cs="Tahoma"/>
          <w:color w:val="000000"/>
          <w:szCs w:val="18"/>
          <w:lang w:val="pt-BR"/>
        </w:rPr>
        <w:t xml:space="preserve">Descrição: </w:t>
      </w:r>
      <w:r w:rsidRPr="008D38F6">
        <w:rPr>
          <w:rFonts w:cs="Tahoma"/>
          <w:szCs w:val="18"/>
          <w:lang w:val="pt-BR"/>
        </w:rPr>
        <w:t xml:space="preserve">O </w:t>
      </w:r>
      <w:r w:rsidRPr="008D38F6">
        <w:rPr>
          <w:rFonts w:cs="Tahoma"/>
          <w:color w:val="1D1B11"/>
          <w:szCs w:val="18"/>
          <w:lang w:val="pt-BR"/>
        </w:rPr>
        <w:t>Public</w:t>
      </w:r>
      <w:r w:rsidRPr="008D38F6">
        <w:rPr>
          <w:rFonts w:cs="Tahoma"/>
          <w:szCs w:val="18"/>
          <w:lang w:val="pt-BR"/>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rsidR="000D4ECA" w:rsidRPr="00416070" w:rsidRDefault="000D4ECA" w:rsidP="0063466C">
      <w:pPr>
        <w:numPr>
          <w:ilvl w:val="1"/>
          <w:numId w:val="136"/>
        </w:numPr>
        <w:spacing w:line="276" w:lineRule="auto"/>
        <w:ind w:left="1987"/>
      </w:pPr>
      <w:r w:rsidRPr="00416070">
        <w:rPr>
          <w:rFonts w:cs="Tahoma"/>
          <w:color w:val="000000"/>
          <w:szCs w:val="18"/>
        </w:rPr>
        <w:t>Níveis de Serviço: 3, 5 ou 10 dias</w:t>
      </w:r>
    </w:p>
    <w:p w:rsidR="000D4ECA" w:rsidRPr="00416070" w:rsidRDefault="000D4ECA" w:rsidP="0063466C">
      <w:pPr>
        <w:tabs>
          <w:tab w:val="left" w:pos="8040"/>
        </w:tabs>
      </w:pPr>
    </w:p>
    <w:p w:rsidR="000D4ECA" w:rsidRPr="008D38F6" w:rsidRDefault="000D4ECA" w:rsidP="000D4ECA">
      <w:pPr>
        <w:spacing w:after="60"/>
        <w:rPr>
          <w:lang w:val="pt-BR"/>
        </w:rPr>
      </w:pPr>
      <w:r w:rsidRPr="008D38F6">
        <w:rPr>
          <w:rFonts w:cs="Tahoma"/>
          <w:color w:val="000000"/>
          <w:szCs w:val="18"/>
          <w:lang w:val="pt-BR"/>
        </w:rPr>
        <w:t>A lista de serviços disponíveis e níveis de serviços associados pode ser alterada a qualquer momento.</w:t>
      </w:r>
      <w:r w:rsidR="00FB5496" w:rsidRPr="008D38F6">
        <w:rPr>
          <w:rFonts w:cs="Tahoma"/>
          <w:color w:val="000000"/>
          <w:szCs w:val="18"/>
          <w:lang w:val="pt-BR"/>
        </w:rPr>
        <w:t xml:space="preserve"> </w:t>
      </w:r>
      <w:r w:rsidRPr="008D38F6">
        <w:rPr>
          <w:rFonts w:cs="Tahoma"/>
          <w:color w:val="000000"/>
          <w:szCs w:val="18"/>
          <w:lang w:val="pt-BR"/>
        </w:rPr>
        <w:t>Os Provedores Qualificados fornecerão aos clientes uma descrição do Escopo do Trabalho disponível para cada uma das ofertas de serviço acima mediante solicitação.</w:t>
      </w:r>
    </w:p>
    <w:p w:rsidR="000D4ECA" w:rsidRPr="008D38F6" w:rsidRDefault="000D4ECA" w:rsidP="0063466C">
      <w:pPr>
        <w:rPr>
          <w:lang w:val="pt-BR"/>
        </w:rPr>
      </w:pPr>
    </w:p>
    <w:p w:rsidR="000D4ECA" w:rsidRPr="008D38F6" w:rsidRDefault="000D4ECA" w:rsidP="000D4ECA">
      <w:pPr>
        <w:spacing w:after="60"/>
        <w:rPr>
          <w:lang w:val="pt-BR"/>
        </w:rPr>
      </w:pPr>
      <w:r w:rsidRPr="008D38F6">
        <w:rPr>
          <w:rFonts w:cs="Tahoma"/>
          <w:color w:val="000000"/>
          <w:szCs w:val="18"/>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FB5496" w:rsidRPr="008D38F6">
        <w:rPr>
          <w:rFonts w:cs="Tahoma"/>
          <w:color w:val="000000"/>
          <w:szCs w:val="18"/>
          <w:lang w:val="pt-BR"/>
        </w:rPr>
        <w:t xml:space="preserve"> </w:t>
      </w:r>
      <w:r w:rsidRPr="008D38F6">
        <w:rPr>
          <w:rFonts w:cs="Tahoma"/>
          <w:bCs/>
          <w:color w:val="000000"/>
          <w:szCs w:val="18"/>
          <w:lang w:val="pt-BR"/>
        </w:rPr>
        <w:t>A quantidade de dias que um cliente recebe é colocada em um pool de Dias de Serviços de Planejamento a partir do qual o cliente pode criar cupons para as ofertas de serviços acima.</w:t>
      </w:r>
      <w:r w:rsidR="00FB5496" w:rsidRPr="008D38F6">
        <w:rPr>
          <w:rFonts w:cs="Tahoma"/>
          <w:bCs/>
          <w:color w:val="000000"/>
          <w:szCs w:val="18"/>
          <w:lang w:val="pt-BR"/>
        </w:rPr>
        <w:t xml:space="preserve"> </w:t>
      </w:r>
      <w:r w:rsidRPr="008D38F6">
        <w:rPr>
          <w:rFonts w:cs="Tahoma"/>
          <w:bCs/>
          <w:color w:val="000000"/>
          <w:szCs w:val="18"/>
          <w:lang w:val="pt-BR"/>
        </w:rPr>
        <w:t>Os clientes podem escolher um ou mais dos serviços acima e podem selecionar nos níveis de serviços disponíveis até o número de dias de Serviços de Planejamento que eles têm disponível.</w:t>
      </w:r>
    </w:p>
    <w:p w:rsidR="001C1727" w:rsidRPr="008D38F6" w:rsidRDefault="001C1727">
      <w:pPr>
        <w:rPr>
          <w:lang w:val="pt-BR"/>
        </w:rPr>
      </w:pPr>
    </w:p>
    <w:p w:rsidR="000D4ECA" w:rsidRPr="008D38F6" w:rsidRDefault="000D4ECA" w:rsidP="000D4ECA">
      <w:pPr>
        <w:spacing w:after="60"/>
        <w:rPr>
          <w:lang w:val="pt-BR"/>
        </w:rPr>
      </w:pPr>
      <w:r w:rsidRPr="008D38F6">
        <w:rPr>
          <w:rFonts w:cs="Tahoma"/>
          <w:bCs/>
          <w:color w:val="000000"/>
          <w:szCs w:val="18"/>
          <w:lang w:val="pt-BR"/>
        </w:rPr>
        <w:t>A tabela a seguir lista as licenças de Aplicativos e Servidores qualificados e os pontos associados a cada uma delas:</w:t>
      </w:r>
    </w:p>
    <w:p w:rsidR="0063466C" w:rsidRPr="008D38F6" w:rsidRDefault="0063466C" w:rsidP="000D4ECA">
      <w:pPr>
        <w:spacing w:after="60"/>
        <w:rPr>
          <w:lang w:val="pt-B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416070"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D38F6" w:rsidRDefault="000D4ECA" w:rsidP="000D4ECA">
            <w:pPr>
              <w:spacing w:after="60"/>
              <w:jc w:val="center"/>
              <w:rPr>
                <w:rFonts w:cs="Tahoma"/>
                <w:szCs w:val="18"/>
                <w:lang w:val="pt-BR"/>
              </w:rPr>
            </w:pPr>
            <w:r w:rsidRPr="008D38F6">
              <w:rPr>
                <w:rFonts w:cs="Tahoma"/>
                <w:b/>
                <w:bCs/>
                <w:szCs w:val="18"/>
                <w:lang w:val="pt-BR"/>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b/>
                <w:bCs/>
                <w:szCs w:val="18"/>
              </w:rPr>
              <w:t>Pontos</w:t>
            </w:r>
          </w:p>
        </w:tc>
      </w:tr>
      <w:tr w:rsidR="000D4ECA" w:rsidRPr="00416070"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D38F6" w:rsidRDefault="000D4ECA" w:rsidP="00D31281">
            <w:pPr>
              <w:spacing w:after="60"/>
              <w:jc w:val="center"/>
              <w:rPr>
                <w:rFonts w:cs="Tahoma"/>
                <w:szCs w:val="18"/>
                <w:lang w:val="pt-BR"/>
              </w:rPr>
            </w:pPr>
            <w:r w:rsidRPr="008D38F6">
              <w:rPr>
                <w:rFonts w:cs="Tahoma"/>
                <w:szCs w:val="18"/>
                <w:lang w:val="pt-BR"/>
              </w:rPr>
              <w:t>Produtos do Pool de Aplicativos do Office (incluindo pacotes do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1</w:t>
            </w:r>
          </w:p>
        </w:tc>
      </w:tr>
      <w:tr w:rsidR="000D4ECA" w:rsidRPr="0041607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D38F6" w:rsidRDefault="00F56FC9" w:rsidP="007002E0">
            <w:pPr>
              <w:spacing w:after="60"/>
              <w:jc w:val="center"/>
              <w:rPr>
                <w:rFonts w:cs="Tahoma"/>
                <w:szCs w:val="18"/>
                <w:lang w:val="pt-BR"/>
              </w:rPr>
            </w:pPr>
            <w:r w:rsidRPr="008D38F6">
              <w:rPr>
                <w:rFonts w:eastAsia="Calibri" w:cs="Tahoma"/>
                <w:szCs w:val="18"/>
                <w:lang w:val="pt-BR"/>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25</w:t>
            </w:r>
          </w:p>
        </w:tc>
      </w:tr>
      <w:tr w:rsidR="000D4ECA" w:rsidRPr="0041607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D38F6" w:rsidRDefault="00F56FC9" w:rsidP="000D4ECA">
            <w:pPr>
              <w:spacing w:after="60"/>
              <w:jc w:val="center"/>
              <w:rPr>
                <w:rFonts w:cs="Tahoma"/>
                <w:szCs w:val="18"/>
                <w:lang w:val="pt-BR"/>
              </w:rPr>
            </w:pPr>
            <w:r w:rsidRPr="008D38F6">
              <w:rPr>
                <w:rFonts w:eastAsia="Calibri" w:cs="Tahoma"/>
                <w:szCs w:val="18"/>
                <w:lang w:val="pt-BR"/>
              </w:rPr>
              <w:t xml:space="preserve">Edições do SQL Server Enterprise, </w:t>
            </w:r>
            <w:r w:rsidRPr="008D38F6">
              <w:rPr>
                <w:rFonts w:cs="Tahoma"/>
                <w:szCs w:val="18"/>
                <w:lang w:val="pt-BR"/>
              </w:rPr>
              <w:t xml:space="preserve">SQL Server Business Intelligence, </w:t>
            </w:r>
            <w:r w:rsidRPr="008D38F6">
              <w:rPr>
                <w:rFonts w:eastAsia="Calibri" w:cs="Tahoma"/>
                <w:szCs w:val="18"/>
                <w:lang w:val="pt-BR"/>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50</w:t>
            </w:r>
          </w:p>
        </w:tc>
      </w:tr>
      <w:tr w:rsidR="000D4ECA" w:rsidRPr="0041607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8D38F6" w:rsidRDefault="00F56FC9" w:rsidP="000D4ECA">
            <w:pPr>
              <w:spacing w:after="60"/>
              <w:jc w:val="center"/>
              <w:rPr>
                <w:rFonts w:cs="Tahoma"/>
                <w:szCs w:val="18"/>
                <w:lang w:val="pt-BR"/>
              </w:rPr>
            </w:pPr>
            <w:r w:rsidRPr="008D38F6">
              <w:rPr>
                <w:rFonts w:eastAsia="Calibri" w:cs="Tahoma"/>
                <w:szCs w:val="18"/>
                <w:lang w:val="pt-BR"/>
              </w:rPr>
              <w:t>Edições do SQL Server Data Center,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75</w:t>
            </w:r>
          </w:p>
        </w:tc>
      </w:tr>
    </w:tbl>
    <w:p w:rsidR="000D4ECA" w:rsidRPr="008D38F6" w:rsidRDefault="000D4ECA" w:rsidP="0063466C">
      <w:pPr>
        <w:ind w:firstLine="720"/>
        <w:rPr>
          <w:lang w:val="pt-BR"/>
        </w:rPr>
      </w:pPr>
      <w:r w:rsidRPr="008D38F6">
        <w:rPr>
          <w:rFonts w:cs="Tahoma"/>
          <w:b/>
          <w:i/>
          <w:sz w:val="16"/>
          <w:szCs w:val="18"/>
          <w:lang w:val="pt-BR"/>
        </w:rPr>
        <w:t>Observação:</w:t>
      </w:r>
      <w:r w:rsidRPr="008D38F6">
        <w:rPr>
          <w:rFonts w:cs="Tahoma"/>
          <w:i/>
          <w:sz w:val="16"/>
          <w:szCs w:val="18"/>
          <w:lang w:val="pt-BR"/>
        </w:rPr>
        <w:t xml:space="preserve"> Para CALs, consulte a tabela Pacotes de CALs nesta seção</w:t>
      </w:r>
    </w:p>
    <w:p w:rsidR="00F56FC9" w:rsidRPr="008D38F6" w:rsidRDefault="00F56FC9" w:rsidP="0063466C">
      <w:pPr>
        <w:rPr>
          <w:lang w:val="pt-BR"/>
        </w:rPr>
      </w:pPr>
    </w:p>
    <w:p w:rsidR="000D4ECA" w:rsidRPr="008D38F6" w:rsidRDefault="000D4ECA" w:rsidP="0063466C">
      <w:pPr>
        <w:rPr>
          <w:lang w:val="pt-BR"/>
        </w:rPr>
      </w:pPr>
      <w:r w:rsidRPr="008D38F6">
        <w:rPr>
          <w:rFonts w:cs="Tahoma"/>
          <w:szCs w:val="18"/>
          <w:lang w:val="pt-BR"/>
        </w:rPr>
        <w:t>Quando esses produtos qualificados são comprados por meio do Enrollment for Application Platform (EAP) ou</w:t>
      </w:r>
      <w:r w:rsidR="002D000C" w:rsidRPr="008D38F6">
        <w:rPr>
          <w:rFonts w:cs="Tahoma"/>
          <w:szCs w:val="18"/>
          <w:lang w:val="pt-BR"/>
        </w:rPr>
        <w:t> </w:t>
      </w:r>
      <w:r w:rsidRPr="008D38F6">
        <w:rPr>
          <w:rFonts w:cs="Tahoma"/>
          <w:szCs w:val="18"/>
          <w:lang w:val="pt-BR"/>
        </w:rPr>
        <w:t>Enrollment for Core Infrastructure (ECI), cada ponto concedido, coberto pelo EAP e pelo ECI, é multiplicado por</w:t>
      </w:r>
      <w:r w:rsidR="002D000C" w:rsidRPr="008D38F6">
        <w:rPr>
          <w:rFonts w:cs="Tahoma"/>
          <w:szCs w:val="18"/>
          <w:lang w:val="pt-BR"/>
        </w:rPr>
        <w:t> </w:t>
      </w:r>
      <w:r w:rsidRPr="008D38F6">
        <w:rPr>
          <w:rFonts w:cs="Tahoma"/>
          <w:szCs w:val="18"/>
          <w:lang w:val="pt-BR"/>
        </w:rPr>
        <w:t>2</w:t>
      </w:r>
      <w:r w:rsidR="002D000C" w:rsidRPr="008D38F6">
        <w:rPr>
          <w:rFonts w:cs="Tahoma"/>
          <w:szCs w:val="18"/>
          <w:lang w:val="pt-BR"/>
        </w:rPr>
        <w:t> </w:t>
      </w:r>
      <w:r w:rsidRPr="008D38F6">
        <w:rPr>
          <w:rFonts w:cs="Tahoma"/>
          <w:szCs w:val="18"/>
          <w:lang w:val="pt-BR"/>
        </w:rPr>
        <w:t xml:space="preserve">(dois). </w:t>
      </w:r>
    </w:p>
    <w:p w:rsidR="000D4ECA" w:rsidRPr="008D38F6" w:rsidRDefault="000D4ECA" w:rsidP="0063466C">
      <w:pPr>
        <w:rPr>
          <w:lang w:val="pt-BR"/>
        </w:rPr>
      </w:pPr>
    </w:p>
    <w:p w:rsidR="002D000C" w:rsidRPr="008D38F6" w:rsidRDefault="002D000C" w:rsidP="0063466C">
      <w:pPr>
        <w:rPr>
          <w:lang w:val="pt-BR"/>
        </w:rPr>
      </w:pPr>
    </w:p>
    <w:p w:rsidR="002D000C" w:rsidRPr="008D38F6" w:rsidRDefault="002D000C" w:rsidP="0063466C">
      <w:pPr>
        <w:rPr>
          <w:lang w:val="pt-BR"/>
        </w:rPr>
      </w:pPr>
    </w:p>
    <w:p w:rsidR="002D000C" w:rsidRPr="008D38F6" w:rsidRDefault="002D000C" w:rsidP="0063466C">
      <w:pPr>
        <w:rPr>
          <w:lang w:val="pt-BR"/>
        </w:rPr>
      </w:pPr>
    </w:p>
    <w:p w:rsidR="002D000C" w:rsidRPr="008D38F6" w:rsidRDefault="002D000C" w:rsidP="0063466C">
      <w:pPr>
        <w:rPr>
          <w:lang w:val="pt-BR"/>
        </w:rPr>
      </w:pPr>
    </w:p>
    <w:p w:rsidR="002D000C" w:rsidRPr="008D38F6" w:rsidRDefault="002D000C" w:rsidP="0063466C">
      <w:pPr>
        <w:rPr>
          <w:lang w:val="pt-BR"/>
        </w:rPr>
      </w:pPr>
    </w:p>
    <w:p w:rsidR="000D4ECA" w:rsidRPr="008D38F6" w:rsidRDefault="000D4ECA" w:rsidP="0063466C">
      <w:pPr>
        <w:rPr>
          <w:lang w:val="pt-BR"/>
        </w:rPr>
      </w:pPr>
      <w:r w:rsidRPr="008D38F6">
        <w:rPr>
          <w:rFonts w:cs="Tahoma"/>
          <w:szCs w:val="18"/>
          <w:lang w:val="pt-BR"/>
        </w:rPr>
        <w:lastRenderedPageBreak/>
        <w:t>O total de pontos para o qual o cliente é qualificado define as qualificações de Dias de Serviços de Planejamento, conforme mostrado abaixo:</w:t>
      </w:r>
    </w:p>
    <w:p w:rsidR="000D4ECA" w:rsidRPr="008D38F6"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06414"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D38F6" w:rsidRDefault="000D4ECA" w:rsidP="000D4ECA">
            <w:pPr>
              <w:spacing w:after="60"/>
              <w:jc w:val="center"/>
              <w:rPr>
                <w:rFonts w:cs="Tahoma"/>
                <w:szCs w:val="18"/>
                <w:lang w:val="pt-BR"/>
              </w:rPr>
            </w:pPr>
            <w:r w:rsidRPr="008D38F6">
              <w:rPr>
                <w:rFonts w:cs="Tahoma"/>
                <w:b/>
                <w:bCs/>
                <w:szCs w:val="18"/>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D38F6" w:rsidRDefault="000D4ECA" w:rsidP="002D000C">
            <w:pPr>
              <w:spacing w:after="60"/>
              <w:jc w:val="center"/>
              <w:rPr>
                <w:rFonts w:cs="Tahoma"/>
                <w:szCs w:val="18"/>
                <w:lang w:val="pt-BR"/>
              </w:rPr>
            </w:pPr>
            <w:r w:rsidRPr="008D38F6">
              <w:rPr>
                <w:rFonts w:cs="Tahoma"/>
                <w:b/>
                <w:bCs/>
                <w:szCs w:val="18"/>
                <w:lang w:val="pt-BR"/>
              </w:rPr>
              <w:t>Dias de Serviços de</w:t>
            </w:r>
            <w:r w:rsidR="002D000C" w:rsidRPr="008D38F6">
              <w:rPr>
                <w:rFonts w:cs="Tahoma"/>
                <w:b/>
                <w:bCs/>
                <w:szCs w:val="18"/>
                <w:lang w:val="pt-BR"/>
              </w:rPr>
              <w:t> </w:t>
            </w:r>
            <w:r w:rsidRPr="008D38F6">
              <w:rPr>
                <w:rFonts w:cs="Tahoma"/>
                <w:b/>
                <w:bCs/>
                <w:szCs w:val="18"/>
                <w:lang w:val="pt-BR"/>
              </w:rPr>
              <w:t>Planejamento</w:t>
            </w:r>
          </w:p>
        </w:tc>
      </w:tr>
      <w:tr w:rsidR="000D4ECA" w:rsidRPr="00416070"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200</w:t>
            </w:r>
            <w:r w:rsidR="00FE2B0B" w:rsidRPr="00416070">
              <w:rPr>
                <w:rFonts w:cs="Tahoma"/>
                <w:szCs w:val="18"/>
              </w:rPr>
              <w:t xml:space="preserve"> – </w:t>
            </w:r>
            <w:r w:rsidRPr="00416070">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1</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500</w:t>
            </w:r>
            <w:r w:rsidR="00FE2B0B" w:rsidRPr="00416070">
              <w:rPr>
                <w:rFonts w:cs="Tahoma"/>
                <w:szCs w:val="18"/>
              </w:rPr>
              <w:t xml:space="preserve"> – </w:t>
            </w:r>
            <w:r w:rsidRPr="00416070">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3</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2</w:t>
            </w:r>
            <w:r w:rsidR="00073D33" w:rsidRPr="00416070">
              <w:rPr>
                <w:rFonts w:cs="Tahoma"/>
                <w:szCs w:val="18"/>
              </w:rPr>
              <w:t>.</w:t>
            </w:r>
            <w:r w:rsidRPr="00416070">
              <w:rPr>
                <w:rFonts w:cs="Tahoma"/>
                <w:szCs w:val="18"/>
              </w:rPr>
              <w:t>000</w:t>
            </w:r>
            <w:r w:rsidR="00FE2B0B" w:rsidRPr="00416070">
              <w:rPr>
                <w:rFonts w:cs="Tahoma"/>
                <w:szCs w:val="18"/>
              </w:rPr>
              <w:t xml:space="preserve"> – </w:t>
            </w:r>
            <w:r w:rsidRPr="00416070">
              <w:rPr>
                <w:rFonts w:cs="Tahoma"/>
                <w:szCs w:val="18"/>
              </w:rPr>
              <w:t>3</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5</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4</w:t>
            </w:r>
            <w:r w:rsidR="00073D33" w:rsidRPr="00416070">
              <w:rPr>
                <w:rFonts w:cs="Tahoma"/>
                <w:szCs w:val="18"/>
              </w:rPr>
              <w:t>.</w:t>
            </w:r>
            <w:r w:rsidRPr="00416070">
              <w:rPr>
                <w:rFonts w:cs="Tahoma"/>
                <w:szCs w:val="18"/>
              </w:rPr>
              <w:t>000 – 29</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10</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30</w:t>
            </w:r>
            <w:r w:rsidR="00073D33" w:rsidRPr="00416070">
              <w:rPr>
                <w:rFonts w:cs="Tahoma"/>
                <w:szCs w:val="18"/>
              </w:rPr>
              <w:t>.</w:t>
            </w:r>
            <w:r w:rsidRPr="00416070">
              <w:rPr>
                <w:rFonts w:cs="Tahoma"/>
                <w:szCs w:val="18"/>
              </w:rPr>
              <w:t>000 – 49</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15</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50</w:t>
            </w:r>
            <w:r w:rsidR="00073D33" w:rsidRPr="00416070">
              <w:rPr>
                <w:rFonts w:cs="Tahoma"/>
                <w:szCs w:val="18"/>
              </w:rPr>
              <w:t>.</w:t>
            </w:r>
            <w:r w:rsidRPr="00416070">
              <w:rPr>
                <w:rFonts w:cs="Tahoma"/>
                <w:szCs w:val="18"/>
              </w:rPr>
              <w:t>000 – 99</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20</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100</w:t>
            </w:r>
            <w:r w:rsidR="00073D33" w:rsidRPr="00416070">
              <w:rPr>
                <w:rFonts w:cs="Tahoma"/>
                <w:szCs w:val="18"/>
              </w:rPr>
              <w:t>.</w:t>
            </w:r>
            <w:r w:rsidRPr="00416070">
              <w:rPr>
                <w:rFonts w:cs="Tahoma"/>
                <w:szCs w:val="18"/>
              </w:rPr>
              <w:t>000 – 199</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30</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200</w:t>
            </w:r>
            <w:r w:rsidR="00073D33" w:rsidRPr="00416070">
              <w:rPr>
                <w:rFonts w:cs="Tahoma"/>
                <w:szCs w:val="18"/>
              </w:rPr>
              <w:t>.</w:t>
            </w:r>
            <w:r w:rsidRPr="00416070">
              <w:rPr>
                <w:rFonts w:cs="Tahoma"/>
                <w:szCs w:val="18"/>
              </w:rPr>
              <w:t>000 – 399</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40</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400</w:t>
            </w:r>
            <w:r w:rsidR="00073D33" w:rsidRPr="00416070">
              <w:rPr>
                <w:rFonts w:cs="Tahoma"/>
                <w:szCs w:val="18"/>
              </w:rPr>
              <w:t>.</w:t>
            </w:r>
            <w:r w:rsidRPr="00416070">
              <w:rPr>
                <w:rFonts w:cs="Tahoma"/>
                <w:szCs w:val="18"/>
              </w:rPr>
              <w:t>000 – 599</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50</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600</w:t>
            </w:r>
            <w:r w:rsidR="00073D33" w:rsidRPr="00416070">
              <w:rPr>
                <w:rFonts w:cs="Tahoma"/>
                <w:szCs w:val="18"/>
              </w:rPr>
              <w:t>.</w:t>
            </w:r>
            <w:r w:rsidRPr="0041607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75</w:t>
            </w:r>
          </w:p>
        </w:tc>
      </w:tr>
    </w:tbl>
    <w:p w:rsidR="000D4ECA" w:rsidRPr="00416070" w:rsidRDefault="000D4ECA" w:rsidP="0063466C"/>
    <w:p w:rsidR="000D4ECA" w:rsidRPr="008D38F6" w:rsidRDefault="000D4ECA" w:rsidP="0063466C">
      <w:pPr>
        <w:rPr>
          <w:lang w:val="pt-BR"/>
        </w:rPr>
      </w:pPr>
      <w:r w:rsidRPr="008D38F6">
        <w:rPr>
          <w:rFonts w:cs="Tahoma"/>
          <w:szCs w:val="18"/>
          <w:lang w:val="pt-BR"/>
        </w:rPr>
        <w:t xml:space="preserve">A cobertura do Pacote de CALs Principais e de SA de Pacote de CALs do SQL conta como </w:t>
      </w:r>
      <w:r w:rsidRPr="008D38F6">
        <w:rPr>
          <w:rFonts w:cs="Tahoma"/>
          <w:szCs w:val="18"/>
          <w:u w:val="single"/>
          <w:lang w:val="pt-BR"/>
        </w:rPr>
        <w:t>1 (um) ponto</w:t>
      </w:r>
      <w:r w:rsidRPr="008D38F6">
        <w:rPr>
          <w:rFonts w:cs="Tahoma"/>
          <w:szCs w:val="18"/>
          <w:lang w:val="pt-BR"/>
        </w:rPr>
        <w:t xml:space="preserve"> em relação aos valores limite na primeira coluna a seguir, e a cobertura de SA de Pacote de CALs Empresariais conta como </w:t>
      </w:r>
      <w:r w:rsidRPr="008D38F6">
        <w:rPr>
          <w:rFonts w:cs="Tahoma"/>
          <w:szCs w:val="18"/>
          <w:u w:val="single"/>
          <w:lang w:val="pt-BR"/>
        </w:rPr>
        <w:t>2</w:t>
      </w:r>
      <w:r w:rsidR="002D000C" w:rsidRPr="008D38F6">
        <w:rPr>
          <w:rFonts w:cs="Tahoma"/>
          <w:szCs w:val="18"/>
          <w:u w:val="single"/>
          <w:lang w:val="pt-BR"/>
        </w:rPr>
        <w:t> </w:t>
      </w:r>
      <w:r w:rsidRPr="008D38F6">
        <w:rPr>
          <w:rFonts w:cs="Tahoma"/>
          <w:szCs w:val="18"/>
          <w:u w:val="single"/>
          <w:lang w:val="pt-BR"/>
        </w:rPr>
        <w:t>(dois) pontos</w:t>
      </w:r>
      <w:r w:rsidRPr="008D38F6">
        <w:rPr>
          <w:rFonts w:cs="Tahoma"/>
          <w:szCs w:val="18"/>
          <w:lang w:val="pt-BR"/>
        </w:rPr>
        <w:t xml:space="preserve"> em relação aos valores limite na primeira coluna a seguir:</w:t>
      </w:r>
    </w:p>
    <w:p w:rsidR="000D4ECA" w:rsidRPr="008D38F6"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06414"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8D38F6" w:rsidRDefault="000D4ECA" w:rsidP="002D000C">
            <w:pPr>
              <w:spacing w:after="60"/>
              <w:rPr>
                <w:rFonts w:cs="Tahoma"/>
                <w:szCs w:val="18"/>
                <w:lang w:val="pt-BR"/>
              </w:rPr>
            </w:pPr>
            <w:r w:rsidRPr="008D38F6">
              <w:rPr>
                <w:rFonts w:cs="Tahoma"/>
                <w:b/>
                <w:bCs/>
                <w:szCs w:val="18"/>
                <w:lang w:val="pt-BR"/>
              </w:rPr>
              <w:t>Dias de Serviços de</w:t>
            </w:r>
            <w:r w:rsidR="002D000C" w:rsidRPr="008D38F6">
              <w:rPr>
                <w:rFonts w:cs="Tahoma"/>
                <w:b/>
                <w:bCs/>
                <w:szCs w:val="18"/>
                <w:lang w:val="pt-BR"/>
              </w:rPr>
              <w:t> </w:t>
            </w:r>
            <w:r w:rsidRPr="008D38F6">
              <w:rPr>
                <w:rFonts w:cs="Tahoma"/>
                <w:b/>
                <w:bCs/>
                <w:szCs w:val="18"/>
                <w:lang w:val="pt-BR"/>
              </w:rPr>
              <w:t xml:space="preserve">Planejamento </w:t>
            </w:r>
          </w:p>
        </w:tc>
      </w:tr>
      <w:tr w:rsidR="000D4ECA" w:rsidRPr="00416070"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200</w:t>
            </w:r>
            <w:r w:rsidR="00FE2B0B" w:rsidRPr="00416070">
              <w:rPr>
                <w:rFonts w:cs="Tahoma"/>
                <w:szCs w:val="18"/>
              </w:rPr>
              <w:t xml:space="preserve"> – </w:t>
            </w:r>
            <w:r w:rsidRPr="00416070">
              <w:rPr>
                <w:rFonts w:cs="Tahoma"/>
                <w:szCs w:val="18"/>
              </w:rPr>
              <w:t>3</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1</w:t>
            </w:r>
          </w:p>
        </w:tc>
      </w:tr>
      <w:tr w:rsidR="000D4ECA" w:rsidRPr="00416070"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4</w:t>
            </w:r>
            <w:r w:rsidR="00073D33" w:rsidRPr="00416070">
              <w:rPr>
                <w:rFonts w:cs="Tahoma"/>
                <w:szCs w:val="18"/>
              </w:rPr>
              <w:t>.</w:t>
            </w:r>
            <w:r w:rsidRPr="00416070">
              <w:rPr>
                <w:rFonts w:cs="Tahoma"/>
                <w:szCs w:val="18"/>
              </w:rPr>
              <w:t>000 – 9</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3</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10</w:t>
            </w:r>
            <w:r w:rsidR="00073D33" w:rsidRPr="00416070">
              <w:rPr>
                <w:rFonts w:cs="Tahoma"/>
                <w:szCs w:val="18"/>
              </w:rPr>
              <w:t>.</w:t>
            </w:r>
            <w:r w:rsidRPr="00416070">
              <w:rPr>
                <w:rFonts w:cs="Tahoma"/>
                <w:szCs w:val="18"/>
              </w:rPr>
              <w:t>000 – 99</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5</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100</w:t>
            </w:r>
            <w:r w:rsidR="00073D33" w:rsidRPr="00416070">
              <w:rPr>
                <w:rFonts w:cs="Tahoma"/>
                <w:szCs w:val="18"/>
              </w:rPr>
              <w:t>.</w:t>
            </w:r>
            <w:r w:rsidRPr="00416070">
              <w:rPr>
                <w:rFonts w:cs="Tahoma"/>
                <w:szCs w:val="18"/>
              </w:rPr>
              <w:t>000 – 299</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7</w:t>
            </w:r>
          </w:p>
        </w:tc>
      </w:tr>
      <w:tr w:rsidR="000D4ECA" w:rsidRPr="00416070"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300</w:t>
            </w:r>
            <w:r w:rsidR="00073D33" w:rsidRPr="00416070">
              <w:rPr>
                <w:rFonts w:cs="Tahoma"/>
                <w:szCs w:val="18"/>
              </w:rPr>
              <w:t>.</w:t>
            </w:r>
            <w:r w:rsidRPr="00416070">
              <w:rPr>
                <w:rFonts w:cs="Tahoma"/>
                <w:szCs w:val="18"/>
              </w:rPr>
              <w:t>000 – 599</w:t>
            </w:r>
            <w:r w:rsidR="00073D33" w:rsidRPr="00416070">
              <w:rPr>
                <w:rFonts w:cs="Tahoma"/>
                <w:szCs w:val="18"/>
              </w:rPr>
              <w:t>.</w:t>
            </w:r>
            <w:r w:rsidRPr="0041607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10</w:t>
            </w:r>
          </w:p>
        </w:tc>
      </w:tr>
      <w:tr w:rsidR="000D4ECA" w:rsidRPr="0041607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73D33">
            <w:pPr>
              <w:spacing w:after="60"/>
              <w:jc w:val="center"/>
              <w:rPr>
                <w:rFonts w:cs="Tahoma"/>
                <w:szCs w:val="18"/>
              </w:rPr>
            </w:pPr>
            <w:r w:rsidRPr="00416070">
              <w:rPr>
                <w:rFonts w:cs="Tahoma"/>
                <w:szCs w:val="18"/>
              </w:rPr>
              <w:t>600</w:t>
            </w:r>
            <w:r w:rsidR="00073D33" w:rsidRPr="00416070">
              <w:rPr>
                <w:rFonts w:cs="Tahoma"/>
                <w:szCs w:val="18"/>
              </w:rPr>
              <w:t>.</w:t>
            </w:r>
            <w:r w:rsidRPr="0041607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070" w:rsidRDefault="000D4ECA" w:rsidP="000D4ECA">
            <w:pPr>
              <w:spacing w:after="60"/>
              <w:jc w:val="center"/>
              <w:rPr>
                <w:rFonts w:cs="Tahoma"/>
                <w:szCs w:val="18"/>
              </w:rPr>
            </w:pPr>
            <w:r w:rsidRPr="00416070">
              <w:rPr>
                <w:rFonts w:cs="Tahoma"/>
                <w:szCs w:val="18"/>
              </w:rPr>
              <w:t>12</w:t>
            </w:r>
          </w:p>
        </w:tc>
      </w:tr>
    </w:tbl>
    <w:p w:rsidR="001C1727" w:rsidRPr="00416070" w:rsidRDefault="001C1727"/>
    <w:p w:rsidR="000D4ECA" w:rsidRPr="00416070" w:rsidRDefault="000D4ECA" w:rsidP="000D4ECA">
      <w:pPr>
        <w:spacing w:after="60"/>
      </w:pPr>
      <w:r w:rsidRPr="00416070">
        <w:rPr>
          <w:rFonts w:cs="Tahoma"/>
          <w:szCs w:val="20"/>
        </w:rPr>
        <w:t>Exemplos</w:t>
      </w:r>
    </w:p>
    <w:p w:rsidR="000D4ECA" w:rsidRPr="00416070" w:rsidRDefault="000D4ECA" w:rsidP="000D4ECA">
      <w:pPr>
        <w:spacing w:after="60"/>
      </w:pPr>
      <w:r w:rsidRPr="00416070">
        <w:rPr>
          <w:rFonts w:cs="Tahoma"/>
          <w:szCs w:val="20"/>
        </w:rPr>
        <w:t>Contrato Open Value com:</w:t>
      </w:r>
    </w:p>
    <w:p w:rsidR="000D4ECA" w:rsidRPr="008D38F6" w:rsidRDefault="000D4ECA" w:rsidP="000D4ECA">
      <w:pPr>
        <w:spacing w:after="60"/>
        <w:rPr>
          <w:lang w:val="fr-FR"/>
        </w:rPr>
      </w:pPr>
      <w:r w:rsidRPr="008D38F6">
        <w:rPr>
          <w:rFonts w:cs="Tahoma"/>
          <w:szCs w:val="20"/>
          <w:lang w:val="fr-FR"/>
        </w:rPr>
        <w:t>150 L&amp;SA do Office Professional Plus</w:t>
      </w:r>
    </w:p>
    <w:p w:rsidR="000D4ECA" w:rsidRPr="008D38F6" w:rsidRDefault="000D4ECA" w:rsidP="000D4ECA">
      <w:pPr>
        <w:spacing w:after="60"/>
        <w:rPr>
          <w:lang w:val="pt-BR"/>
        </w:rPr>
      </w:pPr>
      <w:r w:rsidRPr="008D38F6">
        <w:rPr>
          <w:rFonts w:cs="Tahoma"/>
          <w:szCs w:val="20"/>
          <w:u w:val="single"/>
          <w:lang w:val="pt-BR"/>
        </w:rPr>
        <w:t>+ 50 SA do Visio Standard</w:t>
      </w:r>
      <w:r w:rsidRPr="008D38F6">
        <w:rPr>
          <w:rFonts w:cs="Tahoma"/>
          <w:szCs w:val="20"/>
          <w:u w:val="single"/>
          <w:lang w:val="pt-BR"/>
        </w:rPr>
        <w:tab/>
      </w:r>
      <w:r w:rsidRPr="008D38F6">
        <w:rPr>
          <w:rFonts w:cs="Tahoma"/>
          <w:szCs w:val="20"/>
          <w:u w:val="single"/>
          <w:lang w:val="pt-BR"/>
        </w:rPr>
        <w:tab/>
      </w:r>
      <w:r w:rsidRPr="008D38F6">
        <w:rPr>
          <w:rFonts w:cs="Tahoma"/>
          <w:szCs w:val="20"/>
          <w:u w:val="single"/>
          <w:lang w:val="pt-BR"/>
        </w:rPr>
        <w:tab/>
      </w:r>
    </w:p>
    <w:p w:rsidR="000D4ECA" w:rsidRPr="008D38F6" w:rsidRDefault="000D4ECA" w:rsidP="000D4ECA">
      <w:pPr>
        <w:spacing w:after="60"/>
        <w:rPr>
          <w:lang w:val="pt-BR"/>
        </w:rPr>
      </w:pPr>
      <w:r w:rsidRPr="008D38F6">
        <w:rPr>
          <w:rFonts w:cs="Tahoma"/>
          <w:szCs w:val="20"/>
          <w:lang w:val="pt-BR"/>
        </w:rPr>
        <w:t>200 Pontos Cobertos de Licenças de Aplicativos e/ou Servidores Office = 1 dia</w:t>
      </w:r>
    </w:p>
    <w:p w:rsidR="000D4ECA" w:rsidRPr="008D38F6" w:rsidRDefault="000D4ECA" w:rsidP="00077CE5">
      <w:pPr>
        <w:rPr>
          <w:lang w:val="pt-BR"/>
        </w:rPr>
      </w:pPr>
    </w:p>
    <w:p w:rsidR="000D4ECA" w:rsidRPr="008D38F6" w:rsidRDefault="000D4ECA" w:rsidP="000D4ECA">
      <w:pPr>
        <w:spacing w:after="60"/>
        <w:rPr>
          <w:lang w:val="pt-BR"/>
        </w:rPr>
      </w:pPr>
      <w:r w:rsidRPr="008D38F6">
        <w:rPr>
          <w:rFonts w:cs="Tahoma"/>
          <w:szCs w:val="20"/>
          <w:lang w:val="pt-BR"/>
        </w:rPr>
        <w:t>Registro Select ou Select Plus do SAM com:</w:t>
      </w:r>
    </w:p>
    <w:p w:rsidR="000D4ECA" w:rsidRPr="008D38F6" w:rsidRDefault="000D4ECA" w:rsidP="000D4ECA">
      <w:pPr>
        <w:spacing w:after="60"/>
        <w:rPr>
          <w:lang w:val="pt-BR"/>
        </w:rPr>
      </w:pPr>
      <w:r w:rsidRPr="008D38F6">
        <w:rPr>
          <w:rFonts w:cs="Tahoma"/>
          <w:szCs w:val="20"/>
          <w:lang w:val="pt-BR"/>
        </w:rPr>
        <w:t>3.500 SA de Pacote CAL Empresarial</w:t>
      </w:r>
    </w:p>
    <w:p w:rsidR="000D4ECA" w:rsidRPr="008D38F6" w:rsidRDefault="000D4ECA" w:rsidP="000D4ECA">
      <w:pPr>
        <w:spacing w:after="60"/>
        <w:rPr>
          <w:lang w:val="pt-BR"/>
        </w:rPr>
      </w:pPr>
      <w:r w:rsidRPr="008D38F6">
        <w:rPr>
          <w:rFonts w:cs="Tahoma"/>
          <w:szCs w:val="20"/>
          <w:u w:val="single"/>
          <w:lang w:val="pt-BR"/>
        </w:rPr>
        <w:t>x 2 pontos cada</w:t>
      </w:r>
      <w:r w:rsidRPr="008D38F6">
        <w:rPr>
          <w:rFonts w:cs="Tahoma"/>
          <w:szCs w:val="20"/>
          <w:u w:val="single"/>
          <w:lang w:val="pt-BR"/>
        </w:rPr>
        <w:tab/>
      </w:r>
      <w:r w:rsidRPr="008D38F6">
        <w:rPr>
          <w:rFonts w:cs="Tahoma"/>
          <w:szCs w:val="20"/>
          <w:u w:val="single"/>
          <w:lang w:val="pt-BR"/>
        </w:rPr>
        <w:tab/>
      </w:r>
      <w:r w:rsidRPr="008D38F6">
        <w:rPr>
          <w:rFonts w:cs="Tahoma"/>
          <w:szCs w:val="20"/>
          <w:u w:val="single"/>
          <w:lang w:val="pt-BR"/>
        </w:rPr>
        <w:tab/>
      </w:r>
      <w:r w:rsidRPr="008D38F6">
        <w:rPr>
          <w:rFonts w:cs="Tahoma"/>
          <w:szCs w:val="20"/>
          <w:u w:val="single"/>
          <w:lang w:val="pt-BR"/>
        </w:rPr>
        <w:tab/>
      </w:r>
      <w:r w:rsidRPr="008D38F6">
        <w:rPr>
          <w:rFonts w:cs="Tahoma"/>
          <w:szCs w:val="20"/>
          <w:lang w:val="pt-BR"/>
        </w:rPr>
        <w:t xml:space="preserve"> </w:t>
      </w:r>
    </w:p>
    <w:p w:rsidR="000D4ECA" w:rsidRPr="008D38F6" w:rsidRDefault="000D4ECA" w:rsidP="000D4ECA">
      <w:pPr>
        <w:spacing w:after="60"/>
        <w:rPr>
          <w:lang w:val="pt-BR"/>
        </w:rPr>
      </w:pPr>
      <w:r w:rsidRPr="008D38F6">
        <w:rPr>
          <w:rFonts w:cs="Tahoma"/>
          <w:szCs w:val="20"/>
          <w:lang w:val="pt-BR"/>
        </w:rPr>
        <w:t xml:space="preserve">7.000 pontos de CAL = 3 dias </w:t>
      </w:r>
    </w:p>
    <w:p w:rsidR="000D4ECA" w:rsidRPr="008D38F6" w:rsidRDefault="000D4ECA" w:rsidP="00077CE5">
      <w:pPr>
        <w:rPr>
          <w:lang w:val="pt-BR"/>
        </w:rPr>
      </w:pPr>
    </w:p>
    <w:p w:rsidR="000D4ECA" w:rsidRPr="00416070" w:rsidRDefault="000D4ECA" w:rsidP="000D4ECA">
      <w:pPr>
        <w:spacing w:after="60"/>
      </w:pPr>
      <w:r w:rsidRPr="00416070">
        <w:rPr>
          <w:rFonts w:cs="Tahoma"/>
          <w:szCs w:val="20"/>
        </w:rPr>
        <w:t>Registro EA com:</w:t>
      </w:r>
    </w:p>
    <w:p w:rsidR="000D4ECA" w:rsidRPr="00416070" w:rsidRDefault="000D4ECA" w:rsidP="000D4ECA">
      <w:pPr>
        <w:spacing w:after="60"/>
      </w:pPr>
      <w:r w:rsidRPr="00416070">
        <w:rPr>
          <w:rFonts w:cs="Tahoma"/>
          <w:szCs w:val="20"/>
        </w:rPr>
        <w:t>3.500 Desktops Empresariais</w:t>
      </w:r>
    </w:p>
    <w:p w:rsidR="000D4ECA" w:rsidRPr="00416070" w:rsidRDefault="000D4ECA" w:rsidP="002C1048">
      <w:pPr>
        <w:numPr>
          <w:ilvl w:val="0"/>
          <w:numId w:val="88"/>
        </w:numPr>
        <w:tabs>
          <w:tab w:val="left" w:pos="720"/>
        </w:tabs>
        <w:spacing w:after="60" w:line="276" w:lineRule="auto"/>
      </w:pPr>
      <w:r w:rsidRPr="00416070">
        <w:rPr>
          <w:rFonts w:cs="Tahoma"/>
          <w:szCs w:val="20"/>
        </w:rPr>
        <w:t xml:space="preserve">3.500 Office Professional </w:t>
      </w:r>
      <w:r w:rsidRPr="00416070">
        <w:rPr>
          <w:rFonts w:cs="Tahoma"/>
          <w:color w:val="000000"/>
          <w:szCs w:val="20"/>
        </w:rPr>
        <w:t>Plus</w:t>
      </w:r>
    </w:p>
    <w:p w:rsidR="000D4ECA" w:rsidRPr="00416070" w:rsidRDefault="000D4ECA" w:rsidP="002C1048">
      <w:pPr>
        <w:numPr>
          <w:ilvl w:val="0"/>
          <w:numId w:val="88"/>
        </w:numPr>
        <w:spacing w:after="60" w:line="276" w:lineRule="auto"/>
      </w:pPr>
      <w:r w:rsidRPr="00416070">
        <w:rPr>
          <w:rFonts w:cs="Tahoma"/>
          <w:color w:val="000000"/>
          <w:szCs w:val="20"/>
        </w:rPr>
        <w:t>3.500 Pacotes CAL Empresarial</w:t>
      </w:r>
    </w:p>
    <w:p w:rsidR="000D4ECA" w:rsidRPr="008D38F6" w:rsidRDefault="000D4ECA" w:rsidP="000D4ECA">
      <w:pPr>
        <w:spacing w:after="60"/>
        <w:rPr>
          <w:lang w:val="pt-BR"/>
        </w:rPr>
      </w:pPr>
      <w:r w:rsidRPr="008D38F6">
        <w:rPr>
          <w:rFonts w:cs="Tahoma"/>
          <w:szCs w:val="20"/>
          <w:lang w:val="pt-BR"/>
        </w:rPr>
        <w:t>+50 Windows Server Enterprise Edition (x 50 pontos cada = 2.500 pontos)</w:t>
      </w:r>
    </w:p>
    <w:p w:rsidR="000D4ECA" w:rsidRPr="008D38F6" w:rsidRDefault="000D4ECA" w:rsidP="000D4ECA">
      <w:pPr>
        <w:spacing w:after="60"/>
        <w:rPr>
          <w:lang w:val="pt-BR"/>
        </w:rPr>
      </w:pPr>
      <w:r w:rsidRPr="008D38F6">
        <w:rPr>
          <w:rFonts w:cs="Tahoma"/>
          <w:szCs w:val="20"/>
          <w:u w:val="single"/>
          <w:lang w:val="pt-BR"/>
        </w:rPr>
        <w:t>+ 600 SA do Visio Standard</w:t>
      </w:r>
      <w:r w:rsidRPr="008D38F6">
        <w:rPr>
          <w:rFonts w:cs="Tahoma"/>
          <w:szCs w:val="20"/>
          <w:u w:val="single"/>
          <w:lang w:val="pt-BR"/>
        </w:rPr>
        <w:tab/>
      </w:r>
      <w:r w:rsidRPr="008D38F6">
        <w:rPr>
          <w:rFonts w:cs="Tahoma"/>
          <w:szCs w:val="20"/>
          <w:u w:val="single"/>
          <w:lang w:val="pt-BR"/>
        </w:rPr>
        <w:tab/>
      </w:r>
      <w:r w:rsidRPr="008D38F6">
        <w:rPr>
          <w:rFonts w:cs="Tahoma"/>
          <w:szCs w:val="20"/>
          <w:u w:val="single"/>
          <w:lang w:val="pt-BR"/>
        </w:rPr>
        <w:tab/>
        <w:t xml:space="preserve"> </w:t>
      </w:r>
    </w:p>
    <w:p w:rsidR="000D4ECA" w:rsidRPr="008D38F6" w:rsidRDefault="000D4ECA" w:rsidP="000D4ECA">
      <w:pPr>
        <w:spacing w:after="60"/>
        <w:rPr>
          <w:lang w:val="pt-BR"/>
        </w:rPr>
      </w:pPr>
      <w:r w:rsidRPr="008D38F6">
        <w:rPr>
          <w:rFonts w:cs="Tahoma"/>
          <w:szCs w:val="20"/>
          <w:lang w:val="pt-BR"/>
        </w:rPr>
        <w:t xml:space="preserve">6.600 Pontos Cobertos de Licenças de Aplicativos e/ou Servidores Office = 10 dias </w:t>
      </w:r>
    </w:p>
    <w:p w:rsidR="000D4ECA" w:rsidRPr="008D38F6" w:rsidRDefault="000D4ECA" w:rsidP="000D4ECA">
      <w:pPr>
        <w:spacing w:after="60"/>
        <w:rPr>
          <w:lang w:val="pt-BR"/>
        </w:rPr>
      </w:pPr>
      <w:r w:rsidRPr="008D38F6">
        <w:rPr>
          <w:rFonts w:cs="Tahoma"/>
          <w:szCs w:val="20"/>
          <w:lang w:val="pt-BR"/>
        </w:rPr>
        <w:lastRenderedPageBreak/>
        <w:t>7.000 pontos de Pacote CAL com Cobertura = 3 dias</w:t>
      </w:r>
    </w:p>
    <w:p w:rsidR="000D4ECA" w:rsidRPr="008D38F6" w:rsidRDefault="000D4ECA" w:rsidP="002C1048">
      <w:pPr>
        <w:numPr>
          <w:ilvl w:val="0"/>
          <w:numId w:val="89"/>
        </w:numPr>
        <w:spacing w:after="60"/>
        <w:ind w:left="720"/>
        <w:rPr>
          <w:lang w:val="pt-BR"/>
        </w:rPr>
      </w:pPr>
      <w:r w:rsidRPr="008D38F6">
        <w:rPr>
          <w:rFonts w:cs="Tahoma"/>
          <w:szCs w:val="20"/>
          <w:lang w:val="pt-BR"/>
        </w:rPr>
        <w:t>Total de 13 Dias de Serviços de Planejamento</w:t>
      </w:r>
    </w:p>
    <w:p w:rsidR="000D4ECA" w:rsidRPr="00416070" w:rsidRDefault="000D4ECA" w:rsidP="000D4ECA">
      <w:pPr>
        <w:spacing w:after="60"/>
      </w:pPr>
      <w:r w:rsidRPr="00416070">
        <w:rPr>
          <w:rFonts w:cs="Tahoma"/>
          <w:szCs w:val="20"/>
        </w:rPr>
        <w:t>Registro ECI com:</w:t>
      </w:r>
    </w:p>
    <w:p w:rsidR="00316AE2" w:rsidRPr="00416070" w:rsidRDefault="00316AE2" w:rsidP="00316AE2">
      <w:pPr>
        <w:spacing w:after="60"/>
      </w:pPr>
      <w:r w:rsidRPr="00416070">
        <w:rPr>
          <w:rFonts w:cs="Tahoma"/>
          <w:szCs w:val="20"/>
        </w:rPr>
        <w:t xml:space="preserve">100 ECI Datacenter </w:t>
      </w:r>
    </w:p>
    <w:p w:rsidR="00316AE2" w:rsidRPr="008D38F6" w:rsidRDefault="00316AE2" w:rsidP="002C1048">
      <w:pPr>
        <w:numPr>
          <w:ilvl w:val="0"/>
          <w:numId w:val="89"/>
        </w:numPr>
        <w:spacing w:after="60"/>
        <w:ind w:left="720"/>
        <w:rPr>
          <w:lang w:val="pt-BR"/>
        </w:rPr>
      </w:pPr>
      <w:r w:rsidRPr="008D38F6">
        <w:rPr>
          <w:rFonts w:cs="Tahoma"/>
          <w:szCs w:val="20"/>
          <w:lang w:val="pt-BR"/>
        </w:rPr>
        <w:t>100 Windows Server Datacenter Edition (x 75 pontos cada x 2 pontos = 15.000 pontos)</w:t>
      </w:r>
    </w:p>
    <w:p w:rsidR="00316AE2" w:rsidRPr="008D38F6" w:rsidRDefault="00316AE2" w:rsidP="002C1048">
      <w:pPr>
        <w:numPr>
          <w:ilvl w:val="0"/>
          <w:numId w:val="89"/>
        </w:numPr>
        <w:spacing w:after="60"/>
        <w:ind w:left="720"/>
        <w:rPr>
          <w:lang w:val="pt-BR"/>
        </w:rPr>
      </w:pPr>
      <w:r w:rsidRPr="008D38F6">
        <w:rPr>
          <w:rFonts w:cs="Tahoma"/>
          <w:szCs w:val="20"/>
          <w:u w:val="single"/>
          <w:lang w:val="pt-BR"/>
        </w:rPr>
        <w:t>100 System Center 2012 Datacenter Edition (x 75 pontos cada x 2 pontos = 15.000 pontos)</w:t>
      </w:r>
    </w:p>
    <w:p w:rsidR="000D4ECA" w:rsidRPr="008D38F6" w:rsidRDefault="00316AE2" w:rsidP="00697E59">
      <w:pPr>
        <w:spacing w:after="60"/>
        <w:ind w:firstLine="360"/>
        <w:rPr>
          <w:lang w:val="pt-BR"/>
        </w:rPr>
      </w:pPr>
      <w:r w:rsidRPr="008D38F6">
        <w:rPr>
          <w:rFonts w:cs="Tahoma"/>
          <w:szCs w:val="20"/>
          <w:lang w:val="pt-BR"/>
        </w:rPr>
        <w:t>30.000 Pontos Cobertos de licenças de Aplicativos e/ou Servidores Office = 15 dias</w:t>
      </w:r>
    </w:p>
    <w:p w:rsidR="00697E59" w:rsidRPr="008D38F6" w:rsidRDefault="00697E59" w:rsidP="00077CE5">
      <w:pPr>
        <w:ind w:firstLine="360"/>
        <w:rPr>
          <w:lang w:val="pt-BR"/>
        </w:rPr>
      </w:pPr>
    </w:p>
    <w:p w:rsidR="00023FE7" w:rsidRPr="008D38F6" w:rsidRDefault="00023FE7" w:rsidP="002F0514">
      <w:pPr>
        <w:pStyle w:val="AppendixBodyText"/>
        <w:spacing w:after="0"/>
        <w:rPr>
          <w:lang w:val="pt-BR"/>
        </w:rPr>
      </w:pPr>
      <w:r w:rsidRPr="008D38F6">
        <w:rPr>
          <w:rFonts w:ascii="Tahoma" w:hAnsi="Tahoma" w:cs="Tahoma"/>
          <w:sz w:val="18"/>
          <w:lang w:val="pt-BR"/>
        </w:rPr>
        <w:t>Os clientes também poderão aumentar o número de dias de Serviços de Planejamento disponíveis se atenderem aos</w:t>
      </w:r>
      <w:r w:rsidR="002D000C" w:rsidRPr="008D38F6">
        <w:rPr>
          <w:rFonts w:ascii="Tahoma" w:hAnsi="Tahoma" w:cs="Tahoma"/>
          <w:sz w:val="18"/>
          <w:lang w:val="pt-BR"/>
        </w:rPr>
        <w:t> </w:t>
      </w:r>
      <w:r w:rsidRPr="008D38F6">
        <w:rPr>
          <w:rFonts w:ascii="Tahoma" w:hAnsi="Tahoma" w:cs="Tahoma"/>
          <w:sz w:val="18"/>
          <w:lang w:val="pt-BR"/>
        </w:rPr>
        <w:t>seguintes critérios: (a) devem estar atualmente qualificados para o benefício Cupons de Treinamento, (b)</w:t>
      </w:r>
      <w:r w:rsidR="002D000C" w:rsidRPr="008D38F6">
        <w:rPr>
          <w:rFonts w:ascii="Tahoma" w:hAnsi="Tahoma" w:cs="Tahoma"/>
          <w:sz w:val="18"/>
          <w:lang w:val="pt-BR"/>
        </w:rPr>
        <w:t> </w:t>
      </w:r>
      <w:r w:rsidRPr="008D38F6">
        <w:rPr>
          <w:rFonts w:ascii="Tahoma" w:hAnsi="Tahoma" w:cs="Tahoma"/>
          <w:sz w:val="18"/>
          <w:lang w:val="pt-BR"/>
        </w:rPr>
        <w:t>devem</w:t>
      </w:r>
      <w:r w:rsidR="002D000C" w:rsidRPr="008D38F6">
        <w:rPr>
          <w:rFonts w:ascii="Tahoma" w:hAnsi="Tahoma" w:cs="Tahoma"/>
          <w:sz w:val="18"/>
          <w:lang w:val="pt-BR"/>
        </w:rPr>
        <w:t> </w:t>
      </w:r>
      <w:r w:rsidRPr="008D38F6">
        <w:rPr>
          <w:rFonts w:ascii="Tahoma" w:hAnsi="Tahoma" w:cs="Tahoma"/>
          <w:sz w:val="18"/>
          <w:lang w:val="pt-BR"/>
        </w:rPr>
        <w:t>ter ativado o benefício Cupom de Treinamento e (c) devem ter pelo menos 3 dias de treinamento não</w:t>
      </w:r>
      <w:r w:rsidR="002D000C" w:rsidRPr="008D38F6">
        <w:rPr>
          <w:rFonts w:ascii="Tahoma" w:hAnsi="Tahoma" w:cs="Tahoma"/>
          <w:sz w:val="18"/>
          <w:lang w:val="pt-BR"/>
        </w:rPr>
        <w:t> </w:t>
      </w:r>
      <w:r w:rsidRPr="008D38F6">
        <w:rPr>
          <w:rFonts w:ascii="Tahoma" w:hAnsi="Tahoma" w:cs="Tahoma"/>
          <w:sz w:val="18"/>
          <w:lang w:val="pt-BR"/>
        </w:rPr>
        <w:t>solicitados do benefício Cupom de Treinamento disponíveis para conversão.</w:t>
      </w:r>
      <w:r w:rsidR="00FB5496" w:rsidRPr="008D38F6">
        <w:rPr>
          <w:rFonts w:ascii="Tahoma" w:hAnsi="Tahoma" w:cs="Tahoma"/>
          <w:sz w:val="18"/>
          <w:lang w:val="pt-BR"/>
        </w:rPr>
        <w:t xml:space="preserve"> </w:t>
      </w:r>
      <w:r w:rsidRPr="008D38F6">
        <w:rPr>
          <w:rFonts w:ascii="Tahoma" w:hAnsi="Tahoma" w:cs="Tahoma"/>
          <w:sz w:val="18"/>
          <w:lang w:val="pt-BR"/>
        </w:rPr>
        <w:t xml:space="preserve">Os clientes qualificados podem converter os dias não utilizados do Cupom de Treinamento em dias do Serviço de Planejamento em uma proporção 3:1 (três dias de Cupom de Treinamento = um dia de Serviços de Planejamento). </w:t>
      </w:r>
      <w:r w:rsidRPr="008D38F6">
        <w:rPr>
          <w:rFonts w:ascii="Tahoma" w:hAnsi="Tahoma" w:cs="Tahoma"/>
          <w:bCs/>
          <w:sz w:val="18"/>
          <w:lang w:val="pt-BR"/>
        </w:rPr>
        <w:t xml:space="preserve">OBSERVAÇÃO: os clientes que desejarem usar seus dias do Cupom de Treinamento em Serviços de Planejamento não devem criar Cupons de Treinamento com esses dias. [Geralmente, </w:t>
      </w:r>
      <w:r w:rsidRPr="008D38F6">
        <w:rPr>
          <w:rFonts w:ascii="Tahoma" w:hAnsi="Tahoma" w:cs="Tahoma"/>
          <w:sz w:val="18"/>
          <w:lang w:val="pt-BR"/>
        </w:rPr>
        <w:t>os dias dos Serviços de Planejamento</w:t>
      </w:r>
      <w:r w:rsidRPr="008D38F6">
        <w:rPr>
          <w:rFonts w:ascii="Tahoma" w:hAnsi="Tahoma" w:cs="Tahoma"/>
          <w:bCs/>
          <w:sz w:val="18"/>
          <w:lang w:val="pt-BR"/>
        </w:rPr>
        <w:t xml:space="preserve"> não podem ser convertidos em</w:t>
      </w:r>
      <w:r w:rsidR="002D000C" w:rsidRPr="008D38F6">
        <w:rPr>
          <w:rFonts w:ascii="Tahoma" w:hAnsi="Tahoma" w:cs="Tahoma"/>
          <w:bCs/>
          <w:sz w:val="18"/>
          <w:lang w:val="pt-BR"/>
        </w:rPr>
        <w:t> </w:t>
      </w:r>
      <w:r w:rsidRPr="008D38F6">
        <w:rPr>
          <w:rFonts w:ascii="Tahoma" w:hAnsi="Tahoma" w:cs="Tahoma"/>
          <w:bCs/>
          <w:sz w:val="18"/>
          <w:lang w:val="pt-BR"/>
        </w:rPr>
        <w:t>dias</w:t>
      </w:r>
      <w:r w:rsidR="002D000C" w:rsidRPr="008D38F6">
        <w:rPr>
          <w:rFonts w:ascii="Tahoma" w:hAnsi="Tahoma" w:cs="Tahoma"/>
          <w:bCs/>
          <w:sz w:val="18"/>
          <w:lang w:val="pt-BR"/>
        </w:rPr>
        <w:t> </w:t>
      </w:r>
      <w:r w:rsidRPr="008D38F6">
        <w:rPr>
          <w:rFonts w:ascii="Tahoma" w:hAnsi="Tahoma" w:cs="Tahoma"/>
          <w:bCs/>
          <w:sz w:val="18"/>
          <w:lang w:val="pt-BR"/>
        </w:rPr>
        <w:t>do Cupom de Treinamento.] Entretanto, se um cliente desejar reverter uma conversão de dias do Cupom de</w:t>
      </w:r>
      <w:r w:rsidR="002D000C" w:rsidRPr="008D38F6">
        <w:rPr>
          <w:rFonts w:ascii="Tahoma" w:hAnsi="Tahoma" w:cs="Tahoma"/>
          <w:bCs/>
          <w:sz w:val="18"/>
          <w:lang w:val="pt-BR"/>
        </w:rPr>
        <w:t> </w:t>
      </w:r>
      <w:r w:rsidRPr="008D38F6">
        <w:rPr>
          <w:rFonts w:ascii="Tahoma" w:hAnsi="Tahoma" w:cs="Tahoma"/>
          <w:bCs/>
          <w:sz w:val="18"/>
          <w:lang w:val="pt-BR"/>
        </w:rPr>
        <w:t>Treinamento, os dias dos Serviços de Planejamento deverão ser convertidos de volta em dias do Cupom de Treinamento. Após a conversão de dias do Cupom de Treinamento em dias de Serviços de Planejamento, os dias de</w:t>
      </w:r>
      <w:r w:rsidR="002D000C" w:rsidRPr="008D38F6">
        <w:rPr>
          <w:rFonts w:ascii="Tahoma" w:hAnsi="Tahoma" w:cs="Tahoma"/>
          <w:bCs/>
          <w:sz w:val="18"/>
          <w:lang w:val="pt-BR"/>
        </w:rPr>
        <w:t> </w:t>
      </w:r>
      <w:r w:rsidRPr="008D38F6">
        <w:rPr>
          <w:rFonts w:ascii="Tahoma" w:hAnsi="Tahoma" w:cs="Tahoma"/>
          <w:bCs/>
          <w:sz w:val="18"/>
          <w:lang w:val="pt-BR"/>
        </w:rPr>
        <w:t>Serviços de Planejamento serão exibidos no pool de dias de Serviços de Planejamento do cliente.</w:t>
      </w:r>
      <w:r w:rsidR="00FB5496" w:rsidRPr="008D38F6">
        <w:rPr>
          <w:rFonts w:ascii="Tahoma" w:hAnsi="Tahoma" w:cs="Tahoma"/>
          <w:bCs/>
          <w:sz w:val="18"/>
          <w:lang w:val="pt-BR"/>
        </w:rPr>
        <w:t xml:space="preserve"> </w:t>
      </w:r>
      <w:r w:rsidRPr="008D38F6">
        <w:rPr>
          <w:rFonts w:ascii="Tahoma" w:hAnsi="Tahoma" w:cs="Tahoma"/>
          <w:bCs/>
          <w:sz w:val="18"/>
          <w:lang w:val="pt-BR"/>
        </w:rPr>
        <w:t>Esses dias poderão ser usados para criar cupom(ns) para serviços disponíveis (como o DDPS ou o SDPS).</w:t>
      </w:r>
      <w:r w:rsidR="00FB5496" w:rsidRPr="008D38F6">
        <w:rPr>
          <w:rFonts w:ascii="Tahoma" w:hAnsi="Tahoma" w:cs="Tahoma"/>
          <w:bCs/>
          <w:sz w:val="18"/>
          <w:lang w:val="pt-BR"/>
        </w:rPr>
        <w:t xml:space="preserve"> </w:t>
      </w:r>
      <w:r w:rsidRPr="008D38F6">
        <w:rPr>
          <w:rFonts w:ascii="Tahoma" w:hAnsi="Tahoma" w:cs="Tahoma"/>
          <w:bCs/>
          <w:sz w:val="18"/>
          <w:lang w:val="pt-BR"/>
        </w:rPr>
        <w:t>*A qualificação dos</w:t>
      </w:r>
      <w:r w:rsidR="002F0514" w:rsidRPr="008D38F6">
        <w:rPr>
          <w:rFonts w:ascii="Tahoma" w:hAnsi="Tahoma" w:cs="Tahoma"/>
          <w:bCs/>
          <w:sz w:val="18"/>
          <w:lang w:val="pt-BR"/>
        </w:rPr>
        <w:t> </w:t>
      </w:r>
      <w:r w:rsidRPr="008D38F6">
        <w:rPr>
          <w:rFonts w:ascii="Tahoma" w:hAnsi="Tahoma" w:cs="Tahoma"/>
          <w:bCs/>
          <w:sz w:val="18"/>
          <w:lang w:val="pt-BR"/>
        </w:rPr>
        <w:t>clientes para converter dias de volta em dias de Cupom de Treinamento é limitada com base no número de dias</w:t>
      </w:r>
      <w:r w:rsidR="002F0514" w:rsidRPr="008D38F6">
        <w:rPr>
          <w:rFonts w:ascii="Tahoma" w:hAnsi="Tahoma" w:cs="Tahoma"/>
          <w:bCs/>
          <w:sz w:val="18"/>
          <w:lang w:val="pt-BR"/>
        </w:rPr>
        <w:t> </w:t>
      </w:r>
      <w:r w:rsidRPr="008D38F6">
        <w:rPr>
          <w:rFonts w:ascii="Tahoma" w:hAnsi="Tahoma" w:cs="Tahoma"/>
          <w:bCs/>
          <w:sz w:val="18"/>
          <w:lang w:val="pt-BR"/>
        </w:rPr>
        <w:t>disponíveis no nível Dias de Serviços de Planejamento.</w:t>
      </w:r>
      <w:r w:rsidR="00FB5496" w:rsidRPr="008D38F6">
        <w:rPr>
          <w:rFonts w:ascii="Tahoma" w:hAnsi="Tahoma" w:cs="Tahoma"/>
          <w:bCs/>
          <w:sz w:val="18"/>
          <w:lang w:val="pt-BR"/>
        </w:rPr>
        <w:t xml:space="preserve"> </w:t>
      </w:r>
      <w:r w:rsidRPr="008D38F6">
        <w:rPr>
          <w:rFonts w:ascii="Tahoma" w:hAnsi="Tahoma" w:cs="Tahoma"/>
          <w:bCs/>
          <w:sz w:val="18"/>
          <w:lang w:val="pt-BR"/>
        </w:rPr>
        <w:t>Se um cliente desejar converter de volta 10 dias, mas</w:t>
      </w:r>
      <w:r w:rsidR="002F0514" w:rsidRPr="008D38F6">
        <w:rPr>
          <w:rFonts w:ascii="Tahoma" w:hAnsi="Tahoma" w:cs="Tahoma"/>
          <w:bCs/>
          <w:sz w:val="18"/>
          <w:lang w:val="pt-BR"/>
        </w:rPr>
        <w:t> </w:t>
      </w:r>
      <w:r w:rsidRPr="008D38F6">
        <w:rPr>
          <w:rFonts w:ascii="Tahoma" w:hAnsi="Tahoma" w:cs="Tahoma"/>
          <w:bCs/>
          <w:sz w:val="18"/>
          <w:lang w:val="pt-BR"/>
        </w:rPr>
        <w:t>houver</w:t>
      </w:r>
      <w:r w:rsidR="002D000C" w:rsidRPr="008D38F6">
        <w:rPr>
          <w:rFonts w:ascii="Tahoma" w:hAnsi="Tahoma" w:cs="Tahoma"/>
          <w:bCs/>
          <w:sz w:val="18"/>
          <w:lang w:val="pt-BR"/>
        </w:rPr>
        <w:t> </w:t>
      </w:r>
      <w:r w:rsidRPr="008D38F6">
        <w:rPr>
          <w:rFonts w:ascii="Tahoma" w:hAnsi="Tahoma" w:cs="Tahoma"/>
          <w:bCs/>
          <w:sz w:val="18"/>
          <w:lang w:val="pt-BR"/>
        </w:rPr>
        <w:t>apenas 8 Dias de Serviços de Planejamento em seu pool, ele poderá converter apenas 8 dias.</w:t>
      </w:r>
    </w:p>
    <w:p w:rsidR="00F528E5" w:rsidRPr="008D38F6" w:rsidRDefault="00F528E5" w:rsidP="00F528E5">
      <w:pPr>
        <w:pStyle w:val="AppendixBodyText"/>
        <w:spacing w:after="0"/>
        <w:rPr>
          <w:rFonts w:ascii="Tahoma" w:hAnsi="Tahoma" w:cs="Tahoma"/>
          <w:sz w:val="18"/>
          <w:szCs w:val="18"/>
          <w:lang w:val="pt-BR"/>
        </w:rPr>
      </w:pPr>
    </w:p>
    <w:p w:rsidR="00023FE7" w:rsidRPr="008D38F6" w:rsidRDefault="00023FE7" w:rsidP="00F528E5">
      <w:pPr>
        <w:pStyle w:val="AppendixBodyText"/>
        <w:spacing w:after="0"/>
        <w:rPr>
          <w:lang w:val="pt-BR"/>
        </w:rPr>
      </w:pPr>
      <w:r w:rsidRPr="008D38F6">
        <w:rPr>
          <w:rFonts w:ascii="Tahoma" w:hAnsi="Tahoma" w:cs="Tahoma"/>
          <w:bCs/>
          <w:sz w:val="18"/>
          <w:lang w:val="pt-BR"/>
        </w:rPr>
        <w:t>Os clientes em contratos de licenciamento por volume qualificados que não atenderem aos valores limite mínimos</w:t>
      </w:r>
      <w:r w:rsidR="002D000C" w:rsidRPr="008D38F6">
        <w:rPr>
          <w:rFonts w:ascii="Tahoma" w:hAnsi="Tahoma" w:cs="Tahoma"/>
          <w:bCs/>
          <w:sz w:val="18"/>
          <w:lang w:val="pt-BR"/>
        </w:rPr>
        <w:t> </w:t>
      </w:r>
      <w:r w:rsidRPr="008D38F6">
        <w:rPr>
          <w:rFonts w:ascii="Tahoma" w:hAnsi="Tahoma" w:cs="Tahoma"/>
          <w:bCs/>
          <w:sz w:val="18"/>
          <w:lang w:val="pt-BR"/>
        </w:rPr>
        <w:t>para receber qualificações do Serviço de Planejamento, mas que atenderem ou excederem os critérios de</w:t>
      </w:r>
      <w:r w:rsidR="002D000C" w:rsidRPr="008D38F6">
        <w:rPr>
          <w:rFonts w:ascii="Tahoma" w:hAnsi="Tahoma" w:cs="Tahoma"/>
          <w:bCs/>
          <w:sz w:val="18"/>
          <w:lang w:val="pt-BR"/>
        </w:rPr>
        <w:t> </w:t>
      </w:r>
      <w:r w:rsidRPr="008D38F6">
        <w:rPr>
          <w:rFonts w:ascii="Tahoma" w:hAnsi="Tahoma" w:cs="Tahoma"/>
          <w:bCs/>
          <w:sz w:val="18"/>
          <w:lang w:val="pt-BR"/>
        </w:rPr>
        <w:t>conversão de dias do Cupom de Treinamento, poderão converter os dias do Cupom de Treinamento conforme especificado acima.</w:t>
      </w:r>
    </w:p>
    <w:p w:rsidR="00023FE7" w:rsidRPr="008D38F6" w:rsidRDefault="00023FE7" w:rsidP="00077CE5">
      <w:pPr>
        <w:pStyle w:val="AppendixBodyText"/>
        <w:spacing w:after="0"/>
        <w:rPr>
          <w:rFonts w:ascii="Tahoma" w:hAnsi="Tahoma" w:cs="Tahoma"/>
          <w:sz w:val="18"/>
          <w:szCs w:val="18"/>
          <w:lang w:val="pt-BR"/>
        </w:rPr>
      </w:pPr>
    </w:p>
    <w:p w:rsidR="00023FE7" w:rsidRPr="008D38F6" w:rsidRDefault="000D4ECA">
      <w:pPr>
        <w:pStyle w:val="AppendixBodyText"/>
        <w:rPr>
          <w:lang w:val="pt-BR"/>
        </w:rPr>
      </w:pPr>
      <w:r w:rsidRPr="008D38F6">
        <w:rPr>
          <w:rFonts w:ascii="Tahoma" w:hAnsi="Tahoma" w:cs="Tahoma"/>
          <w:sz w:val="18"/>
          <w:lang w:val="pt-BR"/>
        </w:rPr>
        <w:t>Os Serviços de Planejamento podem ser fornecidos ao cliente por Parceiros da Microsoft ou Serviços de Consultoria</w:t>
      </w:r>
      <w:r w:rsidR="00FE2B0B" w:rsidRPr="008D38F6">
        <w:rPr>
          <w:rFonts w:ascii="Tahoma" w:hAnsi="Tahoma" w:cs="Tahoma"/>
          <w:sz w:val="18"/>
          <w:lang w:val="pt-BR"/>
        </w:rPr>
        <w:t> </w:t>
      </w:r>
      <w:r w:rsidRPr="008D38F6">
        <w:rPr>
          <w:rFonts w:ascii="Tahoma" w:hAnsi="Tahoma" w:cs="Tahoma"/>
          <w:sz w:val="18"/>
          <w:lang w:val="pt-BR"/>
        </w:rPr>
        <w:t>Microsoft qualificados.</w:t>
      </w:r>
      <w:r w:rsidR="00FB5496" w:rsidRPr="008D38F6">
        <w:rPr>
          <w:rFonts w:ascii="Tahoma" w:hAnsi="Tahoma" w:cs="Tahoma"/>
          <w:sz w:val="18"/>
          <w:lang w:val="pt-BR"/>
        </w:rPr>
        <w:t xml:space="preserve"> </w:t>
      </w:r>
      <w:r w:rsidRPr="008D38F6">
        <w:rPr>
          <w:rFonts w:ascii="Tahoma" w:hAnsi="Tahoma" w:cs="Tahoma"/>
          <w:sz w:val="18"/>
          <w:lang w:val="pt-BR"/>
        </w:rPr>
        <w:t>Um cliente pode visualizar a lista de Provedores Qualificados aqui: http://directory.partners.extranet.microsoft.com/psbproviders</w:t>
      </w:r>
    </w:p>
    <w:p w:rsidR="00EC05F0" w:rsidRPr="008D38F6" w:rsidRDefault="00EC05F0">
      <w:pPr>
        <w:rPr>
          <w:lang w:val="pt-BR"/>
        </w:rPr>
      </w:pPr>
    </w:p>
    <w:p w:rsidR="00023FE7" w:rsidRPr="008D38F6" w:rsidRDefault="000D4ECA" w:rsidP="005A141F">
      <w:pPr>
        <w:pStyle w:val="AppendixBodyText"/>
        <w:spacing w:after="0"/>
        <w:rPr>
          <w:lang w:val="pt-BR"/>
        </w:rPr>
      </w:pPr>
      <w:r w:rsidRPr="008D38F6">
        <w:rPr>
          <w:rFonts w:ascii="Tahoma" w:hAnsi="Tahoma" w:cs="Tahoma"/>
          <w:sz w:val="18"/>
          <w:lang w:val="pt-BR"/>
        </w:rPr>
        <w:t>Os compromissos de Serviços de Planejamento fornecem uma consultoria que abrange um escopo de trabalho predefinido que resulta em um plano de implantação de alto nível; a implantação real do software não pode ser</w:t>
      </w:r>
      <w:r w:rsidR="00FE2B0B" w:rsidRPr="008D38F6">
        <w:rPr>
          <w:rFonts w:ascii="Tahoma" w:hAnsi="Tahoma" w:cs="Tahoma"/>
          <w:sz w:val="18"/>
          <w:lang w:val="pt-BR"/>
        </w:rPr>
        <w:t> </w:t>
      </w:r>
      <w:r w:rsidRPr="008D38F6">
        <w:rPr>
          <w:rFonts w:ascii="Tahoma" w:hAnsi="Tahoma" w:cs="Tahoma"/>
          <w:sz w:val="18"/>
          <w:lang w:val="pt-BR"/>
        </w:rPr>
        <w:t>incluída.</w:t>
      </w:r>
    </w:p>
    <w:p w:rsidR="00023FE7" w:rsidRPr="008D38F6" w:rsidRDefault="00023FE7" w:rsidP="005A141F">
      <w:pPr>
        <w:pStyle w:val="AppendixBodyText"/>
        <w:spacing w:after="0"/>
        <w:rPr>
          <w:rFonts w:ascii="Tahoma" w:hAnsi="Tahoma" w:cs="Tahoma"/>
          <w:sz w:val="18"/>
          <w:szCs w:val="18"/>
          <w:lang w:val="pt-BR"/>
        </w:rPr>
      </w:pPr>
    </w:p>
    <w:p w:rsidR="00AC1997" w:rsidRPr="008D38F6" w:rsidRDefault="000D4ECA" w:rsidP="002F529F">
      <w:pPr>
        <w:pStyle w:val="AppendixBodyText"/>
        <w:numPr>
          <w:ilvl w:val="0"/>
          <w:numId w:val="1"/>
        </w:numPr>
        <w:tabs>
          <w:tab w:val="clear" w:pos="720"/>
          <w:tab w:val="num" w:pos="1440"/>
        </w:tabs>
        <w:ind w:left="1440"/>
        <w:rPr>
          <w:lang w:val="pt-BR"/>
        </w:rPr>
      </w:pPr>
      <w:r w:rsidRPr="008D38F6">
        <w:rPr>
          <w:rFonts w:ascii="Tahoma" w:hAnsi="Tahoma" w:cs="Tahoma"/>
          <w:bCs/>
          <w:sz w:val="18"/>
          <w:lang w:val="pt-BR"/>
        </w:rPr>
        <w:t>Os Serviços de Planejamento não estão disponíveis em todos os idiomas.</w:t>
      </w:r>
    </w:p>
    <w:p w:rsidR="00AC1997" w:rsidRPr="008D38F6" w:rsidRDefault="000D4ECA" w:rsidP="002F529F">
      <w:pPr>
        <w:pStyle w:val="AppendixBodyText"/>
        <w:numPr>
          <w:ilvl w:val="0"/>
          <w:numId w:val="1"/>
        </w:numPr>
        <w:tabs>
          <w:tab w:val="clear" w:pos="720"/>
          <w:tab w:val="num" w:pos="1440"/>
        </w:tabs>
        <w:ind w:left="1440"/>
        <w:rPr>
          <w:lang w:val="pt-BR"/>
        </w:rPr>
      </w:pPr>
      <w:r w:rsidRPr="008D38F6">
        <w:rPr>
          <w:rFonts w:ascii="Tahoma" w:hAnsi="Tahoma" w:cs="Tahoma"/>
          <w:bCs/>
          <w:color w:val="000000"/>
          <w:sz w:val="18"/>
          <w:lang w:val="pt-BR"/>
        </w:rPr>
        <w:t>Os cupons dos Serviços de Planejamento podem ser resgatados apenas pelo cliente que estiver qualificado para o benefício.</w:t>
      </w:r>
    </w:p>
    <w:p w:rsidR="00AC1997" w:rsidRPr="008D38F6" w:rsidRDefault="000D4ECA" w:rsidP="002F529F">
      <w:pPr>
        <w:pStyle w:val="AppendixBodyText"/>
        <w:numPr>
          <w:ilvl w:val="0"/>
          <w:numId w:val="1"/>
        </w:numPr>
        <w:tabs>
          <w:tab w:val="clear" w:pos="720"/>
          <w:tab w:val="num" w:pos="1440"/>
        </w:tabs>
        <w:ind w:left="1440"/>
        <w:rPr>
          <w:lang w:val="pt-BR"/>
        </w:rPr>
      </w:pPr>
      <w:r w:rsidRPr="008D38F6">
        <w:rPr>
          <w:rFonts w:ascii="Tahoma" w:hAnsi="Tahoma" w:cs="Tahoma"/>
          <w:bCs/>
          <w:color w:val="000000"/>
          <w:sz w:val="18"/>
          <w:lang w:val="pt-BR"/>
        </w:rPr>
        <w:t>Os cupons dos Serviços de Planejamento não podem ser trocados por dinheiro, valores nem outras</w:t>
      </w:r>
      <w:r w:rsidR="002D000C" w:rsidRPr="008D38F6">
        <w:rPr>
          <w:rFonts w:ascii="Tahoma" w:hAnsi="Tahoma" w:cs="Tahoma"/>
          <w:bCs/>
          <w:color w:val="000000"/>
          <w:sz w:val="18"/>
          <w:lang w:val="pt-BR"/>
        </w:rPr>
        <w:t> </w:t>
      </w:r>
      <w:r w:rsidRPr="008D38F6">
        <w:rPr>
          <w:rFonts w:ascii="Tahoma" w:hAnsi="Tahoma" w:cs="Tahoma"/>
          <w:bCs/>
          <w:color w:val="000000"/>
          <w:sz w:val="18"/>
          <w:lang w:val="pt-BR"/>
        </w:rPr>
        <w:t>considerações de valor.</w:t>
      </w:r>
    </w:p>
    <w:p w:rsidR="00AC1997" w:rsidRPr="008D38F6" w:rsidRDefault="00AC1997" w:rsidP="002F529F">
      <w:pPr>
        <w:pStyle w:val="AppendixBodyText"/>
        <w:numPr>
          <w:ilvl w:val="0"/>
          <w:numId w:val="1"/>
        </w:numPr>
        <w:tabs>
          <w:tab w:val="clear" w:pos="720"/>
          <w:tab w:val="num" w:pos="1440"/>
        </w:tabs>
        <w:ind w:left="1440"/>
        <w:rPr>
          <w:lang w:val="pt-BR"/>
        </w:rPr>
      </w:pPr>
      <w:r w:rsidRPr="008D38F6">
        <w:rPr>
          <w:rFonts w:ascii="Tahoma" w:hAnsi="Tahoma" w:cs="Tahoma"/>
          <w:bCs/>
          <w:color w:val="000000"/>
          <w:sz w:val="18"/>
          <w:lang w:val="pt-BR"/>
        </w:rPr>
        <w:t xml:space="preserve">Os clientes que estiverem interessados em adquirir serviços adicionais além desses cobertos pelo </w:t>
      </w:r>
      <w:r w:rsidRPr="008D38F6">
        <w:rPr>
          <w:rFonts w:ascii="Tahoma" w:hAnsi="Tahoma" w:cs="Tahoma"/>
          <w:color w:val="000000"/>
          <w:sz w:val="18"/>
          <w:szCs w:val="18"/>
          <w:lang w:val="pt-BR"/>
        </w:rPr>
        <w:t>escopo do trabalho do compromisso de cupom atribuído (conforme definido pelo tipo de cupom e nível de serviço)</w:t>
      </w:r>
      <w:r w:rsidRPr="008D38F6">
        <w:rPr>
          <w:rFonts w:ascii="Tahoma" w:hAnsi="Tahoma" w:cs="Tahoma"/>
          <w:bCs/>
          <w:color w:val="000000"/>
          <w:sz w:val="18"/>
          <w:lang w:val="pt-BR"/>
        </w:rPr>
        <w:t xml:space="preserve"> devem pagar a seus provedores fora desse programa.</w:t>
      </w:r>
    </w:p>
    <w:p w:rsidR="00AC1997" w:rsidRPr="008D38F6" w:rsidRDefault="00AC1997" w:rsidP="002F529F">
      <w:pPr>
        <w:pStyle w:val="AppendixBodyText"/>
        <w:numPr>
          <w:ilvl w:val="0"/>
          <w:numId w:val="1"/>
        </w:numPr>
        <w:tabs>
          <w:tab w:val="clear" w:pos="720"/>
          <w:tab w:val="num" w:pos="1440"/>
        </w:tabs>
        <w:ind w:left="1440"/>
        <w:rPr>
          <w:lang w:val="pt-BR"/>
        </w:rPr>
      </w:pPr>
      <w:r w:rsidRPr="008D38F6">
        <w:rPr>
          <w:rFonts w:ascii="Tahoma" w:hAnsi="Tahoma" w:cs="Tahoma"/>
          <w:color w:val="000000"/>
          <w:sz w:val="18"/>
          <w:lang w:val="pt-BR"/>
        </w:rPr>
        <w:t>A redução d</w:t>
      </w:r>
      <w:r w:rsidRPr="008D38F6">
        <w:rPr>
          <w:rFonts w:ascii="Tahoma" w:hAnsi="Tahoma" w:cs="Tahoma"/>
          <w:bCs/>
          <w:color w:val="000000"/>
          <w:sz w:val="18"/>
          <w:lang w:val="pt-BR"/>
        </w:rPr>
        <w:t>a</w:t>
      </w:r>
      <w:r w:rsidRPr="008D38F6">
        <w:rPr>
          <w:rFonts w:ascii="Tahoma" w:hAnsi="Tahoma" w:cs="Tahoma"/>
          <w:color w:val="000000"/>
          <w:sz w:val="18"/>
          <w:lang w:val="pt-BR"/>
        </w:rPr>
        <w:t xml:space="preserve"> cobertura do SA qualificada como um resultado de devoluções e outros ajustes de cobrança</w:t>
      </w:r>
      <w:r w:rsidRPr="008D38F6">
        <w:rPr>
          <w:rFonts w:ascii="Tahoma" w:hAnsi="Tahoma" w:cs="Tahoma"/>
          <w:bCs/>
          <w:color w:val="000000"/>
          <w:sz w:val="18"/>
          <w:lang w:val="pt-BR"/>
        </w:rPr>
        <w:t>,</w:t>
      </w:r>
      <w:r w:rsidRPr="008D38F6">
        <w:rPr>
          <w:rFonts w:ascii="Tahoma" w:hAnsi="Tahoma" w:cs="Tahoma"/>
          <w:color w:val="000000"/>
          <w:sz w:val="18"/>
          <w:lang w:val="pt-BR"/>
        </w:rPr>
        <w:t xml:space="preserve"> quando permitidos, </w:t>
      </w:r>
      <w:r w:rsidRPr="008D38F6">
        <w:rPr>
          <w:rFonts w:ascii="Tahoma" w:hAnsi="Tahoma" w:cs="Tahoma"/>
          <w:bCs/>
          <w:color w:val="000000"/>
          <w:sz w:val="18"/>
          <w:lang w:val="pt-BR"/>
        </w:rPr>
        <w:t>pode</w:t>
      </w:r>
      <w:r w:rsidRPr="008D38F6">
        <w:rPr>
          <w:rFonts w:ascii="Tahoma" w:hAnsi="Tahoma" w:cs="Tahoma"/>
          <w:color w:val="000000"/>
          <w:sz w:val="18"/>
          <w:lang w:val="pt-BR"/>
        </w:rPr>
        <w:t xml:space="preserve"> diminuir os dias de qualificação dos Serviços de Planejamento do </w:t>
      </w:r>
      <w:r w:rsidRPr="008D38F6">
        <w:rPr>
          <w:rFonts w:ascii="Tahoma" w:hAnsi="Tahoma" w:cs="Tahoma"/>
          <w:bCs/>
          <w:color w:val="000000"/>
          <w:sz w:val="18"/>
          <w:lang w:val="pt-BR"/>
        </w:rPr>
        <w:t>cliente.</w:t>
      </w:r>
    </w:p>
    <w:p w:rsidR="00762183" w:rsidRPr="00416070" w:rsidRDefault="00AC1997" w:rsidP="002F529F">
      <w:pPr>
        <w:pStyle w:val="AppendixBodyText"/>
        <w:numPr>
          <w:ilvl w:val="0"/>
          <w:numId w:val="24"/>
        </w:numPr>
        <w:tabs>
          <w:tab w:val="num" w:pos="1440"/>
        </w:tabs>
        <w:ind w:left="1440"/>
      </w:pPr>
      <w:r w:rsidRPr="008D38F6">
        <w:rPr>
          <w:rFonts w:ascii="Tahoma" w:hAnsi="Tahoma" w:cs="Tahoma"/>
          <w:bCs/>
          <w:color w:val="000000"/>
          <w:sz w:val="18"/>
          <w:lang w:val="pt-BR"/>
        </w:rPr>
        <w:t xml:space="preserve">Os cupons são válidos apenas com </w:t>
      </w:r>
      <w:r w:rsidRPr="008D38F6">
        <w:rPr>
          <w:rFonts w:ascii="Tahoma" w:hAnsi="Tahoma" w:cs="Tahoma"/>
          <w:color w:val="000000"/>
          <w:sz w:val="18"/>
          <w:lang w:val="pt-BR"/>
        </w:rPr>
        <w:t xml:space="preserve">Provedores qualificados </w:t>
      </w:r>
      <w:r w:rsidRPr="008D38F6">
        <w:rPr>
          <w:rFonts w:ascii="Tahoma" w:hAnsi="Tahoma" w:cs="Tahoma"/>
          <w:bCs/>
          <w:color w:val="000000"/>
          <w:sz w:val="18"/>
          <w:lang w:val="pt-BR"/>
        </w:rPr>
        <w:t>para o tipo de serviço específico para</w:t>
      </w:r>
      <w:r w:rsidR="002D000C" w:rsidRPr="008D38F6">
        <w:rPr>
          <w:rFonts w:ascii="Tahoma" w:hAnsi="Tahoma" w:cs="Tahoma"/>
          <w:bCs/>
          <w:color w:val="000000"/>
          <w:sz w:val="18"/>
          <w:lang w:val="pt-BR"/>
        </w:rPr>
        <w:t> </w:t>
      </w:r>
      <w:r w:rsidRPr="008D38F6">
        <w:rPr>
          <w:rFonts w:ascii="Tahoma" w:hAnsi="Tahoma" w:cs="Tahoma"/>
          <w:bCs/>
          <w:color w:val="000000"/>
          <w:sz w:val="18"/>
          <w:lang w:val="pt-BR"/>
        </w:rPr>
        <w:t>o</w:t>
      </w:r>
      <w:r w:rsidR="002D000C" w:rsidRPr="008D38F6">
        <w:rPr>
          <w:rFonts w:ascii="Tahoma" w:hAnsi="Tahoma" w:cs="Tahoma"/>
          <w:bCs/>
          <w:color w:val="000000"/>
          <w:sz w:val="18"/>
          <w:lang w:val="pt-BR"/>
        </w:rPr>
        <w:t> </w:t>
      </w:r>
      <w:r w:rsidRPr="008D38F6">
        <w:rPr>
          <w:rFonts w:ascii="Tahoma" w:hAnsi="Tahoma" w:cs="Tahoma"/>
          <w:bCs/>
          <w:color w:val="000000"/>
          <w:sz w:val="18"/>
          <w:lang w:val="pt-BR"/>
        </w:rPr>
        <w:t xml:space="preserve">qual o cupom está </w:t>
      </w:r>
      <w:r w:rsidRPr="008D38F6">
        <w:rPr>
          <w:rFonts w:ascii="Tahoma" w:hAnsi="Tahoma" w:cs="Tahoma"/>
          <w:bCs/>
          <w:color w:val="000000"/>
          <w:sz w:val="18"/>
          <w:szCs w:val="18"/>
          <w:lang w:val="pt-BR"/>
        </w:rPr>
        <w:t xml:space="preserve">sendo resgatado. </w:t>
      </w:r>
      <w:r w:rsidRPr="008D38F6">
        <w:rPr>
          <w:rFonts w:ascii="Tahoma" w:hAnsi="Tahoma" w:cs="Tahoma"/>
          <w:color w:val="000000"/>
          <w:sz w:val="18"/>
          <w:szCs w:val="18"/>
          <w:lang w:val="pt-BR"/>
        </w:rPr>
        <w:t xml:space="preserve">O cupom pode ser usado com qualquer Provedor qualificado de todo o mundo. </w:t>
      </w:r>
      <w:r w:rsidRPr="00416070">
        <w:rPr>
          <w:rFonts w:ascii="Tahoma" w:hAnsi="Tahoma" w:cs="Tahoma"/>
          <w:color w:val="000000"/>
          <w:sz w:val="18"/>
          <w:szCs w:val="18"/>
        </w:rPr>
        <w:t>A participação pode variar.</w:t>
      </w:r>
    </w:p>
    <w:p w:rsidR="0083748D" w:rsidRPr="008D38F6" w:rsidRDefault="0083748D" w:rsidP="002F529F">
      <w:pPr>
        <w:pStyle w:val="AppendixBodyText"/>
        <w:numPr>
          <w:ilvl w:val="0"/>
          <w:numId w:val="1"/>
        </w:numPr>
        <w:tabs>
          <w:tab w:val="clear" w:pos="720"/>
          <w:tab w:val="num" w:pos="1440"/>
        </w:tabs>
        <w:ind w:left="1440"/>
        <w:rPr>
          <w:lang w:val="pt-BR"/>
        </w:rPr>
      </w:pPr>
      <w:r w:rsidRPr="008D38F6">
        <w:rPr>
          <w:rFonts w:ascii="Tahoma" w:hAnsi="Tahoma" w:cs="Tahoma"/>
          <w:color w:val="000000"/>
          <w:sz w:val="18"/>
          <w:szCs w:val="18"/>
          <w:lang w:val="pt-BR"/>
        </w:rPr>
        <w:t>Os cupons devem ser atribuídos durante o período de cobertura do Software Assurance.</w:t>
      </w:r>
    </w:p>
    <w:p w:rsidR="0083748D" w:rsidRPr="008D38F6" w:rsidRDefault="0083748D" w:rsidP="00EF73D1">
      <w:pPr>
        <w:pStyle w:val="AppendixBodyText"/>
        <w:numPr>
          <w:ilvl w:val="0"/>
          <w:numId w:val="1"/>
        </w:numPr>
        <w:tabs>
          <w:tab w:val="clear" w:pos="720"/>
          <w:tab w:val="num" w:pos="1440"/>
        </w:tabs>
        <w:ind w:left="1440"/>
        <w:rPr>
          <w:lang w:val="pt-BR"/>
        </w:rPr>
      </w:pPr>
      <w:r w:rsidRPr="008D38F6">
        <w:rPr>
          <w:rFonts w:ascii="Tahoma" w:hAnsi="Tahoma" w:cs="Tahoma"/>
          <w:color w:val="000000"/>
          <w:sz w:val="18"/>
          <w:szCs w:val="18"/>
          <w:lang w:val="pt-BR"/>
        </w:rPr>
        <w:lastRenderedPageBreak/>
        <w:t>Os cupons expiram após 180 dias da data de atribuição do cupom, independentemente da data</w:t>
      </w:r>
      <w:r w:rsidR="00EF73D1" w:rsidRPr="008D38F6">
        <w:rPr>
          <w:rFonts w:ascii="Tahoma" w:hAnsi="Tahoma" w:cs="Tahoma"/>
          <w:color w:val="000000"/>
          <w:sz w:val="18"/>
          <w:szCs w:val="18"/>
          <w:lang w:val="pt-BR"/>
        </w:rPr>
        <w:t> </w:t>
      </w:r>
      <w:r w:rsidRPr="008D38F6">
        <w:rPr>
          <w:rFonts w:ascii="Tahoma" w:hAnsi="Tahoma" w:cs="Tahoma"/>
          <w:color w:val="000000"/>
          <w:sz w:val="18"/>
          <w:szCs w:val="18"/>
          <w:lang w:val="pt-BR"/>
        </w:rPr>
        <w:t>de</w:t>
      </w:r>
      <w:r w:rsidR="00FE2B0B" w:rsidRPr="008D38F6">
        <w:rPr>
          <w:rFonts w:ascii="Tahoma" w:hAnsi="Tahoma" w:cs="Tahoma"/>
          <w:color w:val="000000"/>
          <w:sz w:val="18"/>
          <w:szCs w:val="18"/>
          <w:lang w:val="pt-BR"/>
        </w:rPr>
        <w:t> </w:t>
      </w:r>
      <w:r w:rsidRPr="008D38F6">
        <w:rPr>
          <w:rFonts w:ascii="Tahoma" w:hAnsi="Tahoma" w:cs="Tahoma"/>
          <w:color w:val="000000"/>
          <w:sz w:val="18"/>
          <w:szCs w:val="18"/>
          <w:lang w:val="pt-BR"/>
        </w:rPr>
        <w:t>término da cobertura do Software Assurance. Todos os serviços devem ser entregues (cupom</w:t>
      </w:r>
      <w:r w:rsidR="00FE2B0B" w:rsidRPr="008D38F6">
        <w:rPr>
          <w:rFonts w:ascii="Tahoma" w:hAnsi="Tahoma" w:cs="Tahoma"/>
          <w:color w:val="000000"/>
          <w:sz w:val="18"/>
          <w:szCs w:val="18"/>
          <w:lang w:val="pt-BR"/>
        </w:rPr>
        <w:t> </w:t>
      </w:r>
      <w:r w:rsidRPr="008D38F6">
        <w:rPr>
          <w:rFonts w:ascii="Tahoma" w:hAnsi="Tahoma" w:cs="Tahoma"/>
          <w:color w:val="000000"/>
          <w:sz w:val="18"/>
          <w:szCs w:val="18"/>
          <w:lang w:val="pt-BR"/>
        </w:rPr>
        <w:t>resgatado) antes da data de término do cupom. Os cupons que se encerrarem antes da</w:t>
      </w:r>
      <w:r w:rsidR="00FE2B0B" w:rsidRPr="008D38F6">
        <w:rPr>
          <w:rFonts w:ascii="Tahoma" w:hAnsi="Tahoma" w:cs="Tahoma"/>
          <w:color w:val="000000"/>
          <w:sz w:val="18"/>
          <w:szCs w:val="18"/>
          <w:lang w:val="pt-BR"/>
        </w:rPr>
        <w:t> </w:t>
      </w:r>
      <w:r w:rsidRPr="008D38F6">
        <w:rPr>
          <w:rFonts w:ascii="Tahoma" w:hAnsi="Tahoma" w:cs="Tahoma"/>
          <w:color w:val="000000"/>
          <w:sz w:val="18"/>
          <w:szCs w:val="18"/>
          <w:lang w:val="pt-BR"/>
        </w:rPr>
        <w:t>data de término da cobertura do Software Assurance serão retornados para o pool de dias disponível dos Serviços de Planejamento.</w:t>
      </w:r>
    </w:p>
    <w:p w:rsidR="00AC1997" w:rsidRPr="008D38F6" w:rsidRDefault="00AC1997" w:rsidP="002F529F">
      <w:pPr>
        <w:pStyle w:val="AppendixBodyText"/>
        <w:numPr>
          <w:ilvl w:val="0"/>
          <w:numId w:val="21"/>
        </w:numPr>
        <w:tabs>
          <w:tab w:val="num" w:pos="1440"/>
        </w:tabs>
        <w:rPr>
          <w:lang w:val="pt-BR"/>
        </w:rPr>
      </w:pPr>
      <w:r w:rsidRPr="008D38F6">
        <w:rPr>
          <w:rFonts w:ascii="Tahoma" w:hAnsi="Tahoma" w:cs="Tahoma"/>
          <w:bCs/>
          <w:color w:val="000000"/>
          <w:sz w:val="18"/>
          <w:szCs w:val="18"/>
          <w:lang w:val="pt-BR"/>
        </w:rPr>
        <w:t>A Microsoft não é responsável</w:t>
      </w:r>
      <w:r w:rsidRPr="008D38F6">
        <w:rPr>
          <w:rFonts w:ascii="Tahoma" w:hAnsi="Tahoma" w:cs="Tahoma"/>
          <w:bCs/>
          <w:color w:val="000000"/>
          <w:sz w:val="18"/>
          <w:lang w:val="pt-BR"/>
        </w:rPr>
        <w:t xml:space="preserve"> por cupons perdidos, roubados ou utilizados indevidamente.</w:t>
      </w:r>
    </w:p>
    <w:p w:rsidR="00AC1997" w:rsidRPr="008D38F6" w:rsidRDefault="00AC1997" w:rsidP="002F529F">
      <w:pPr>
        <w:pStyle w:val="AppendixBodyText"/>
        <w:numPr>
          <w:ilvl w:val="0"/>
          <w:numId w:val="21"/>
        </w:numPr>
        <w:tabs>
          <w:tab w:val="num" w:pos="1440"/>
        </w:tabs>
        <w:rPr>
          <w:lang w:val="pt-BR"/>
        </w:rPr>
      </w:pPr>
      <w:r w:rsidRPr="008D38F6">
        <w:rPr>
          <w:rFonts w:ascii="Tahoma" w:hAnsi="Tahoma" w:cs="Tahoma"/>
          <w:bCs/>
          <w:color w:val="000000"/>
          <w:sz w:val="18"/>
          <w:lang w:val="pt-BR"/>
        </w:rPr>
        <w:t xml:space="preserve">Os serviços fornecidos sob cupons são </w:t>
      </w:r>
      <w:r w:rsidRPr="008D38F6">
        <w:rPr>
          <w:rFonts w:ascii="Tahoma" w:hAnsi="Tahoma" w:cs="Tahoma"/>
          <w:color w:val="000000"/>
          <w:sz w:val="18"/>
          <w:lang w:val="pt-BR"/>
        </w:rPr>
        <w:t>oferecidos de acordo com um contrato entre o Cliente e</w:t>
      </w:r>
      <w:r w:rsidR="00073D33" w:rsidRPr="008D38F6">
        <w:rPr>
          <w:rFonts w:ascii="Tahoma" w:hAnsi="Tahoma" w:cs="Tahoma"/>
          <w:color w:val="000000"/>
          <w:sz w:val="18"/>
          <w:lang w:val="pt-BR"/>
        </w:rPr>
        <w:t> </w:t>
      </w:r>
      <w:r w:rsidRPr="008D38F6">
        <w:rPr>
          <w:rFonts w:ascii="Tahoma" w:hAnsi="Tahoma" w:cs="Tahoma"/>
          <w:color w:val="000000"/>
          <w:sz w:val="18"/>
          <w:lang w:val="pt-BR"/>
        </w:rPr>
        <w:t>o</w:t>
      </w:r>
      <w:r w:rsidR="00073D33" w:rsidRPr="008D38F6">
        <w:rPr>
          <w:rFonts w:ascii="Tahoma" w:hAnsi="Tahoma" w:cs="Tahoma"/>
          <w:color w:val="000000"/>
          <w:sz w:val="18"/>
          <w:lang w:val="pt-BR"/>
        </w:rPr>
        <w:t> </w:t>
      </w:r>
      <w:r w:rsidRPr="008D38F6">
        <w:rPr>
          <w:rFonts w:ascii="Tahoma" w:hAnsi="Tahoma" w:cs="Tahoma"/>
          <w:color w:val="000000"/>
          <w:sz w:val="18"/>
          <w:lang w:val="pt-BR"/>
        </w:rPr>
        <w:t>Provedor Qualificado. A Microsoft não é responsável por nenhum trabalho ou falha da parte do</w:t>
      </w:r>
      <w:r w:rsidR="00073D33" w:rsidRPr="008D38F6">
        <w:rPr>
          <w:rFonts w:ascii="Tahoma" w:hAnsi="Tahoma" w:cs="Tahoma"/>
          <w:color w:val="000000"/>
          <w:sz w:val="18"/>
          <w:lang w:val="pt-BR"/>
        </w:rPr>
        <w:t> </w:t>
      </w:r>
      <w:r w:rsidRPr="008D38F6">
        <w:rPr>
          <w:rFonts w:ascii="Tahoma" w:hAnsi="Tahoma" w:cs="Tahoma"/>
          <w:color w:val="000000"/>
          <w:sz w:val="18"/>
          <w:lang w:val="pt-BR"/>
        </w:rPr>
        <w:t>Provedor Qualificado relacionado aos serviços.</w:t>
      </w:r>
    </w:p>
    <w:p w:rsidR="00F643B6" w:rsidRPr="008D38F6" w:rsidRDefault="00AC1997" w:rsidP="002C1048">
      <w:pPr>
        <w:pStyle w:val="AppendixBodyText"/>
        <w:numPr>
          <w:ilvl w:val="0"/>
          <w:numId w:val="90"/>
        </w:numPr>
        <w:rPr>
          <w:lang w:val="pt-BR"/>
        </w:rPr>
      </w:pPr>
      <w:r w:rsidRPr="008D38F6">
        <w:rPr>
          <w:rFonts w:ascii="Tahoma" w:hAnsi="Tahoma" w:cs="Tahoma"/>
          <w:bCs/>
          <w:color w:val="000000"/>
          <w:sz w:val="18"/>
          <w:lang w:val="pt-BR"/>
        </w:rPr>
        <w:t>Ao aceitar um compromisso de Serviços de Planejamento, os clientes</w:t>
      </w:r>
      <w:r w:rsidRPr="008D38F6">
        <w:rPr>
          <w:rFonts w:ascii="Tahoma" w:hAnsi="Tahoma" w:cs="Tahoma"/>
          <w:bCs/>
          <w:sz w:val="18"/>
          <w:lang w:val="pt-BR"/>
        </w:rPr>
        <w:t xml:space="preserve"> reconhecem que receberão uma pesquisa na conclusão do compromisso para fins de controle de qualidade.</w:t>
      </w:r>
    </w:p>
    <w:p w:rsidR="0008036A" w:rsidRPr="008D38F6" w:rsidRDefault="00F643B6" w:rsidP="00EF73D1">
      <w:pPr>
        <w:pStyle w:val="AppendixBodyText"/>
        <w:numPr>
          <w:ilvl w:val="0"/>
          <w:numId w:val="90"/>
        </w:numPr>
        <w:rPr>
          <w:lang w:val="pt-BR"/>
        </w:rPr>
      </w:pPr>
      <w:r w:rsidRPr="008D38F6">
        <w:rPr>
          <w:rFonts w:ascii="Tahoma" w:hAnsi="Tahoma" w:cs="Tahoma"/>
          <w:bCs/>
          <w:color w:val="000000"/>
          <w:sz w:val="18"/>
          <w:szCs w:val="18"/>
          <w:lang w:val="pt-BR"/>
        </w:rPr>
        <w:t>As tabelas acima mostram os dias de serviço disponíveis com base em um registro ou contrato integral de 3 anos.</w:t>
      </w:r>
      <w:r w:rsidR="00FB5496" w:rsidRPr="008D38F6">
        <w:rPr>
          <w:rFonts w:ascii="Tahoma" w:hAnsi="Tahoma" w:cs="Tahoma"/>
          <w:bCs/>
          <w:color w:val="000000"/>
          <w:sz w:val="18"/>
          <w:szCs w:val="18"/>
          <w:lang w:val="pt-BR"/>
        </w:rPr>
        <w:t xml:space="preserve"> </w:t>
      </w:r>
      <w:r w:rsidRPr="008D38F6">
        <w:rPr>
          <w:rFonts w:ascii="Tahoma" w:hAnsi="Tahoma" w:cs="Tahoma"/>
          <w:bCs/>
          <w:color w:val="000000"/>
          <w:sz w:val="18"/>
          <w:szCs w:val="18"/>
          <w:lang w:val="pt-BR"/>
        </w:rPr>
        <w:t>Os clientes que adquirirem a cobertura do Software Assurance por um ano r</w:t>
      </w:r>
      <w:r w:rsidRPr="008D38F6">
        <w:rPr>
          <w:rFonts w:ascii="Tahoma" w:hAnsi="Tahoma" w:cs="Tahoma"/>
          <w:color w:val="000000"/>
          <w:sz w:val="18"/>
          <w:szCs w:val="18"/>
          <w:lang w:val="pt-BR"/>
        </w:rPr>
        <w:t>eceberão um terço do número declarado de dias de serviço.</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Os clientes que adquirirem a cobertura do Software Assurance por dois anos receberão dois terços do número declarado de</w:t>
      </w:r>
      <w:r w:rsidR="00EF73D1" w:rsidRPr="008D38F6">
        <w:rPr>
          <w:rFonts w:ascii="Tahoma" w:hAnsi="Tahoma" w:cs="Tahoma"/>
          <w:color w:val="000000"/>
          <w:sz w:val="18"/>
          <w:szCs w:val="18"/>
          <w:lang w:val="pt-BR"/>
        </w:rPr>
        <w:t> </w:t>
      </w:r>
      <w:r w:rsidRPr="008D38F6">
        <w:rPr>
          <w:rFonts w:ascii="Tahoma" w:hAnsi="Tahoma" w:cs="Tahoma"/>
          <w:color w:val="000000"/>
          <w:sz w:val="18"/>
          <w:szCs w:val="18"/>
          <w:lang w:val="pt-BR"/>
        </w:rPr>
        <w:t>dias</w:t>
      </w:r>
      <w:r w:rsidR="002D000C" w:rsidRPr="008D38F6">
        <w:rPr>
          <w:rFonts w:ascii="Tahoma" w:hAnsi="Tahoma" w:cs="Tahoma"/>
          <w:color w:val="000000"/>
          <w:sz w:val="18"/>
          <w:szCs w:val="18"/>
          <w:lang w:val="pt-BR"/>
        </w:rPr>
        <w:t> </w:t>
      </w:r>
      <w:r w:rsidRPr="008D38F6">
        <w:rPr>
          <w:rFonts w:ascii="Tahoma" w:hAnsi="Tahoma" w:cs="Tahoma"/>
          <w:color w:val="000000"/>
          <w:sz w:val="18"/>
          <w:szCs w:val="18"/>
          <w:lang w:val="pt-BR"/>
        </w:rPr>
        <w:t>de serviço.</w:t>
      </w:r>
    </w:p>
    <w:p w:rsidR="0008036A" w:rsidRPr="008D38F6" w:rsidRDefault="0008036A" w:rsidP="005A141F">
      <w:pPr>
        <w:pStyle w:val="AppendixBodyText"/>
        <w:spacing w:after="0"/>
        <w:rPr>
          <w:rFonts w:ascii="Tahoma" w:hAnsi="Tahoma" w:cs="Tahoma"/>
          <w:sz w:val="18"/>
          <w:szCs w:val="18"/>
          <w:lang w:val="pt-BR"/>
        </w:rPr>
      </w:pPr>
    </w:p>
    <w:p w:rsidR="00023FE7" w:rsidRPr="008D38F6" w:rsidRDefault="00023FE7">
      <w:pPr>
        <w:pStyle w:val="AppendixBodyText"/>
        <w:rPr>
          <w:lang w:val="pt-BR"/>
        </w:rPr>
      </w:pPr>
      <w:r w:rsidRPr="008D38F6">
        <w:rPr>
          <w:rFonts w:ascii="Tahoma" w:hAnsi="Tahoma" w:cs="Tahoma"/>
          <w:bCs/>
          <w:color w:val="000000"/>
          <w:sz w:val="18"/>
          <w:lang w:val="pt-BR"/>
        </w:rPr>
        <w:t>Os resultados finais preenchidos enviados pelo Provedor Qualificado à Microsoft ao final do compromisso poderão ser</w:t>
      </w:r>
      <w:r w:rsidR="00073D33" w:rsidRPr="008D38F6">
        <w:rPr>
          <w:rFonts w:ascii="Tahoma" w:hAnsi="Tahoma" w:cs="Tahoma"/>
          <w:bCs/>
          <w:color w:val="000000"/>
          <w:sz w:val="18"/>
          <w:lang w:val="pt-BR"/>
        </w:rPr>
        <w:t> </w:t>
      </w:r>
      <w:r w:rsidRPr="008D38F6">
        <w:rPr>
          <w:rFonts w:ascii="Tahoma" w:hAnsi="Tahoma" w:cs="Tahoma"/>
          <w:bCs/>
          <w:color w:val="000000"/>
          <w:sz w:val="18"/>
          <w:lang w:val="pt-BR"/>
        </w:rPr>
        <w:t>usados para fins de controle de qualidade e compartilhados com a equipe de contas Microsoft do cliente para essa finalidade.</w:t>
      </w:r>
    </w:p>
    <w:p w:rsidR="00023FE7" w:rsidRPr="008D38F6" w:rsidRDefault="00023FE7" w:rsidP="005A141F">
      <w:pPr>
        <w:pStyle w:val="AppendixBodyText"/>
        <w:spacing w:after="0"/>
        <w:rPr>
          <w:rFonts w:ascii="Tahoma" w:hAnsi="Tahoma" w:cs="Tahoma"/>
          <w:sz w:val="18"/>
          <w:szCs w:val="18"/>
          <w:lang w:val="pt-BR"/>
        </w:rPr>
      </w:pPr>
    </w:p>
    <w:p w:rsidR="00023FE7" w:rsidRPr="00416070" w:rsidRDefault="00023FE7">
      <w:pPr>
        <w:pStyle w:val="Heading3"/>
      </w:pPr>
      <w:bookmarkStart w:id="774" w:name="_Toc328145999"/>
      <w:bookmarkStart w:id="775" w:name="_Toc336338230"/>
      <w:bookmarkStart w:id="776" w:name="_Toc352234298"/>
      <w:r w:rsidRPr="00416070">
        <w:rPr>
          <w:rFonts w:ascii="Tahoma" w:hAnsi="Tahoma"/>
          <w:sz w:val="24"/>
        </w:rPr>
        <w:t>Windows 8 Enterprise</w:t>
      </w:r>
      <w:bookmarkEnd w:id="774"/>
      <w:bookmarkEnd w:id="775"/>
      <w:bookmarkEnd w:id="776"/>
      <w:r w:rsidRPr="00416070">
        <w:rPr>
          <w:rFonts w:ascii="Tahoma" w:hAnsi="Tahoma"/>
          <w:sz w:val="24"/>
        </w:rPr>
        <w:t xml:space="preserve"> </w:t>
      </w:r>
    </w:p>
    <w:p w:rsidR="00023FE7" w:rsidRPr="008D38F6" w:rsidRDefault="00023FE7" w:rsidP="00077CE5">
      <w:pPr>
        <w:pStyle w:val="AppendixBodyText"/>
        <w:spacing w:after="0"/>
        <w:rPr>
          <w:rFonts w:ascii="Tahoma" w:hAnsi="Tahoma" w:cs="Tahoma"/>
          <w:sz w:val="18"/>
          <w:szCs w:val="18"/>
          <w:lang w:val="pt-BR"/>
        </w:rPr>
      </w:pPr>
    </w:p>
    <w:p w:rsidR="005A141F" w:rsidRPr="008D38F6" w:rsidRDefault="00324479" w:rsidP="005A141F">
      <w:pPr>
        <w:spacing w:after="60"/>
        <w:jc w:val="both"/>
        <w:rPr>
          <w:lang w:val="pt-BR"/>
        </w:rPr>
      </w:pPr>
      <w:r w:rsidRPr="008D38F6">
        <w:rPr>
          <w:rFonts w:cs="Tahoma"/>
          <w:b/>
          <w:szCs w:val="18"/>
          <w:lang w:val="pt-BR"/>
        </w:rPr>
        <w:t>Clientes qualificados do Software Assurance</w:t>
      </w:r>
    </w:p>
    <w:p w:rsidR="00324479" w:rsidRPr="008D38F6" w:rsidRDefault="00324479" w:rsidP="00324479">
      <w:pPr>
        <w:jc w:val="both"/>
        <w:rPr>
          <w:lang w:val="pt-BR"/>
        </w:rPr>
      </w:pPr>
      <w:r w:rsidRPr="008D38F6">
        <w:rPr>
          <w:rFonts w:cs="Tahoma"/>
          <w:szCs w:val="18"/>
          <w:lang w:val="pt-BR"/>
        </w:rPr>
        <w:t>Os clientes com cobertura do Software Assurance ativa para o sistema operacional de desktop Windows estão qualificados para este benefício. A Cobertura do Software Assurance para o sistema operacional de desktop Windows em um dispositivo licenciado fornece aos clientes a opção de usar o Windows 8 Enterprise em vez do Windows 8 Pro nesse dispositivo.</w:t>
      </w:r>
    </w:p>
    <w:p w:rsidR="00324479" w:rsidRPr="008D38F6" w:rsidRDefault="00324479" w:rsidP="00324479">
      <w:pPr>
        <w:jc w:val="both"/>
        <w:rPr>
          <w:lang w:val="pt-BR"/>
        </w:rPr>
      </w:pPr>
    </w:p>
    <w:p w:rsidR="00324479" w:rsidRPr="008D38F6" w:rsidRDefault="00324479" w:rsidP="00324479">
      <w:pPr>
        <w:jc w:val="both"/>
        <w:rPr>
          <w:lang w:val="pt-BR"/>
        </w:rPr>
      </w:pPr>
      <w:r w:rsidRPr="008D38F6">
        <w:rPr>
          <w:rFonts w:cs="Tahoma"/>
          <w:szCs w:val="18"/>
          <w:lang w:val="pt-BR"/>
        </w:rPr>
        <w:t>Os clientes qualificados o Software Assurance têm direito de usar o Windows 8 Enterprise conforme descrito nos Direitos de Uso de Produto. Os clientes não podem mover o Windows 8 Enterprise do dispositivo licenciado para outro dispositivo, exceto em conjunção com a reatribuição permitida de sua c</w:t>
      </w:r>
      <w:r w:rsidR="00EF73D1" w:rsidRPr="008D38F6">
        <w:rPr>
          <w:rFonts w:cs="Tahoma"/>
          <w:szCs w:val="18"/>
          <w:lang w:val="pt-BR"/>
        </w:rPr>
        <w:t>obertura do Software Assurance.</w:t>
      </w:r>
    </w:p>
    <w:p w:rsidR="00324479" w:rsidRPr="008D38F6" w:rsidRDefault="00324479" w:rsidP="00324479">
      <w:pPr>
        <w:jc w:val="both"/>
        <w:rPr>
          <w:lang w:val="pt-BR"/>
        </w:rPr>
      </w:pPr>
    </w:p>
    <w:p w:rsidR="005A141F" w:rsidRPr="008D38F6" w:rsidRDefault="00324479" w:rsidP="005A141F">
      <w:pPr>
        <w:spacing w:after="60"/>
        <w:jc w:val="both"/>
        <w:rPr>
          <w:lang w:val="pt-BR"/>
        </w:rPr>
      </w:pPr>
      <w:r w:rsidRPr="008D38F6">
        <w:rPr>
          <w:rFonts w:cs="Tahoma"/>
          <w:b/>
          <w:szCs w:val="18"/>
          <w:lang w:val="pt-BR"/>
        </w:rPr>
        <w:t>Clientes qualificados para os Benefícios de Serviços Online</w:t>
      </w:r>
    </w:p>
    <w:p w:rsidR="00324479" w:rsidRPr="008D38F6" w:rsidRDefault="0071258F" w:rsidP="00324479">
      <w:pPr>
        <w:jc w:val="both"/>
        <w:rPr>
          <w:lang w:val="pt-BR"/>
        </w:rPr>
      </w:pPr>
      <w:r w:rsidRPr="008D38F6">
        <w:rPr>
          <w:rFonts w:cs="Tahoma"/>
          <w:szCs w:val="18"/>
          <w:lang w:val="pt-BR"/>
        </w:rPr>
        <w:t>Os clientes do Windows Intune (Por Dispositivo) têm direito de usar o Windows 8 Enterprise conforme descrito nos</w:t>
      </w:r>
      <w:r w:rsidR="002D000C" w:rsidRPr="008D38F6">
        <w:rPr>
          <w:rFonts w:cs="Tahoma"/>
          <w:szCs w:val="18"/>
          <w:lang w:val="pt-BR"/>
        </w:rPr>
        <w:t> </w:t>
      </w:r>
      <w:r w:rsidRPr="008D38F6">
        <w:rPr>
          <w:rFonts w:cs="Tahoma"/>
          <w:szCs w:val="18"/>
          <w:lang w:val="pt-BR"/>
        </w:rPr>
        <w:t>Direitos de Uso de Produto. Consulte na seção Notas do Produto desta Lista de Produtos os termos aplicáveis à</w:t>
      </w:r>
      <w:r w:rsidR="003B2F3C" w:rsidRPr="008D38F6">
        <w:rPr>
          <w:rFonts w:cs="Tahoma"/>
          <w:szCs w:val="18"/>
          <w:lang w:val="pt-BR"/>
        </w:rPr>
        <w:t xml:space="preserve"> </w:t>
      </w:r>
      <w:r w:rsidRPr="008D38F6">
        <w:rPr>
          <w:rFonts w:cs="Tahoma"/>
          <w:szCs w:val="18"/>
          <w:lang w:val="pt-BR"/>
        </w:rPr>
        <w:t>aquisição e reatribuição de licenças do Windows Intune (Por Dispositivo).</w:t>
      </w:r>
    </w:p>
    <w:p w:rsidR="005A141F" w:rsidRPr="008D38F6" w:rsidDel="008900EB" w:rsidRDefault="005A141F" w:rsidP="00324479">
      <w:pPr>
        <w:jc w:val="both"/>
        <w:rPr>
          <w:lang w:val="pt-BR"/>
        </w:rPr>
      </w:pPr>
    </w:p>
    <w:p w:rsidR="00324479" w:rsidRPr="008D38F6" w:rsidRDefault="00324479" w:rsidP="00324479">
      <w:pPr>
        <w:spacing w:after="60"/>
        <w:rPr>
          <w:lang w:val="pt-BR"/>
        </w:rPr>
      </w:pPr>
      <w:r w:rsidRPr="008D38F6">
        <w:rPr>
          <w:rFonts w:cs="Tahoma"/>
          <w:szCs w:val="18"/>
          <w:lang w:val="pt-BR"/>
        </w:rPr>
        <w:t>Os clientes do Software Assurance e do Windows Intune (Por Dispositivo) podem usar a edição MUI das versões anteriores do sistema operacional de desktop Windows em vez do Windows 8 Enterprise.</w:t>
      </w:r>
    </w:p>
    <w:p w:rsidR="00870095" w:rsidRPr="00416070" w:rsidRDefault="00870095" w:rsidP="005A141F">
      <w:pPr>
        <w:pStyle w:val="Heading3"/>
        <w:spacing w:after="60"/>
        <w:rPr>
          <w:rFonts w:ascii="Tahoma" w:hAnsi="Tahoma" w:cs="Tahoma"/>
          <w:b w:val="0"/>
          <w:sz w:val="18"/>
          <w:szCs w:val="18"/>
        </w:rPr>
      </w:pPr>
    </w:p>
    <w:p w:rsidR="00870095" w:rsidRPr="00416070" w:rsidRDefault="00870095" w:rsidP="005A141F">
      <w:pPr>
        <w:pStyle w:val="Heading3"/>
        <w:spacing w:after="60"/>
      </w:pPr>
      <w:bookmarkStart w:id="777" w:name="_Toc336338231"/>
      <w:bookmarkStart w:id="778" w:name="_Toc352234299"/>
      <w:r w:rsidRPr="00416070">
        <w:rPr>
          <w:rFonts w:ascii="Tahoma" w:hAnsi="Tahoma"/>
          <w:sz w:val="18"/>
        </w:rPr>
        <w:t>Windows 8 Enterprise Sideloading</w:t>
      </w:r>
      <w:bookmarkEnd w:id="777"/>
      <w:bookmarkEnd w:id="778"/>
    </w:p>
    <w:p w:rsidR="00810479" w:rsidRPr="008D38F6" w:rsidRDefault="00870095" w:rsidP="00991DD4">
      <w:pPr>
        <w:jc w:val="both"/>
        <w:rPr>
          <w:lang w:val="pt-BR"/>
        </w:rPr>
      </w:pPr>
      <w:r w:rsidRPr="008D38F6">
        <w:rPr>
          <w:rFonts w:cs="Tahoma"/>
          <w:szCs w:val="18"/>
          <w:lang w:val="pt-BR"/>
        </w:rPr>
        <w:t>Consulte a nota do produto Windows 8 Enterprise Sideloading na seção “Notas do Produto” deste documento.</w:t>
      </w:r>
    </w:p>
    <w:p w:rsidR="00BD1A6A" w:rsidRPr="008D38F6" w:rsidRDefault="00BD1A6A">
      <w:pPr>
        <w:rPr>
          <w:lang w:val="pt-BR"/>
        </w:rPr>
      </w:pPr>
      <w:bookmarkStart w:id="779" w:name="_Toc336338232"/>
    </w:p>
    <w:p w:rsidR="00EA1BE9" w:rsidRPr="00416070" w:rsidRDefault="00EA1BE9" w:rsidP="005A141F">
      <w:pPr>
        <w:pStyle w:val="Heading3"/>
        <w:spacing w:after="60"/>
      </w:pPr>
      <w:bookmarkStart w:id="780" w:name="_Toc352234300"/>
      <w:r w:rsidRPr="00416070">
        <w:rPr>
          <w:rFonts w:ascii="Tahoma" w:hAnsi="Tahoma"/>
          <w:sz w:val="18"/>
        </w:rPr>
        <w:t>Licença de Assinatura do Windows Companion</w:t>
      </w:r>
      <w:bookmarkEnd w:id="779"/>
      <w:bookmarkEnd w:id="780"/>
    </w:p>
    <w:p w:rsidR="00EA1BE9" w:rsidRPr="008D38F6" w:rsidRDefault="00EA1BE9" w:rsidP="00870095">
      <w:pPr>
        <w:jc w:val="both"/>
        <w:rPr>
          <w:lang w:val="pt-BR"/>
        </w:rPr>
      </w:pPr>
      <w:r w:rsidRPr="008D38F6">
        <w:rPr>
          <w:rFonts w:cs="Tahoma"/>
          <w:szCs w:val="18"/>
          <w:lang w:val="pt-BR"/>
        </w:rPr>
        <w:t>Consulte a nota da Licença de Assinatura do Windows Companion na seção “Notas do Produto” deste documento.</w:t>
      </w:r>
    </w:p>
    <w:p w:rsidR="00870095" w:rsidRPr="008D38F6" w:rsidRDefault="00870095" w:rsidP="003C56F1">
      <w:pPr>
        <w:jc w:val="both"/>
        <w:rPr>
          <w:lang w:val="pt-BR"/>
        </w:rPr>
      </w:pPr>
    </w:p>
    <w:p w:rsidR="002D000C" w:rsidRPr="008D38F6" w:rsidRDefault="002D000C" w:rsidP="003C56F1">
      <w:pPr>
        <w:jc w:val="both"/>
        <w:rPr>
          <w:lang w:val="pt-BR"/>
        </w:rPr>
      </w:pPr>
    </w:p>
    <w:p w:rsidR="002D000C" w:rsidRPr="008D38F6" w:rsidRDefault="002D000C" w:rsidP="003C56F1">
      <w:pPr>
        <w:jc w:val="both"/>
        <w:rPr>
          <w:lang w:val="pt-BR"/>
        </w:rPr>
      </w:pPr>
    </w:p>
    <w:p w:rsidR="002D000C" w:rsidRPr="008D38F6" w:rsidRDefault="002D000C" w:rsidP="003C56F1">
      <w:pPr>
        <w:jc w:val="both"/>
        <w:rPr>
          <w:lang w:val="pt-BR"/>
        </w:rPr>
      </w:pPr>
    </w:p>
    <w:p w:rsidR="002D000C" w:rsidRPr="008D38F6" w:rsidRDefault="002D000C" w:rsidP="003C56F1">
      <w:pPr>
        <w:jc w:val="both"/>
        <w:rPr>
          <w:lang w:val="pt-BR"/>
        </w:rPr>
      </w:pPr>
    </w:p>
    <w:p w:rsidR="002D000C" w:rsidRPr="008D38F6" w:rsidRDefault="002D000C" w:rsidP="003C56F1">
      <w:pPr>
        <w:jc w:val="both"/>
        <w:rPr>
          <w:lang w:val="pt-BR"/>
        </w:rPr>
      </w:pPr>
    </w:p>
    <w:p w:rsidR="002D000C" w:rsidRPr="008D38F6" w:rsidRDefault="002D000C" w:rsidP="003C56F1">
      <w:pPr>
        <w:jc w:val="both"/>
        <w:rPr>
          <w:lang w:val="pt-BR"/>
        </w:rPr>
      </w:pPr>
    </w:p>
    <w:p w:rsidR="002D000C" w:rsidRPr="008D38F6" w:rsidRDefault="002D000C" w:rsidP="003C56F1">
      <w:pPr>
        <w:jc w:val="both"/>
        <w:rPr>
          <w:lang w:val="pt-BR"/>
        </w:rPr>
      </w:pPr>
    </w:p>
    <w:p w:rsidR="002D000C" w:rsidRPr="008D38F6" w:rsidRDefault="002D000C" w:rsidP="003C56F1">
      <w:pPr>
        <w:jc w:val="both"/>
        <w:rPr>
          <w:lang w:val="pt-BR"/>
        </w:rPr>
      </w:pPr>
    </w:p>
    <w:p w:rsidR="00023FE7" w:rsidRPr="00416070" w:rsidRDefault="00023FE7">
      <w:pPr>
        <w:pStyle w:val="Heading3"/>
      </w:pPr>
      <w:bookmarkStart w:id="781" w:name="_Toc328146000"/>
      <w:bookmarkStart w:id="782" w:name="_Toc336338233"/>
      <w:bookmarkStart w:id="783" w:name="_Toc352234301"/>
      <w:r w:rsidRPr="00416070">
        <w:rPr>
          <w:rFonts w:ascii="Tahoma" w:hAnsi="Tahoma" w:cs="Tahoma"/>
          <w:sz w:val="24"/>
        </w:rPr>
        <w:lastRenderedPageBreak/>
        <w:t>Cupons de Treinamento</w:t>
      </w:r>
      <w:bookmarkEnd w:id="781"/>
      <w:bookmarkEnd w:id="782"/>
      <w:bookmarkEnd w:id="783"/>
    </w:p>
    <w:p w:rsidR="00023FE7" w:rsidRPr="008D38F6" w:rsidRDefault="00023FE7" w:rsidP="003C56F1">
      <w:pPr>
        <w:pStyle w:val="AppendixBodyText"/>
        <w:spacing w:after="0"/>
        <w:rPr>
          <w:rFonts w:ascii="Tahoma" w:hAnsi="Tahoma" w:cs="Tahoma"/>
          <w:sz w:val="18"/>
          <w:szCs w:val="18"/>
          <w:lang w:val="pt-BR"/>
        </w:rPr>
      </w:pPr>
    </w:p>
    <w:p w:rsidR="00023FE7" w:rsidRPr="008D38F6" w:rsidRDefault="008A15A8" w:rsidP="00F528E5">
      <w:pPr>
        <w:pStyle w:val="AppendixBodyText"/>
        <w:spacing w:after="0"/>
        <w:rPr>
          <w:lang w:val="pt-BR"/>
        </w:rPr>
      </w:pPr>
      <w:r w:rsidRPr="008D38F6">
        <w:rPr>
          <w:rFonts w:ascii="Tahoma" w:hAnsi="Tahoma" w:cs="Tahoma"/>
          <w:sz w:val="18"/>
          <w:szCs w:val="18"/>
          <w:lang w:val="pt-BR"/>
        </w:rPr>
        <w:t>Os Clientes (que não forem Licença Academic Select, Select Plus para Academic, Open Value Subscription - Soluções Educacionais e Contrato para Campus e Contrato School) com Programa de Membros do Software Assurance nos pools de aplicativos ou produtos de sistemas estão qualificados para cupons de treinamento da Microsoft.</w:t>
      </w:r>
      <w:r w:rsidR="00FB5496" w:rsidRPr="008D38F6">
        <w:rPr>
          <w:rFonts w:ascii="Tahoma" w:hAnsi="Tahoma" w:cs="Tahoma"/>
          <w:sz w:val="18"/>
          <w:szCs w:val="18"/>
          <w:lang w:val="pt-BR"/>
        </w:rPr>
        <w:t xml:space="preserve"> </w:t>
      </w:r>
      <w:r w:rsidRPr="008D38F6">
        <w:rPr>
          <w:rFonts w:ascii="Tahoma" w:hAnsi="Tahoma" w:cs="Tahoma"/>
          <w:sz w:val="18"/>
          <w:szCs w:val="18"/>
          <w:lang w:val="pt-BR"/>
        </w:rPr>
        <w:t>Esses cupons qualificam os clientes a receberem cursos de um Microsoft Partner com uma Competência em Aprendizagem (Microsoft Learning Partner) por um número específico de dias de treinamento.</w:t>
      </w:r>
      <w:r w:rsidR="00FB5496" w:rsidRPr="008D38F6">
        <w:rPr>
          <w:rFonts w:ascii="Tahoma" w:hAnsi="Tahoma" w:cs="Tahoma"/>
          <w:sz w:val="18"/>
          <w:szCs w:val="18"/>
          <w:lang w:val="pt-BR"/>
        </w:rPr>
        <w:t xml:space="preserve"> </w:t>
      </w:r>
      <w:r w:rsidRPr="008D38F6">
        <w:rPr>
          <w:rFonts w:ascii="Tahoma" w:hAnsi="Tahoma" w:cs="Tahoma"/>
          <w:sz w:val="18"/>
          <w:szCs w:val="18"/>
          <w:lang w:val="pt-BR"/>
        </w:rPr>
        <w:t>O número de dias concedidos varia por programa e por número de licenças qualificadas para os quais o Software Assurance tiver sido adquirido.</w:t>
      </w:r>
      <w:r w:rsidR="00FB5496" w:rsidRPr="008D38F6">
        <w:rPr>
          <w:rFonts w:ascii="Tahoma" w:hAnsi="Tahoma" w:cs="Tahoma"/>
          <w:sz w:val="18"/>
          <w:szCs w:val="18"/>
          <w:lang w:val="pt-BR"/>
        </w:rPr>
        <w:t xml:space="preserve"> </w:t>
      </w:r>
      <w:r w:rsidRPr="008D38F6">
        <w:rPr>
          <w:rFonts w:ascii="Tahoma" w:hAnsi="Tahoma" w:cs="Tahoma"/>
          <w:sz w:val="18"/>
          <w:szCs w:val="18"/>
          <w:lang w:val="pt-BR"/>
        </w:rPr>
        <w:t>Após o</w:t>
      </w:r>
      <w:r w:rsidR="00E24B4A" w:rsidRPr="008D38F6">
        <w:rPr>
          <w:rFonts w:ascii="Tahoma" w:hAnsi="Tahoma" w:cs="Tahoma"/>
          <w:sz w:val="18"/>
          <w:szCs w:val="18"/>
          <w:lang w:val="pt-BR"/>
        </w:rPr>
        <w:t> </w:t>
      </w:r>
      <w:r w:rsidRPr="008D38F6">
        <w:rPr>
          <w:rFonts w:ascii="Tahoma" w:hAnsi="Tahoma" w:cs="Tahoma"/>
          <w:sz w:val="18"/>
          <w:szCs w:val="18"/>
          <w:lang w:val="pt-BR"/>
        </w:rPr>
        <w:t>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416070" w:rsidTr="00F76ED4">
        <w:trPr>
          <w:cantSplit/>
          <w:trHeight w:val="531"/>
        </w:trPr>
        <w:tc>
          <w:tcPr>
            <w:tcW w:w="3002" w:type="dxa"/>
            <w:shd w:val="clear" w:color="auto" w:fill="FFCC99"/>
            <w:vAlign w:val="center"/>
          </w:tcPr>
          <w:p w:rsidR="00F76ED4" w:rsidRPr="00416070" w:rsidRDefault="00F76ED4" w:rsidP="00F76ED4">
            <w:pPr>
              <w:pStyle w:val="AppendixTableHeadings"/>
              <w:keepNext/>
              <w:rPr>
                <w:rFonts w:ascii="Tahoma" w:hAnsi="Tahoma" w:cs="Tahoma"/>
                <w:sz w:val="20"/>
                <w:szCs w:val="20"/>
              </w:rPr>
            </w:pPr>
            <w:r w:rsidRPr="00416070">
              <w:rPr>
                <w:rFonts w:ascii="Tahoma" w:hAnsi="Tahoma" w:cs="Tahoma"/>
                <w:sz w:val="20"/>
                <w:szCs w:val="20"/>
              </w:rPr>
              <w:t>Programa</w:t>
            </w:r>
          </w:p>
        </w:tc>
        <w:tc>
          <w:tcPr>
            <w:tcW w:w="3150" w:type="dxa"/>
            <w:shd w:val="clear" w:color="auto" w:fill="FFCC99"/>
            <w:vAlign w:val="center"/>
          </w:tcPr>
          <w:p w:rsidR="00F76ED4" w:rsidRPr="008D38F6" w:rsidRDefault="00F76ED4" w:rsidP="00F76ED4">
            <w:pPr>
              <w:pStyle w:val="AppendixTableHeadings"/>
              <w:keepNext/>
              <w:rPr>
                <w:rFonts w:ascii="Tahoma" w:hAnsi="Tahoma" w:cs="Tahoma"/>
                <w:sz w:val="20"/>
                <w:szCs w:val="20"/>
                <w:lang w:val="pt-BR"/>
              </w:rPr>
            </w:pPr>
            <w:r w:rsidRPr="008D38F6">
              <w:rPr>
                <w:rFonts w:ascii="Tahoma" w:hAnsi="Tahoma" w:cs="Tahoma"/>
                <w:sz w:val="20"/>
                <w:szCs w:val="20"/>
                <w:lang w:val="pt-BR"/>
              </w:rPr>
              <w:t>Produtos do Pool de Aplicativos do Office System</w:t>
            </w:r>
            <w:r w:rsidRPr="008D38F6">
              <w:rPr>
                <w:rFonts w:ascii="Tahoma" w:hAnsi="Tahoma" w:cs="Tahoma"/>
                <w:b w:val="0"/>
                <w:i/>
                <w:sz w:val="20"/>
                <w:szCs w:val="20"/>
                <w:lang w:val="pt-BR"/>
              </w:rPr>
              <w:t xml:space="preserve"> </w:t>
            </w:r>
          </w:p>
        </w:tc>
        <w:tc>
          <w:tcPr>
            <w:tcW w:w="3240" w:type="dxa"/>
            <w:shd w:val="clear" w:color="auto" w:fill="FFCC99"/>
            <w:vAlign w:val="center"/>
          </w:tcPr>
          <w:p w:rsidR="00F76ED4" w:rsidRPr="00416070" w:rsidRDefault="00F76ED4" w:rsidP="00F76ED4">
            <w:pPr>
              <w:pStyle w:val="AppendixTableHeadings"/>
              <w:keepNext/>
              <w:rPr>
                <w:rFonts w:ascii="Tahoma" w:hAnsi="Tahoma" w:cs="Tahoma"/>
                <w:sz w:val="20"/>
                <w:szCs w:val="20"/>
              </w:rPr>
            </w:pPr>
            <w:r w:rsidRPr="00416070">
              <w:rPr>
                <w:rFonts w:ascii="Tahoma" w:hAnsi="Tahoma" w:cs="Tahoma"/>
                <w:sz w:val="20"/>
                <w:szCs w:val="20"/>
              </w:rPr>
              <w:t>Pool de Sistemas</w:t>
            </w:r>
          </w:p>
        </w:tc>
      </w:tr>
      <w:tr w:rsidR="00F76ED4" w:rsidRPr="00B06414" w:rsidTr="00F76ED4">
        <w:trPr>
          <w:cantSplit/>
          <w:trHeight w:val="236"/>
        </w:trPr>
        <w:tc>
          <w:tcPr>
            <w:tcW w:w="3002" w:type="dxa"/>
            <w:vAlign w:val="center"/>
          </w:tcPr>
          <w:p w:rsidR="00F76ED4" w:rsidRPr="00416070" w:rsidRDefault="00F76ED4" w:rsidP="00F76ED4">
            <w:pPr>
              <w:pStyle w:val="AppendixTableText"/>
              <w:keepNext/>
              <w:rPr>
                <w:rFonts w:ascii="Tahoma" w:hAnsi="Tahoma" w:cs="Tahoma"/>
              </w:rPr>
            </w:pPr>
            <w:r w:rsidRPr="00416070">
              <w:rPr>
                <w:rFonts w:ascii="Tahoma" w:hAnsi="Tahoma" w:cs="Tahoma"/>
              </w:rPr>
              <w:t>Open Value</w:t>
            </w:r>
          </w:p>
        </w:tc>
        <w:tc>
          <w:tcPr>
            <w:tcW w:w="3150" w:type="dxa"/>
            <w:vAlign w:val="center"/>
          </w:tcPr>
          <w:p w:rsidR="00F76ED4" w:rsidRPr="008D38F6" w:rsidRDefault="00F76ED4" w:rsidP="00E24B4A">
            <w:pPr>
              <w:pStyle w:val="AppendixTableText"/>
              <w:keepNext/>
              <w:rPr>
                <w:rFonts w:ascii="Tahoma" w:hAnsi="Tahoma" w:cs="Tahoma"/>
                <w:lang w:val="pt-BR"/>
              </w:rPr>
            </w:pPr>
            <w:r w:rsidRPr="008D38F6">
              <w:rPr>
                <w:rFonts w:ascii="Tahoma" w:hAnsi="Tahoma" w:cs="Tahoma"/>
                <w:lang w:val="pt-BR"/>
              </w:rPr>
              <w:t>2 dias por 50 licenças (máximo</w:t>
            </w:r>
            <w:r w:rsidR="00E24B4A" w:rsidRPr="008D38F6">
              <w:rPr>
                <w:rFonts w:ascii="Tahoma" w:hAnsi="Tahoma" w:cs="Tahoma"/>
                <w:lang w:val="pt-BR"/>
              </w:rPr>
              <w:t> </w:t>
            </w:r>
            <w:r w:rsidRPr="008D38F6">
              <w:rPr>
                <w:rFonts w:ascii="Tahoma" w:hAnsi="Tahoma" w:cs="Tahoma"/>
                <w:lang w:val="pt-BR"/>
              </w:rPr>
              <w:t>de</w:t>
            </w:r>
            <w:r w:rsidR="00E24B4A" w:rsidRPr="008D38F6">
              <w:rPr>
                <w:rFonts w:ascii="Tahoma" w:hAnsi="Tahoma" w:cs="Tahoma"/>
                <w:lang w:val="pt-BR"/>
              </w:rPr>
              <w:t> </w:t>
            </w:r>
            <w:r w:rsidRPr="008D38F6">
              <w:rPr>
                <w:rFonts w:ascii="Tahoma" w:hAnsi="Tahoma" w:cs="Tahoma"/>
                <w:lang w:val="pt-BR"/>
              </w:rPr>
              <w:t>20 dias)</w:t>
            </w:r>
          </w:p>
        </w:tc>
        <w:tc>
          <w:tcPr>
            <w:tcW w:w="3240" w:type="dxa"/>
            <w:vAlign w:val="center"/>
          </w:tcPr>
          <w:p w:rsidR="00F76ED4" w:rsidRPr="008D38F6" w:rsidRDefault="00F76ED4" w:rsidP="00F76ED4">
            <w:pPr>
              <w:pStyle w:val="AppendixTableText"/>
              <w:keepNext/>
              <w:rPr>
                <w:lang w:val="pt-BR"/>
              </w:rPr>
            </w:pPr>
            <w:r w:rsidRPr="008D38F6">
              <w:rPr>
                <w:rFonts w:ascii="Tahoma" w:hAnsi="Tahoma" w:cs="Tahoma"/>
                <w:lang w:val="pt-BR"/>
              </w:rPr>
              <w:t>1 dia por 50 licenças</w:t>
            </w:r>
          </w:p>
          <w:p w:rsidR="00F76ED4" w:rsidRPr="008D38F6" w:rsidRDefault="00F76ED4" w:rsidP="00F76ED4">
            <w:pPr>
              <w:pStyle w:val="AppendixTableText"/>
              <w:keepNext/>
              <w:rPr>
                <w:rFonts w:ascii="Tahoma" w:hAnsi="Tahoma" w:cs="Tahoma"/>
                <w:lang w:val="pt-BR"/>
              </w:rPr>
            </w:pPr>
            <w:r w:rsidRPr="008D38F6">
              <w:rPr>
                <w:rFonts w:ascii="Tahoma" w:hAnsi="Tahoma" w:cs="Tahoma"/>
                <w:lang w:val="pt-BR"/>
              </w:rPr>
              <w:t>(máximo de 10 dias)</w:t>
            </w: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AD1F35" w:rsidRDefault="00F76ED4" w:rsidP="00F76ED4">
            <w:pPr>
              <w:pStyle w:val="AppendixTableHeadings"/>
              <w:keepNext/>
              <w:rPr>
                <w:rFonts w:ascii="Tahoma" w:hAnsi="Tahoma" w:cs="Tahoma"/>
                <w:b w:val="0"/>
              </w:rPr>
            </w:pPr>
            <w:r w:rsidRPr="00AD1F35">
              <w:rPr>
                <w:rFonts w:ascii="Tahoma" w:hAnsi="Tahoma" w:cs="Tahoma"/>
                <w:b w:val="0"/>
              </w:rPr>
              <w:t>1</w:t>
            </w:r>
            <w:r w:rsidR="00FE2B0B" w:rsidRPr="00AD1F35">
              <w:rPr>
                <w:rFonts w:ascii="Tahoma" w:hAnsi="Tahoma" w:cs="Tahoma"/>
                <w:b w:val="0"/>
              </w:rPr>
              <w:t xml:space="preserve"> – </w:t>
            </w:r>
            <w:r w:rsidRPr="00AD1F35">
              <w:rPr>
                <w:rFonts w:ascii="Tahoma" w:hAnsi="Tahoma" w:cs="Tahoma"/>
                <w:b w:val="0"/>
              </w:rPr>
              <w:t>249</w:t>
            </w:r>
          </w:p>
        </w:tc>
        <w:tc>
          <w:tcPr>
            <w:tcW w:w="3150" w:type="dxa"/>
            <w:vAlign w:val="center"/>
          </w:tcPr>
          <w:p w:rsidR="00F76ED4" w:rsidRPr="00416070" w:rsidRDefault="00F76ED4" w:rsidP="00F76ED4">
            <w:pPr>
              <w:pStyle w:val="AppendixTableText"/>
              <w:keepNext/>
              <w:rPr>
                <w:rFonts w:ascii="Tahoma" w:hAnsi="Tahoma" w:cs="Tahoma"/>
              </w:rPr>
            </w:pPr>
            <w:r w:rsidRPr="00416070">
              <w:rPr>
                <w:rFonts w:ascii="Tahoma" w:hAnsi="Tahoma" w:cs="Tahoma"/>
              </w:rPr>
              <w:t>2 dias por 50 licenças</w:t>
            </w:r>
          </w:p>
        </w:tc>
        <w:tc>
          <w:tcPr>
            <w:tcW w:w="3240" w:type="dxa"/>
            <w:vAlign w:val="center"/>
          </w:tcPr>
          <w:p w:rsidR="00F76ED4" w:rsidRPr="00FE2B0B" w:rsidRDefault="00F76ED4" w:rsidP="00FE2B0B">
            <w:pPr>
              <w:pStyle w:val="AppendixTableText"/>
              <w:keepNext/>
            </w:pPr>
            <w:r w:rsidRPr="00416070">
              <w:rPr>
                <w:rFonts w:ascii="Tahoma" w:hAnsi="Tahoma" w:cs="Tahoma"/>
              </w:rPr>
              <w:t>1 dia por 50 licenças</w:t>
            </w: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416070" w:rsidRDefault="00F76ED4" w:rsidP="00073D33">
            <w:pPr>
              <w:pStyle w:val="AppendixTableText"/>
              <w:keepNext/>
              <w:rPr>
                <w:rFonts w:ascii="Tahoma" w:hAnsi="Tahoma" w:cs="Tahoma"/>
              </w:rPr>
            </w:pPr>
            <w:r w:rsidRPr="00416070">
              <w:rPr>
                <w:rFonts w:ascii="Tahoma" w:hAnsi="Tahoma" w:cs="Tahoma"/>
              </w:rPr>
              <w:t>250</w:t>
            </w:r>
            <w:r w:rsidR="00FE2B0B" w:rsidRPr="00416070">
              <w:rPr>
                <w:rFonts w:ascii="Tahoma" w:hAnsi="Tahoma" w:cs="Tahoma"/>
              </w:rPr>
              <w:t xml:space="preserve"> – </w:t>
            </w:r>
            <w:r w:rsidRPr="00416070">
              <w:rPr>
                <w:rFonts w:ascii="Tahoma" w:hAnsi="Tahoma" w:cs="Tahoma"/>
              </w:rPr>
              <w:t>2</w:t>
            </w:r>
            <w:r w:rsidR="00073D33" w:rsidRPr="00416070">
              <w:rPr>
                <w:rFonts w:ascii="Tahoma" w:hAnsi="Tahoma" w:cs="Tahoma"/>
              </w:rPr>
              <w:t>.</w:t>
            </w:r>
            <w:r w:rsidRPr="00416070">
              <w:rPr>
                <w:rFonts w:ascii="Tahoma" w:hAnsi="Tahoma" w:cs="Tahoma"/>
              </w:rPr>
              <w:t xml:space="preserve">399 </w:t>
            </w:r>
          </w:p>
        </w:tc>
        <w:tc>
          <w:tcPr>
            <w:tcW w:w="3150" w:type="dxa"/>
            <w:vAlign w:val="center"/>
          </w:tcPr>
          <w:p w:rsidR="00F76ED4" w:rsidRPr="00416070" w:rsidRDefault="00F76ED4" w:rsidP="00F76ED4">
            <w:pPr>
              <w:pStyle w:val="AppendixTableText"/>
              <w:keepNext/>
            </w:pPr>
            <w:r w:rsidRPr="00416070">
              <w:rPr>
                <w:rFonts w:ascii="Tahoma" w:hAnsi="Tahoma" w:cs="Tahoma"/>
              </w:rPr>
              <w:t>20 dias por</w:t>
            </w:r>
          </w:p>
          <w:p w:rsidR="00F76ED4" w:rsidRPr="00416070" w:rsidRDefault="00F76ED4" w:rsidP="00F76ED4">
            <w:pPr>
              <w:pStyle w:val="AppendixTableText"/>
              <w:keepNext/>
              <w:rPr>
                <w:rFonts w:ascii="Tahoma" w:hAnsi="Tahoma" w:cs="Tahoma"/>
              </w:rPr>
            </w:pPr>
            <w:r w:rsidRPr="00416070">
              <w:rPr>
                <w:rFonts w:ascii="Tahoma" w:hAnsi="Tahoma" w:cs="Tahoma"/>
              </w:rPr>
              <w:t>registro aplicável</w:t>
            </w:r>
          </w:p>
        </w:tc>
        <w:tc>
          <w:tcPr>
            <w:tcW w:w="3240" w:type="dxa"/>
            <w:vAlign w:val="center"/>
          </w:tcPr>
          <w:p w:rsidR="00F76ED4" w:rsidRPr="00416070" w:rsidRDefault="00F76ED4" w:rsidP="00F76ED4">
            <w:pPr>
              <w:pStyle w:val="AppendixTableText"/>
              <w:keepNext/>
            </w:pPr>
            <w:r w:rsidRPr="00416070">
              <w:rPr>
                <w:rFonts w:ascii="Tahoma" w:hAnsi="Tahoma" w:cs="Tahoma"/>
              </w:rPr>
              <w:t>10 dias por</w:t>
            </w:r>
          </w:p>
          <w:p w:rsidR="00F76ED4" w:rsidRPr="00416070" w:rsidRDefault="00F76ED4" w:rsidP="00F76ED4">
            <w:pPr>
              <w:pStyle w:val="AppendixTableText"/>
              <w:keepNext/>
              <w:rPr>
                <w:rFonts w:ascii="Tahoma" w:hAnsi="Tahoma" w:cs="Tahoma"/>
              </w:rPr>
            </w:pPr>
            <w:r w:rsidRPr="00416070">
              <w:rPr>
                <w:rFonts w:ascii="Tahoma" w:hAnsi="Tahoma" w:cs="Tahoma"/>
              </w:rPr>
              <w:t>registro aplicável</w:t>
            </w: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416070" w:rsidRDefault="00F76ED4" w:rsidP="00073D33">
            <w:pPr>
              <w:pStyle w:val="AppendixTableText"/>
              <w:keepNext/>
              <w:rPr>
                <w:rFonts w:ascii="Tahoma" w:hAnsi="Tahoma" w:cs="Tahoma"/>
                <w:i/>
              </w:rPr>
            </w:pPr>
            <w:r w:rsidRPr="00416070">
              <w:rPr>
                <w:rFonts w:ascii="Tahoma" w:hAnsi="Tahoma" w:cs="Tahoma"/>
              </w:rPr>
              <w:t>2</w:t>
            </w:r>
            <w:r w:rsidR="00073D33" w:rsidRPr="00416070">
              <w:rPr>
                <w:rFonts w:ascii="Tahoma" w:hAnsi="Tahoma" w:cs="Tahoma"/>
              </w:rPr>
              <w:t>.</w:t>
            </w:r>
            <w:r w:rsidRPr="00416070">
              <w:rPr>
                <w:rFonts w:ascii="Tahoma" w:hAnsi="Tahoma" w:cs="Tahoma"/>
              </w:rPr>
              <w:t>400</w:t>
            </w:r>
            <w:r w:rsidR="00FE2B0B" w:rsidRPr="00416070">
              <w:rPr>
                <w:rFonts w:ascii="Tahoma" w:hAnsi="Tahoma" w:cs="Tahoma"/>
              </w:rPr>
              <w:t xml:space="preserve"> – </w:t>
            </w:r>
            <w:r w:rsidRPr="00416070">
              <w:rPr>
                <w:rFonts w:ascii="Tahoma" w:hAnsi="Tahoma" w:cs="Tahoma"/>
              </w:rPr>
              <w:t>5</w:t>
            </w:r>
            <w:r w:rsidR="00073D33" w:rsidRPr="00416070">
              <w:rPr>
                <w:rFonts w:ascii="Tahoma" w:hAnsi="Tahoma" w:cs="Tahoma"/>
              </w:rPr>
              <w:t>.</w:t>
            </w:r>
            <w:r w:rsidRPr="00416070">
              <w:rPr>
                <w:rFonts w:ascii="Tahoma" w:hAnsi="Tahoma" w:cs="Tahoma"/>
              </w:rPr>
              <w:t>999</w:t>
            </w:r>
          </w:p>
        </w:tc>
        <w:tc>
          <w:tcPr>
            <w:tcW w:w="3150" w:type="dxa"/>
            <w:vAlign w:val="center"/>
          </w:tcPr>
          <w:p w:rsidR="00F76ED4" w:rsidRPr="00416070" w:rsidRDefault="00F76ED4" w:rsidP="00F76ED4">
            <w:pPr>
              <w:pStyle w:val="AppendixTableText"/>
              <w:keepNext/>
            </w:pPr>
            <w:r w:rsidRPr="00416070">
              <w:rPr>
                <w:rFonts w:ascii="Tahoma" w:hAnsi="Tahoma" w:cs="Tahoma"/>
              </w:rPr>
              <w:t xml:space="preserve">30 dias* </w:t>
            </w:r>
          </w:p>
          <w:p w:rsidR="00F76ED4" w:rsidRPr="00416070" w:rsidRDefault="00F76ED4" w:rsidP="00F76ED4">
            <w:pPr>
              <w:pStyle w:val="AppendixTableText"/>
              <w:keepNext/>
              <w:rPr>
                <w:rFonts w:ascii="Tahoma" w:hAnsi="Tahoma" w:cs="Tahoma"/>
              </w:rPr>
            </w:pPr>
          </w:p>
        </w:tc>
        <w:tc>
          <w:tcPr>
            <w:tcW w:w="3240" w:type="dxa"/>
            <w:vAlign w:val="center"/>
          </w:tcPr>
          <w:p w:rsidR="00F76ED4" w:rsidRPr="00416070" w:rsidRDefault="00F76ED4" w:rsidP="00F76ED4">
            <w:pPr>
              <w:pStyle w:val="AppendixTableText"/>
              <w:keepNext/>
            </w:pPr>
            <w:r w:rsidRPr="00416070">
              <w:rPr>
                <w:rFonts w:ascii="Tahoma" w:hAnsi="Tahoma" w:cs="Tahoma"/>
              </w:rPr>
              <w:t xml:space="preserve">15 dias* </w:t>
            </w:r>
          </w:p>
          <w:p w:rsidR="00F76ED4" w:rsidRPr="00416070" w:rsidRDefault="00F76ED4" w:rsidP="00F76ED4">
            <w:pPr>
              <w:pStyle w:val="AppendixTableText"/>
              <w:keepNext/>
              <w:rPr>
                <w:rFonts w:ascii="Tahoma" w:hAnsi="Tahoma" w:cs="Tahoma"/>
              </w:rPr>
            </w:pP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416070" w:rsidRDefault="00F76ED4" w:rsidP="00073D33">
            <w:pPr>
              <w:pStyle w:val="AppendixTableText"/>
              <w:keepNext/>
              <w:rPr>
                <w:rFonts w:ascii="Tahoma" w:hAnsi="Tahoma" w:cs="Tahoma"/>
                <w:i/>
              </w:rPr>
            </w:pPr>
            <w:r w:rsidRPr="00416070">
              <w:rPr>
                <w:rFonts w:ascii="Tahoma" w:hAnsi="Tahoma" w:cs="Tahoma"/>
              </w:rPr>
              <w:t>6</w:t>
            </w:r>
            <w:r w:rsidR="00073D33" w:rsidRPr="00416070">
              <w:rPr>
                <w:rFonts w:ascii="Tahoma" w:hAnsi="Tahoma" w:cs="Tahoma"/>
              </w:rPr>
              <w:t>.</w:t>
            </w:r>
            <w:r w:rsidRPr="00416070">
              <w:rPr>
                <w:rFonts w:ascii="Tahoma" w:hAnsi="Tahoma" w:cs="Tahoma"/>
              </w:rPr>
              <w:t>000</w:t>
            </w:r>
            <w:r w:rsidR="00FE2B0B" w:rsidRPr="00416070">
              <w:rPr>
                <w:rFonts w:ascii="Tahoma" w:hAnsi="Tahoma" w:cs="Tahoma"/>
              </w:rPr>
              <w:t xml:space="preserve"> – </w:t>
            </w:r>
            <w:r w:rsidRPr="00416070">
              <w:rPr>
                <w:rFonts w:ascii="Tahoma" w:hAnsi="Tahoma" w:cs="Tahoma"/>
              </w:rPr>
              <w:t>14</w:t>
            </w:r>
            <w:r w:rsidR="00073D33" w:rsidRPr="00416070">
              <w:rPr>
                <w:rFonts w:ascii="Tahoma" w:hAnsi="Tahoma" w:cs="Tahoma"/>
              </w:rPr>
              <w:t>.</w:t>
            </w:r>
            <w:r w:rsidRPr="00416070">
              <w:rPr>
                <w:rFonts w:ascii="Tahoma" w:hAnsi="Tahoma" w:cs="Tahoma"/>
              </w:rPr>
              <w:t>999</w:t>
            </w:r>
          </w:p>
        </w:tc>
        <w:tc>
          <w:tcPr>
            <w:tcW w:w="3150" w:type="dxa"/>
            <w:vAlign w:val="center"/>
          </w:tcPr>
          <w:p w:rsidR="00F76ED4" w:rsidRPr="00416070" w:rsidRDefault="00F76ED4" w:rsidP="00F76ED4">
            <w:pPr>
              <w:pStyle w:val="AppendixTableText"/>
              <w:keepNext/>
            </w:pPr>
            <w:r w:rsidRPr="00416070">
              <w:rPr>
                <w:rFonts w:ascii="Tahoma" w:hAnsi="Tahoma" w:cs="Tahoma"/>
              </w:rPr>
              <w:t xml:space="preserve">50 dias* </w:t>
            </w:r>
          </w:p>
          <w:p w:rsidR="00F76ED4" w:rsidRPr="00416070" w:rsidRDefault="00F76ED4" w:rsidP="00F76ED4">
            <w:pPr>
              <w:pStyle w:val="AppendixTableText"/>
              <w:keepNext/>
              <w:rPr>
                <w:rFonts w:ascii="Tahoma" w:hAnsi="Tahoma" w:cs="Tahoma"/>
              </w:rPr>
            </w:pPr>
          </w:p>
        </w:tc>
        <w:tc>
          <w:tcPr>
            <w:tcW w:w="3240" w:type="dxa"/>
            <w:vAlign w:val="center"/>
          </w:tcPr>
          <w:p w:rsidR="00F76ED4" w:rsidRPr="00416070" w:rsidRDefault="00F76ED4" w:rsidP="00F76ED4">
            <w:pPr>
              <w:pStyle w:val="AppendixTableText"/>
              <w:keepNext/>
            </w:pPr>
            <w:r w:rsidRPr="00416070">
              <w:rPr>
                <w:rFonts w:ascii="Tahoma" w:hAnsi="Tahoma" w:cs="Tahoma"/>
              </w:rPr>
              <w:t xml:space="preserve">25 dias* </w:t>
            </w:r>
          </w:p>
          <w:p w:rsidR="00F76ED4" w:rsidRPr="00416070" w:rsidRDefault="00F76ED4" w:rsidP="00F76ED4">
            <w:pPr>
              <w:pStyle w:val="AppendixTableText"/>
              <w:keepNext/>
              <w:rPr>
                <w:rFonts w:ascii="Tahoma" w:hAnsi="Tahoma" w:cs="Tahoma"/>
              </w:rPr>
            </w:pP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416070" w:rsidRDefault="00F76ED4" w:rsidP="00073D33">
            <w:pPr>
              <w:pStyle w:val="AppendixTableText"/>
              <w:keepNext/>
              <w:rPr>
                <w:rFonts w:ascii="Tahoma" w:hAnsi="Tahoma" w:cs="Tahoma"/>
                <w:i/>
              </w:rPr>
            </w:pPr>
            <w:r w:rsidRPr="00416070">
              <w:rPr>
                <w:rFonts w:ascii="Tahoma" w:hAnsi="Tahoma" w:cs="Tahoma"/>
              </w:rPr>
              <w:t>15</w:t>
            </w:r>
            <w:r w:rsidR="00073D33" w:rsidRPr="00416070">
              <w:rPr>
                <w:rFonts w:ascii="Tahoma" w:hAnsi="Tahoma" w:cs="Tahoma"/>
              </w:rPr>
              <w:t>.</w:t>
            </w:r>
            <w:r w:rsidRPr="00416070">
              <w:rPr>
                <w:rFonts w:ascii="Tahoma" w:hAnsi="Tahoma" w:cs="Tahoma"/>
              </w:rPr>
              <w:t>000 – 29</w:t>
            </w:r>
            <w:r w:rsidR="00073D33" w:rsidRPr="00416070">
              <w:rPr>
                <w:rFonts w:ascii="Tahoma" w:hAnsi="Tahoma" w:cs="Tahoma"/>
              </w:rPr>
              <w:t>.</w:t>
            </w:r>
            <w:r w:rsidRPr="00416070">
              <w:rPr>
                <w:rFonts w:ascii="Tahoma" w:hAnsi="Tahoma" w:cs="Tahoma"/>
              </w:rPr>
              <w:t>999</w:t>
            </w:r>
          </w:p>
        </w:tc>
        <w:tc>
          <w:tcPr>
            <w:tcW w:w="3150" w:type="dxa"/>
            <w:vAlign w:val="center"/>
          </w:tcPr>
          <w:p w:rsidR="00F76ED4" w:rsidRPr="00416070" w:rsidRDefault="00F76ED4" w:rsidP="00F76ED4">
            <w:pPr>
              <w:pStyle w:val="AppendixTableText"/>
              <w:keepNext/>
            </w:pPr>
            <w:r w:rsidRPr="00416070">
              <w:rPr>
                <w:rFonts w:ascii="Tahoma" w:hAnsi="Tahoma" w:cs="Tahoma"/>
              </w:rPr>
              <w:t xml:space="preserve">110 dias* </w:t>
            </w:r>
          </w:p>
          <w:p w:rsidR="00F76ED4" w:rsidRPr="00416070" w:rsidRDefault="00F76ED4" w:rsidP="00F76ED4">
            <w:pPr>
              <w:pStyle w:val="AppendixTableText"/>
              <w:keepNext/>
              <w:rPr>
                <w:rFonts w:ascii="Tahoma" w:hAnsi="Tahoma" w:cs="Tahoma"/>
              </w:rPr>
            </w:pPr>
          </w:p>
        </w:tc>
        <w:tc>
          <w:tcPr>
            <w:tcW w:w="3240" w:type="dxa"/>
            <w:vAlign w:val="center"/>
          </w:tcPr>
          <w:p w:rsidR="00F76ED4" w:rsidRPr="00416070" w:rsidRDefault="00F76ED4" w:rsidP="00F76ED4">
            <w:pPr>
              <w:pStyle w:val="AppendixTableText"/>
              <w:keepNext/>
            </w:pPr>
            <w:r w:rsidRPr="00416070">
              <w:rPr>
                <w:rFonts w:ascii="Tahoma" w:hAnsi="Tahoma" w:cs="Tahoma"/>
              </w:rPr>
              <w:t xml:space="preserve">55 dias* </w:t>
            </w:r>
          </w:p>
          <w:p w:rsidR="00F76ED4" w:rsidRPr="00416070" w:rsidRDefault="00F76ED4" w:rsidP="00F76ED4">
            <w:pPr>
              <w:pStyle w:val="AppendixTableText"/>
              <w:keepNext/>
              <w:rPr>
                <w:rFonts w:ascii="Tahoma" w:hAnsi="Tahoma" w:cs="Tahoma"/>
              </w:rPr>
            </w:pP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416070" w:rsidRDefault="00F76ED4" w:rsidP="00073D33">
            <w:pPr>
              <w:pStyle w:val="AppendixTableText"/>
              <w:keepNext/>
              <w:rPr>
                <w:rFonts w:ascii="Tahoma" w:hAnsi="Tahoma" w:cs="Tahoma"/>
                <w:i/>
              </w:rPr>
            </w:pPr>
            <w:r w:rsidRPr="00416070">
              <w:rPr>
                <w:rFonts w:ascii="Tahoma" w:hAnsi="Tahoma" w:cs="Tahoma"/>
              </w:rPr>
              <w:t>30</w:t>
            </w:r>
            <w:r w:rsidR="00073D33" w:rsidRPr="00416070">
              <w:rPr>
                <w:rFonts w:ascii="Tahoma" w:hAnsi="Tahoma" w:cs="Tahoma"/>
              </w:rPr>
              <w:t>.</w:t>
            </w:r>
            <w:r w:rsidRPr="00416070">
              <w:rPr>
                <w:rFonts w:ascii="Tahoma" w:hAnsi="Tahoma" w:cs="Tahoma"/>
              </w:rPr>
              <w:t>000 – 49</w:t>
            </w:r>
            <w:r w:rsidR="00073D33" w:rsidRPr="00416070">
              <w:rPr>
                <w:rFonts w:ascii="Tahoma" w:hAnsi="Tahoma" w:cs="Tahoma"/>
              </w:rPr>
              <w:t>.</w:t>
            </w:r>
            <w:r w:rsidRPr="00416070">
              <w:rPr>
                <w:rFonts w:ascii="Tahoma" w:hAnsi="Tahoma" w:cs="Tahoma"/>
              </w:rPr>
              <w:t>999</w:t>
            </w:r>
          </w:p>
        </w:tc>
        <w:tc>
          <w:tcPr>
            <w:tcW w:w="3150" w:type="dxa"/>
            <w:vAlign w:val="center"/>
          </w:tcPr>
          <w:p w:rsidR="00F76ED4" w:rsidRPr="00416070" w:rsidRDefault="00F76ED4" w:rsidP="00F76ED4">
            <w:pPr>
              <w:pStyle w:val="AppendixTableText"/>
              <w:keepNext/>
            </w:pPr>
            <w:r w:rsidRPr="00416070">
              <w:rPr>
                <w:rFonts w:ascii="Tahoma" w:hAnsi="Tahoma" w:cs="Tahoma"/>
              </w:rPr>
              <w:t xml:space="preserve">160 dias* </w:t>
            </w:r>
          </w:p>
          <w:p w:rsidR="00F76ED4" w:rsidRPr="00416070" w:rsidRDefault="00F76ED4" w:rsidP="00F76ED4">
            <w:pPr>
              <w:pStyle w:val="AppendixTableText"/>
              <w:keepNext/>
              <w:rPr>
                <w:rFonts w:ascii="Tahoma" w:hAnsi="Tahoma" w:cs="Tahoma"/>
              </w:rPr>
            </w:pPr>
          </w:p>
        </w:tc>
        <w:tc>
          <w:tcPr>
            <w:tcW w:w="3240" w:type="dxa"/>
            <w:vAlign w:val="center"/>
          </w:tcPr>
          <w:p w:rsidR="00F76ED4" w:rsidRPr="00416070" w:rsidRDefault="00F76ED4" w:rsidP="00F76ED4">
            <w:pPr>
              <w:pStyle w:val="AppendixTableText"/>
              <w:keepNext/>
            </w:pPr>
            <w:r w:rsidRPr="00416070">
              <w:rPr>
                <w:rFonts w:ascii="Tahoma" w:hAnsi="Tahoma" w:cs="Tahoma"/>
              </w:rPr>
              <w:t>80 dias*</w:t>
            </w:r>
          </w:p>
          <w:p w:rsidR="00F76ED4" w:rsidRPr="00416070" w:rsidRDefault="00F76ED4" w:rsidP="00F76ED4">
            <w:pPr>
              <w:pStyle w:val="AppendixTableText"/>
              <w:keepNext/>
              <w:rPr>
                <w:rFonts w:ascii="Tahoma" w:hAnsi="Tahoma" w:cs="Tahoma"/>
              </w:rPr>
            </w:pP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416070" w:rsidRDefault="00F76ED4" w:rsidP="00073D33">
            <w:pPr>
              <w:pStyle w:val="AppendixTableText"/>
              <w:keepNext/>
              <w:rPr>
                <w:rFonts w:ascii="Tahoma" w:hAnsi="Tahoma" w:cs="Tahoma"/>
                <w:i/>
              </w:rPr>
            </w:pPr>
            <w:r w:rsidRPr="00416070">
              <w:rPr>
                <w:rFonts w:ascii="Tahoma" w:hAnsi="Tahoma" w:cs="Tahoma"/>
              </w:rPr>
              <w:t>50</w:t>
            </w:r>
            <w:r w:rsidR="00073D33" w:rsidRPr="00416070">
              <w:rPr>
                <w:rFonts w:ascii="Tahoma" w:hAnsi="Tahoma" w:cs="Tahoma"/>
              </w:rPr>
              <w:t>.</w:t>
            </w:r>
            <w:r w:rsidRPr="00416070">
              <w:rPr>
                <w:rFonts w:ascii="Tahoma" w:hAnsi="Tahoma" w:cs="Tahoma"/>
              </w:rPr>
              <w:t>000 – 99</w:t>
            </w:r>
            <w:r w:rsidR="00073D33" w:rsidRPr="00416070">
              <w:rPr>
                <w:rFonts w:ascii="Tahoma" w:hAnsi="Tahoma" w:cs="Tahoma"/>
              </w:rPr>
              <w:t>.</w:t>
            </w:r>
            <w:r w:rsidRPr="00416070">
              <w:rPr>
                <w:rFonts w:ascii="Tahoma" w:hAnsi="Tahoma" w:cs="Tahoma"/>
              </w:rPr>
              <w:t>999</w:t>
            </w:r>
          </w:p>
        </w:tc>
        <w:tc>
          <w:tcPr>
            <w:tcW w:w="3150" w:type="dxa"/>
            <w:vAlign w:val="center"/>
          </w:tcPr>
          <w:p w:rsidR="00F76ED4" w:rsidRPr="00416070" w:rsidRDefault="00F76ED4" w:rsidP="00F76ED4">
            <w:pPr>
              <w:pStyle w:val="AppendixTableText"/>
              <w:keepNext/>
            </w:pPr>
            <w:r w:rsidRPr="00416070">
              <w:rPr>
                <w:rFonts w:ascii="Tahoma" w:hAnsi="Tahoma" w:cs="Tahoma"/>
              </w:rPr>
              <w:t>250 dias*</w:t>
            </w:r>
          </w:p>
          <w:p w:rsidR="00F76ED4" w:rsidRPr="00416070" w:rsidRDefault="00F76ED4" w:rsidP="00F76ED4">
            <w:pPr>
              <w:pStyle w:val="AppendixTableText"/>
              <w:keepNext/>
              <w:rPr>
                <w:rFonts w:ascii="Tahoma" w:hAnsi="Tahoma" w:cs="Tahoma"/>
              </w:rPr>
            </w:pPr>
          </w:p>
        </w:tc>
        <w:tc>
          <w:tcPr>
            <w:tcW w:w="3240" w:type="dxa"/>
            <w:vAlign w:val="center"/>
          </w:tcPr>
          <w:p w:rsidR="00F76ED4" w:rsidRPr="00416070" w:rsidRDefault="00F76ED4" w:rsidP="00F76ED4">
            <w:pPr>
              <w:pStyle w:val="AppendixTableText"/>
              <w:keepNext/>
            </w:pPr>
            <w:r w:rsidRPr="00416070">
              <w:rPr>
                <w:rFonts w:ascii="Tahoma" w:hAnsi="Tahoma" w:cs="Tahoma"/>
              </w:rPr>
              <w:t xml:space="preserve">125 dias* </w:t>
            </w:r>
          </w:p>
          <w:p w:rsidR="00F76ED4" w:rsidRPr="00416070" w:rsidRDefault="00F76ED4" w:rsidP="00F76ED4">
            <w:pPr>
              <w:pStyle w:val="AppendixTableText"/>
              <w:keepNext/>
              <w:rPr>
                <w:rFonts w:ascii="Tahoma" w:hAnsi="Tahoma" w:cs="Tahoma"/>
              </w:rPr>
            </w:pP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416070" w:rsidRDefault="00F76ED4" w:rsidP="00073D33">
            <w:pPr>
              <w:pStyle w:val="AppendixTableHeadings"/>
              <w:keepNext/>
              <w:rPr>
                <w:rFonts w:ascii="Tahoma" w:hAnsi="Tahoma" w:cs="Tahoma"/>
                <w:b w:val="0"/>
              </w:rPr>
            </w:pPr>
            <w:r w:rsidRPr="00416070">
              <w:rPr>
                <w:rFonts w:ascii="Tahoma" w:hAnsi="Tahoma" w:cs="Tahoma"/>
                <w:b w:val="0"/>
              </w:rPr>
              <w:t>100</w:t>
            </w:r>
            <w:r w:rsidR="00073D33" w:rsidRPr="00416070">
              <w:rPr>
                <w:rFonts w:ascii="Tahoma" w:hAnsi="Tahoma" w:cs="Tahoma"/>
                <w:b w:val="0"/>
              </w:rPr>
              <w:t>.</w:t>
            </w:r>
            <w:r w:rsidRPr="00416070">
              <w:rPr>
                <w:rFonts w:ascii="Tahoma" w:hAnsi="Tahoma" w:cs="Tahoma"/>
                <w:b w:val="0"/>
              </w:rPr>
              <w:t>000 – 199</w:t>
            </w:r>
            <w:r w:rsidR="00073D33" w:rsidRPr="00416070">
              <w:rPr>
                <w:rFonts w:ascii="Tahoma" w:hAnsi="Tahoma" w:cs="Tahoma"/>
                <w:b w:val="0"/>
              </w:rPr>
              <w:t>.</w:t>
            </w:r>
            <w:r w:rsidRPr="00416070">
              <w:rPr>
                <w:rFonts w:ascii="Tahoma" w:hAnsi="Tahoma" w:cs="Tahoma"/>
                <w:b w:val="0"/>
              </w:rPr>
              <w:t>999</w:t>
            </w:r>
          </w:p>
        </w:tc>
        <w:tc>
          <w:tcPr>
            <w:tcW w:w="3150" w:type="dxa"/>
            <w:vAlign w:val="center"/>
          </w:tcPr>
          <w:p w:rsidR="00F76ED4" w:rsidRPr="00416070" w:rsidRDefault="00F76ED4" w:rsidP="00F76ED4">
            <w:pPr>
              <w:pStyle w:val="AppendixTableText"/>
              <w:keepNext/>
            </w:pPr>
            <w:r w:rsidRPr="00416070">
              <w:rPr>
                <w:rFonts w:ascii="Tahoma" w:hAnsi="Tahoma" w:cs="Tahoma"/>
              </w:rPr>
              <w:t>400 dias*</w:t>
            </w:r>
          </w:p>
          <w:p w:rsidR="00F76ED4" w:rsidRPr="00416070" w:rsidRDefault="00F76ED4" w:rsidP="00F76ED4">
            <w:pPr>
              <w:pStyle w:val="AppendixTableText"/>
              <w:keepNext/>
              <w:rPr>
                <w:rFonts w:ascii="Tahoma" w:hAnsi="Tahoma" w:cs="Tahoma"/>
              </w:rPr>
            </w:pPr>
          </w:p>
        </w:tc>
        <w:tc>
          <w:tcPr>
            <w:tcW w:w="3240" w:type="dxa"/>
            <w:vAlign w:val="center"/>
          </w:tcPr>
          <w:p w:rsidR="00F76ED4" w:rsidRPr="00416070" w:rsidRDefault="00F76ED4" w:rsidP="00F76ED4">
            <w:pPr>
              <w:pStyle w:val="AppendixTableText"/>
              <w:keepNext/>
            </w:pPr>
            <w:r w:rsidRPr="00416070">
              <w:rPr>
                <w:rFonts w:ascii="Tahoma" w:hAnsi="Tahoma" w:cs="Tahoma"/>
              </w:rPr>
              <w:t>200 dias*</w:t>
            </w:r>
          </w:p>
          <w:p w:rsidR="00F76ED4" w:rsidRPr="00416070" w:rsidRDefault="00F76ED4" w:rsidP="00F76ED4">
            <w:pPr>
              <w:pStyle w:val="AppendixTableText"/>
              <w:keepNext/>
              <w:rPr>
                <w:rFonts w:ascii="Tahoma" w:hAnsi="Tahoma" w:cs="Tahoma"/>
              </w:rPr>
            </w:pP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416070" w:rsidRDefault="00F76ED4" w:rsidP="00073D33">
            <w:pPr>
              <w:pStyle w:val="AppendixTableHeadings"/>
              <w:keepNext/>
              <w:rPr>
                <w:rFonts w:ascii="Tahoma" w:hAnsi="Tahoma" w:cs="Tahoma"/>
                <w:b w:val="0"/>
              </w:rPr>
            </w:pPr>
            <w:r w:rsidRPr="00416070">
              <w:rPr>
                <w:rFonts w:ascii="Tahoma" w:hAnsi="Tahoma" w:cs="Tahoma"/>
                <w:b w:val="0"/>
              </w:rPr>
              <w:t>200</w:t>
            </w:r>
            <w:r w:rsidR="00073D33" w:rsidRPr="00416070">
              <w:rPr>
                <w:rFonts w:ascii="Tahoma" w:hAnsi="Tahoma" w:cs="Tahoma"/>
                <w:b w:val="0"/>
              </w:rPr>
              <w:t>.</w:t>
            </w:r>
            <w:r w:rsidRPr="00416070">
              <w:rPr>
                <w:rFonts w:ascii="Tahoma" w:hAnsi="Tahoma" w:cs="Tahoma"/>
                <w:b w:val="0"/>
              </w:rPr>
              <w:t>000 – 399</w:t>
            </w:r>
            <w:r w:rsidR="00073D33" w:rsidRPr="00416070">
              <w:rPr>
                <w:rFonts w:ascii="Tahoma" w:hAnsi="Tahoma" w:cs="Tahoma"/>
                <w:b w:val="0"/>
              </w:rPr>
              <w:t>.</w:t>
            </w:r>
            <w:r w:rsidRPr="00416070">
              <w:rPr>
                <w:rFonts w:ascii="Tahoma" w:hAnsi="Tahoma" w:cs="Tahoma"/>
                <w:b w:val="0"/>
              </w:rPr>
              <w:t>999</w:t>
            </w:r>
          </w:p>
        </w:tc>
        <w:tc>
          <w:tcPr>
            <w:tcW w:w="3150" w:type="dxa"/>
            <w:vAlign w:val="center"/>
          </w:tcPr>
          <w:p w:rsidR="00F76ED4" w:rsidRPr="00416070" w:rsidRDefault="00F76ED4" w:rsidP="00F76ED4">
            <w:pPr>
              <w:pStyle w:val="AppendixTableText"/>
              <w:keepNext/>
            </w:pPr>
            <w:r w:rsidRPr="00416070">
              <w:rPr>
                <w:rFonts w:ascii="Tahoma" w:hAnsi="Tahoma" w:cs="Tahoma"/>
              </w:rPr>
              <w:t>600 dias*</w:t>
            </w:r>
          </w:p>
          <w:p w:rsidR="00F76ED4" w:rsidRPr="00416070" w:rsidRDefault="00F76ED4" w:rsidP="00F76ED4">
            <w:pPr>
              <w:pStyle w:val="AppendixTableText"/>
              <w:keepNext/>
              <w:rPr>
                <w:rFonts w:ascii="Tahoma" w:hAnsi="Tahoma" w:cs="Tahoma"/>
              </w:rPr>
            </w:pPr>
          </w:p>
        </w:tc>
        <w:tc>
          <w:tcPr>
            <w:tcW w:w="3240" w:type="dxa"/>
            <w:vAlign w:val="center"/>
          </w:tcPr>
          <w:p w:rsidR="00F76ED4" w:rsidRPr="00416070" w:rsidRDefault="00F76ED4" w:rsidP="00F76ED4">
            <w:pPr>
              <w:pStyle w:val="AppendixTableText"/>
              <w:keepNext/>
            </w:pPr>
            <w:r w:rsidRPr="00416070">
              <w:rPr>
                <w:rFonts w:ascii="Tahoma" w:hAnsi="Tahoma" w:cs="Tahoma"/>
              </w:rPr>
              <w:t>300 dias*</w:t>
            </w:r>
          </w:p>
          <w:p w:rsidR="00F76ED4" w:rsidRPr="00416070" w:rsidRDefault="00F76ED4" w:rsidP="00F76ED4">
            <w:pPr>
              <w:pStyle w:val="AppendixTableText"/>
              <w:keepNext/>
              <w:rPr>
                <w:rFonts w:ascii="Tahoma" w:hAnsi="Tahoma" w:cs="Tahoma"/>
              </w:rPr>
            </w:pP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416070" w:rsidRDefault="00F76ED4" w:rsidP="00073D33">
            <w:pPr>
              <w:pStyle w:val="AppendixTableHeadings"/>
              <w:keepNext/>
              <w:rPr>
                <w:rFonts w:ascii="Tahoma" w:hAnsi="Tahoma" w:cs="Tahoma"/>
                <w:b w:val="0"/>
              </w:rPr>
            </w:pPr>
            <w:r w:rsidRPr="00416070">
              <w:rPr>
                <w:rFonts w:ascii="Tahoma" w:hAnsi="Tahoma" w:cs="Tahoma"/>
                <w:b w:val="0"/>
              </w:rPr>
              <w:t>400</w:t>
            </w:r>
            <w:r w:rsidR="00073D33" w:rsidRPr="00416070">
              <w:rPr>
                <w:rFonts w:ascii="Tahoma" w:hAnsi="Tahoma" w:cs="Tahoma"/>
                <w:b w:val="0"/>
              </w:rPr>
              <w:t>.</w:t>
            </w:r>
            <w:r w:rsidRPr="00416070">
              <w:rPr>
                <w:rFonts w:ascii="Tahoma" w:hAnsi="Tahoma" w:cs="Tahoma"/>
                <w:b w:val="0"/>
              </w:rPr>
              <w:t>000 – 599</w:t>
            </w:r>
            <w:r w:rsidR="00073D33" w:rsidRPr="00416070">
              <w:rPr>
                <w:rFonts w:ascii="Tahoma" w:hAnsi="Tahoma" w:cs="Tahoma"/>
                <w:b w:val="0"/>
              </w:rPr>
              <w:t>.</w:t>
            </w:r>
            <w:r w:rsidRPr="00416070">
              <w:rPr>
                <w:rFonts w:ascii="Tahoma" w:hAnsi="Tahoma" w:cs="Tahoma"/>
                <w:b w:val="0"/>
              </w:rPr>
              <w:t>999</w:t>
            </w:r>
          </w:p>
        </w:tc>
        <w:tc>
          <w:tcPr>
            <w:tcW w:w="3150" w:type="dxa"/>
            <w:vAlign w:val="center"/>
          </w:tcPr>
          <w:p w:rsidR="00F76ED4" w:rsidRPr="00416070" w:rsidRDefault="00F76ED4" w:rsidP="00F76ED4">
            <w:pPr>
              <w:pStyle w:val="AppendixTableText"/>
              <w:keepNext/>
            </w:pPr>
            <w:r w:rsidRPr="00416070">
              <w:rPr>
                <w:rFonts w:ascii="Tahoma" w:hAnsi="Tahoma" w:cs="Tahoma"/>
              </w:rPr>
              <w:t>800 dias*</w:t>
            </w:r>
          </w:p>
          <w:p w:rsidR="00F76ED4" w:rsidRPr="00416070" w:rsidRDefault="00F76ED4" w:rsidP="00F76ED4">
            <w:pPr>
              <w:pStyle w:val="AppendixTableText"/>
              <w:keepNext/>
              <w:rPr>
                <w:rFonts w:ascii="Tahoma" w:hAnsi="Tahoma" w:cs="Tahoma"/>
              </w:rPr>
            </w:pPr>
          </w:p>
        </w:tc>
        <w:tc>
          <w:tcPr>
            <w:tcW w:w="3240" w:type="dxa"/>
            <w:vAlign w:val="center"/>
          </w:tcPr>
          <w:p w:rsidR="00F76ED4" w:rsidRPr="00416070" w:rsidRDefault="00F76ED4" w:rsidP="00F76ED4">
            <w:pPr>
              <w:pStyle w:val="AppendixTableText"/>
              <w:keepNext/>
            </w:pPr>
            <w:r w:rsidRPr="00416070">
              <w:rPr>
                <w:rFonts w:ascii="Tahoma" w:hAnsi="Tahoma" w:cs="Tahoma"/>
              </w:rPr>
              <w:t>400 dias*</w:t>
            </w:r>
          </w:p>
          <w:p w:rsidR="00F76ED4" w:rsidRPr="00416070" w:rsidRDefault="00F76ED4" w:rsidP="00F76ED4">
            <w:pPr>
              <w:pStyle w:val="AppendixTableText"/>
              <w:keepNext/>
              <w:rPr>
                <w:rFonts w:ascii="Tahoma" w:hAnsi="Tahoma" w:cs="Tahoma"/>
              </w:rPr>
            </w:pPr>
          </w:p>
        </w:tc>
      </w:tr>
      <w:tr w:rsidR="00F76ED4" w:rsidRPr="00416070" w:rsidTr="00F76ED4">
        <w:trPr>
          <w:cantSplit/>
          <w:trHeight w:val="236"/>
        </w:trPr>
        <w:tc>
          <w:tcPr>
            <w:tcW w:w="3002" w:type="dxa"/>
            <w:vAlign w:val="center"/>
          </w:tcPr>
          <w:p w:rsidR="00F76ED4" w:rsidRPr="00416070" w:rsidRDefault="00F76ED4" w:rsidP="00F76ED4">
            <w:pPr>
              <w:pStyle w:val="AppendixTableHeadings"/>
              <w:keepNext/>
            </w:pPr>
            <w:r w:rsidRPr="00416070">
              <w:rPr>
                <w:rFonts w:ascii="Tahoma" w:hAnsi="Tahoma" w:cs="Tahoma"/>
                <w:b w:val="0"/>
              </w:rPr>
              <w:t>SAM</w:t>
            </w:r>
          </w:p>
          <w:p w:rsidR="00F76ED4" w:rsidRPr="00416070" w:rsidRDefault="00F76ED4" w:rsidP="00073D33">
            <w:pPr>
              <w:pStyle w:val="AppendixTableHeadings"/>
              <w:keepNext/>
              <w:rPr>
                <w:rFonts w:ascii="Tahoma" w:hAnsi="Tahoma" w:cs="Tahoma"/>
                <w:b w:val="0"/>
              </w:rPr>
            </w:pPr>
            <w:r w:rsidRPr="00416070">
              <w:rPr>
                <w:rFonts w:ascii="Tahoma" w:hAnsi="Tahoma" w:cs="Tahoma"/>
                <w:b w:val="0"/>
              </w:rPr>
              <w:t>600</w:t>
            </w:r>
            <w:r w:rsidR="00073D33" w:rsidRPr="00416070">
              <w:rPr>
                <w:rFonts w:ascii="Tahoma" w:hAnsi="Tahoma" w:cs="Tahoma"/>
                <w:b w:val="0"/>
              </w:rPr>
              <w:t>.</w:t>
            </w:r>
            <w:r w:rsidRPr="00416070">
              <w:rPr>
                <w:rFonts w:ascii="Tahoma" w:hAnsi="Tahoma" w:cs="Tahoma"/>
                <w:b w:val="0"/>
              </w:rPr>
              <w:t>000 +</w:t>
            </w:r>
          </w:p>
        </w:tc>
        <w:tc>
          <w:tcPr>
            <w:tcW w:w="3150" w:type="dxa"/>
            <w:vAlign w:val="center"/>
          </w:tcPr>
          <w:p w:rsidR="00F76ED4" w:rsidRPr="00416070" w:rsidRDefault="00F76ED4" w:rsidP="00F76ED4">
            <w:pPr>
              <w:pStyle w:val="AppendixTableText"/>
              <w:keepNext/>
            </w:pPr>
            <w:r w:rsidRPr="00416070">
              <w:rPr>
                <w:rFonts w:ascii="Tahoma" w:hAnsi="Tahoma" w:cs="Tahoma"/>
              </w:rPr>
              <w:t xml:space="preserve">1400 dias* </w:t>
            </w:r>
          </w:p>
          <w:p w:rsidR="00F76ED4" w:rsidRPr="00416070" w:rsidRDefault="00F76ED4" w:rsidP="00F76ED4">
            <w:pPr>
              <w:pStyle w:val="AppendixTableText"/>
              <w:keepNext/>
              <w:rPr>
                <w:rFonts w:ascii="Tahoma" w:hAnsi="Tahoma" w:cs="Tahoma"/>
              </w:rPr>
            </w:pPr>
          </w:p>
        </w:tc>
        <w:tc>
          <w:tcPr>
            <w:tcW w:w="3240" w:type="dxa"/>
            <w:vAlign w:val="center"/>
          </w:tcPr>
          <w:p w:rsidR="00F76ED4" w:rsidRPr="00416070" w:rsidRDefault="00F76ED4" w:rsidP="00F76ED4">
            <w:pPr>
              <w:pStyle w:val="AppendixTableText"/>
              <w:keepNext/>
            </w:pPr>
            <w:r w:rsidRPr="00416070">
              <w:rPr>
                <w:rFonts w:ascii="Tahoma" w:hAnsi="Tahoma" w:cs="Tahoma"/>
              </w:rPr>
              <w:t>700 dias*</w:t>
            </w:r>
          </w:p>
          <w:p w:rsidR="00F76ED4" w:rsidRPr="00416070" w:rsidRDefault="00F76ED4" w:rsidP="00F76ED4">
            <w:pPr>
              <w:pStyle w:val="AppendixTableText"/>
              <w:keepNext/>
              <w:rPr>
                <w:rFonts w:ascii="Tahoma" w:hAnsi="Tahoma" w:cs="Tahoma"/>
              </w:rPr>
            </w:pPr>
          </w:p>
        </w:tc>
      </w:tr>
    </w:tbl>
    <w:p w:rsidR="00F528E5" w:rsidRPr="00416070" w:rsidRDefault="00F528E5" w:rsidP="003C56F1">
      <w:pPr>
        <w:pStyle w:val="AppendixBodyText"/>
        <w:spacing w:after="0"/>
        <w:rPr>
          <w:rFonts w:ascii="Tahoma" w:hAnsi="Tahoma" w:cs="Tahoma"/>
          <w:sz w:val="18"/>
          <w:szCs w:val="18"/>
        </w:rPr>
      </w:pPr>
    </w:p>
    <w:p w:rsidR="00E24B4A" w:rsidRPr="00416070" w:rsidRDefault="00E24B4A">
      <w:pPr>
        <w:pStyle w:val="AppendixFlushBulletedList"/>
        <w:tabs>
          <w:tab w:val="clear" w:pos="360"/>
          <w:tab w:val="num" w:pos="0"/>
        </w:tabs>
        <w:ind w:left="0" w:firstLine="0"/>
        <w:rPr>
          <w:rFonts w:ascii="Tahoma" w:hAnsi="Tahoma" w:cs="Tahoma"/>
          <w:sz w:val="18"/>
          <w:szCs w:val="18"/>
        </w:rPr>
      </w:pPr>
    </w:p>
    <w:p w:rsidR="00E762F8" w:rsidRPr="008D38F6" w:rsidRDefault="00023FE7">
      <w:pPr>
        <w:pStyle w:val="AppendixFlushBulletedList"/>
        <w:tabs>
          <w:tab w:val="clear" w:pos="360"/>
          <w:tab w:val="num" w:pos="0"/>
        </w:tabs>
        <w:ind w:left="0" w:firstLine="0"/>
        <w:rPr>
          <w:lang w:val="pt-BR"/>
        </w:rPr>
      </w:pPr>
      <w:r w:rsidRPr="008D38F6">
        <w:rPr>
          <w:rFonts w:ascii="Tahoma" w:hAnsi="Tahoma" w:cs="Tahoma"/>
          <w:sz w:val="18"/>
          <w:szCs w:val="18"/>
          <w:lang w:val="pt-BR"/>
        </w:rPr>
        <w:t>O número mínimo de licenças com Software Assurance necessário para a qualificação do Cupom de Treinamento varia por programa.</w:t>
      </w:r>
    </w:p>
    <w:p w:rsidR="00C65D66" w:rsidRPr="008D38F6" w:rsidRDefault="00C65D66" w:rsidP="00C65D66">
      <w:pPr>
        <w:tabs>
          <w:tab w:val="left" w:pos="10440"/>
        </w:tabs>
        <w:spacing w:before="120"/>
        <w:ind w:right="306"/>
        <w:rPr>
          <w:lang w:val="pt-BR"/>
        </w:rPr>
      </w:pPr>
      <w:r w:rsidRPr="008D38F6">
        <w:rPr>
          <w:rFonts w:eastAsia="Calibri" w:cs="Tahoma"/>
          <w:b/>
          <w:i/>
          <w:color w:val="000000"/>
          <w:sz w:val="16"/>
          <w:szCs w:val="16"/>
          <w:lang w:val="pt-BR"/>
        </w:rPr>
        <w:t>Observação:</w:t>
      </w:r>
      <w:r w:rsidRPr="008D38F6">
        <w:rPr>
          <w:rFonts w:eastAsia="Calibri" w:cs="Tahoma"/>
          <w:i/>
          <w:color w:val="000000"/>
          <w:sz w:val="16"/>
          <w:szCs w:val="16"/>
          <w:lang w:val="pt-BR"/>
        </w:rPr>
        <w:t xml:space="preserve"> créditos de treinamento disponíveis com base em um registro ou contrato integral de 3 anos (consulte a seguir para obter detalhes).</w:t>
      </w:r>
      <w:r w:rsidR="00FB5496" w:rsidRPr="008D38F6">
        <w:rPr>
          <w:rFonts w:eastAsia="Calibri" w:cs="Tahoma"/>
          <w:i/>
          <w:color w:val="000000"/>
          <w:sz w:val="16"/>
          <w:szCs w:val="16"/>
          <w:lang w:val="pt-BR"/>
        </w:rPr>
        <w:t xml:space="preserve"> </w:t>
      </w:r>
    </w:p>
    <w:p w:rsidR="00C65D66" w:rsidRPr="008D38F6" w:rsidRDefault="00C65D66" w:rsidP="00C65D66">
      <w:pPr>
        <w:spacing w:after="60"/>
        <w:rPr>
          <w:lang w:val="pt-BR"/>
        </w:rPr>
      </w:pPr>
      <w:r w:rsidRPr="008D38F6">
        <w:rPr>
          <w:rFonts w:eastAsia="Calibri" w:cs="Tahoma"/>
          <w:i/>
          <w:color w:val="000000"/>
          <w:sz w:val="16"/>
          <w:szCs w:val="16"/>
          <w:lang w:val="pt-BR"/>
        </w:rPr>
        <w:t>Consulte a tabela com o Aplicativo do Office System</w:t>
      </w:r>
    </w:p>
    <w:p w:rsidR="00EC05F0" w:rsidRPr="008D38F6" w:rsidRDefault="00C65D66" w:rsidP="00F76ED4">
      <w:pPr>
        <w:tabs>
          <w:tab w:val="left" w:pos="10440"/>
        </w:tabs>
        <w:ind w:right="302"/>
        <w:rPr>
          <w:lang w:val="pt-BR"/>
        </w:rPr>
      </w:pPr>
      <w:r w:rsidRPr="008D38F6">
        <w:rPr>
          <w:rFonts w:eastAsia="Calibri" w:cs="Tahoma"/>
          <w:i/>
          <w:color w:val="000000"/>
          <w:sz w:val="16"/>
          <w:szCs w:val="16"/>
          <w:lang w:val="pt-BR"/>
        </w:rPr>
        <w:t>*Número de dias por registro ou contrato aplicável.</w:t>
      </w:r>
    </w:p>
    <w:p w:rsidR="009D26EE" w:rsidRPr="008D38F6" w:rsidRDefault="009D26EE" w:rsidP="003C56F1">
      <w:pPr>
        <w:pStyle w:val="AppendixBodyText"/>
        <w:spacing w:after="0"/>
        <w:rPr>
          <w:rFonts w:ascii="Tahoma" w:hAnsi="Tahoma" w:cs="Tahoma"/>
          <w:sz w:val="18"/>
          <w:szCs w:val="18"/>
          <w:lang w:val="pt-BR"/>
        </w:rPr>
      </w:pP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Nem todos os cursos estão disponíveis em todos os idiomas.</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As políticas locais estabelecidas por Microsoft Learning Partner se aplicam.</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Os Gerentes de Benefícios podem revogar um cupom com status atribuído até a data de cancelamento da aula estabelecida pelo Microsoft Learning Partner.</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lastRenderedPageBreak/>
        <w:t>Todos os dias de curso não cobertos pelo cupom deverão ser pagos pela pessoa que receber o</w:t>
      </w:r>
      <w:r w:rsidR="00E24B4A" w:rsidRPr="008D38F6">
        <w:rPr>
          <w:rFonts w:ascii="Tahoma" w:hAnsi="Tahoma" w:cs="Tahoma"/>
          <w:bCs/>
          <w:sz w:val="18"/>
          <w:szCs w:val="18"/>
          <w:lang w:val="pt-BR"/>
        </w:rPr>
        <w:t> </w:t>
      </w:r>
      <w:r w:rsidRPr="008D38F6">
        <w:rPr>
          <w:rFonts w:ascii="Tahoma" w:hAnsi="Tahoma" w:cs="Tahoma"/>
          <w:bCs/>
          <w:sz w:val="18"/>
          <w:szCs w:val="18"/>
          <w:lang w:val="pt-BR"/>
        </w:rPr>
        <w:t>treinamento.</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Todos os dias do cupom em excesso quanto ao número de dias aplicados a uma aula em particular serão devolvidos ao pool de dias disponível para serem reatribuídos pelos Gerentes de Benefícios.</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Os cursos fornecidos em um formato acelerado exigem um cupom com número de dias equivalente ao número de dias do curso para uma entrega normal do curso.</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O cupom pode ser resgatado apenas pelos dias de treinamento ministrados por instrutor com Microsoft Learning Partners qualificados nos cursos aprovados.</w:t>
      </w:r>
      <w:r w:rsidR="00FB5496" w:rsidRPr="008D38F6">
        <w:rPr>
          <w:rFonts w:ascii="Tahoma" w:hAnsi="Tahoma" w:cs="Tahoma"/>
          <w:bCs/>
          <w:sz w:val="18"/>
          <w:szCs w:val="18"/>
          <w:lang w:val="pt-BR"/>
        </w:rPr>
        <w:t xml:space="preserve"> </w:t>
      </w:r>
      <w:r w:rsidRPr="008D38F6">
        <w:rPr>
          <w:rFonts w:ascii="Tahoma" w:hAnsi="Tahoma" w:cs="Tahoma"/>
          <w:bCs/>
          <w:sz w:val="18"/>
          <w:szCs w:val="18"/>
          <w:lang w:val="pt-BR"/>
        </w:rPr>
        <w:t>Os cursos personalizados (diferentes da entrega acelerada de cursos aprovados) não estão qualificados para cobertura por</w:t>
      </w:r>
      <w:r w:rsidR="00E24B4A" w:rsidRPr="008D38F6">
        <w:rPr>
          <w:rFonts w:ascii="Tahoma" w:hAnsi="Tahoma" w:cs="Tahoma"/>
          <w:bCs/>
          <w:sz w:val="18"/>
          <w:szCs w:val="18"/>
          <w:lang w:val="pt-BR"/>
        </w:rPr>
        <w:t> </w:t>
      </w:r>
      <w:r w:rsidRPr="008D38F6">
        <w:rPr>
          <w:rFonts w:ascii="Tahoma" w:hAnsi="Tahoma" w:cs="Tahoma"/>
          <w:bCs/>
          <w:sz w:val="18"/>
          <w:szCs w:val="18"/>
          <w:lang w:val="pt-BR"/>
        </w:rPr>
        <w:t>esses cupons.</w:t>
      </w:r>
      <w:r w:rsidR="00FB5496" w:rsidRPr="008D38F6">
        <w:rPr>
          <w:rFonts w:ascii="Tahoma" w:hAnsi="Tahoma" w:cs="Tahoma"/>
          <w:bCs/>
          <w:sz w:val="18"/>
          <w:szCs w:val="18"/>
          <w:lang w:val="pt-BR"/>
        </w:rPr>
        <w:t xml:space="preserve"> </w:t>
      </w:r>
      <w:r w:rsidRPr="008D38F6">
        <w:rPr>
          <w:rFonts w:ascii="Tahoma" w:hAnsi="Tahoma" w:cs="Tahoma"/>
          <w:bCs/>
          <w:sz w:val="18"/>
          <w:szCs w:val="18"/>
          <w:lang w:val="pt-BR"/>
        </w:rPr>
        <w:t>Para obter informações sobre cursos aprovados, visite o site http://www.microsoft.com/learning/sa/training.mspx.</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Os cupons não podem ser usados para cobrir quaisquer taxas relacionadas a um cliente que não compareça em um curso reservado.</w:t>
      </w:r>
      <w:r w:rsidR="00FB5496" w:rsidRPr="008D38F6">
        <w:rPr>
          <w:rFonts w:ascii="Tahoma" w:hAnsi="Tahoma" w:cs="Tahoma"/>
          <w:bCs/>
          <w:sz w:val="18"/>
          <w:szCs w:val="18"/>
          <w:lang w:val="pt-BR"/>
        </w:rPr>
        <w:t xml:space="preserve"> </w:t>
      </w:r>
      <w:r w:rsidRPr="008D38F6">
        <w:rPr>
          <w:rFonts w:ascii="Tahoma" w:hAnsi="Tahoma" w:cs="Tahoma"/>
          <w:bCs/>
          <w:sz w:val="18"/>
          <w:szCs w:val="18"/>
          <w:lang w:val="pt-BR"/>
        </w:rPr>
        <w:t>Todas as taxas relacionadas a “Não Comparecimentos” são de</w:t>
      </w:r>
      <w:r w:rsidR="00E24B4A" w:rsidRPr="008D38F6">
        <w:rPr>
          <w:rFonts w:ascii="Tahoma" w:hAnsi="Tahoma" w:cs="Tahoma"/>
          <w:bCs/>
          <w:sz w:val="18"/>
          <w:szCs w:val="18"/>
          <w:lang w:val="pt-BR"/>
        </w:rPr>
        <w:t> </w:t>
      </w:r>
      <w:r w:rsidR="00EF73D1" w:rsidRPr="008D38F6">
        <w:rPr>
          <w:rFonts w:ascii="Tahoma" w:hAnsi="Tahoma" w:cs="Tahoma"/>
          <w:bCs/>
          <w:sz w:val="18"/>
          <w:szCs w:val="18"/>
          <w:lang w:val="pt-BR"/>
        </w:rPr>
        <w:t>responsabilidade do cliente.</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 xml:space="preserve">Os cupons poderão ser resgatados apenas pelo indivíduo aprovado pelo cliente para usar o cupom. </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Os cupons não poderão ser trocados por dinheiro, valores ou outras considerações de valor.</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Os cupons devem ser atribuídos durante o período de cobertura do Software Assurance.</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rsidR="00982A40" w:rsidRPr="008D38F6" w:rsidRDefault="00982A40" w:rsidP="00C83670">
      <w:pPr>
        <w:numPr>
          <w:ilvl w:val="0"/>
          <w:numId w:val="33"/>
        </w:numPr>
        <w:spacing w:afterLines="60" w:after="144"/>
        <w:rPr>
          <w:lang w:val="pt-BR"/>
        </w:rPr>
      </w:pPr>
      <w:r w:rsidRPr="008D38F6">
        <w:rPr>
          <w:rFonts w:cs="Tahoma"/>
          <w:bCs/>
          <w:szCs w:val="18"/>
          <w:lang w:val="pt-BR"/>
        </w:rPr>
        <w:t>Com exceção das Sessões de Demonstração, um Voucher de um dia de Treinamento é igual ao equivalente a um dia de sessão de treinamento.</w:t>
      </w:r>
      <w:r w:rsidR="00FB5496" w:rsidRPr="008D38F6">
        <w:rPr>
          <w:rFonts w:cs="Tahoma"/>
          <w:bCs/>
          <w:szCs w:val="18"/>
          <w:lang w:val="pt-BR"/>
        </w:rPr>
        <w:t xml:space="preserve"> </w:t>
      </w:r>
      <w:r w:rsidRPr="008D38F6">
        <w:rPr>
          <w:rFonts w:cs="Tahoma"/>
          <w:bCs/>
          <w:szCs w:val="18"/>
          <w:lang w:val="pt-BR"/>
        </w:rPr>
        <w:t>Para as Sessões de Demonstração, um dia de Voucher de Treinamento é igual a uma Sessão de Demonstração.</w:t>
      </w:r>
    </w:p>
    <w:p w:rsidR="00982A40" w:rsidRPr="008D38F6" w:rsidRDefault="00982A40" w:rsidP="00C83670">
      <w:pPr>
        <w:numPr>
          <w:ilvl w:val="0"/>
          <w:numId w:val="33"/>
        </w:numPr>
        <w:spacing w:afterLines="60" w:after="144"/>
        <w:rPr>
          <w:lang w:val="pt-BR"/>
        </w:rPr>
      </w:pPr>
      <w:r w:rsidRPr="008D38F6">
        <w:rPr>
          <w:rFonts w:cs="Tahoma"/>
          <w:bCs/>
          <w:szCs w:val="18"/>
          <w:lang w:val="pt-BR"/>
        </w:rPr>
        <w:t>Os clientes devem resgatar os Vouchers de Treinamento para conjuntos de quatro ou mais Sessões</w:t>
      </w:r>
      <w:r w:rsidR="005019D3" w:rsidRPr="008D38F6">
        <w:rPr>
          <w:rFonts w:cs="Tahoma"/>
          <w:bCs/>
          <w:szCs w:val="18"/>
          <w:lang w:val="pt-BR"/>
        </w:rPr>
        <w:t> </w:t>
      </w:r>
      <w:r w:rsidRPr="008D38F6">
        <w:rPr>
          <w:rFonts w:cs="Tahoma"/>
          <w:bCs/>
          <w:szCs w:val="18"/>
          <w:lang w:val="pt-BR"/>
        </w:rPr>
        <w:t>de Demonstração</w:t>
      </w:r>
    </w:p>
    <w:p w:rsidR="00982A40" w:rsidRPr="008D38F6" w:rsidRDefault="00982A40" w:rsidP="00C83670">
      <w:pPr>
        <w:numPr>
          <w:ilvl w:val="0"/>
          <w:numId w:val="33"/>
        </w:numPr>
        <w:spacing w:afterLines="60" w:after="144"/>
        <w:rPr>
          <w:lang w:val="pt-BR"/>
        </w:rPr>
      </w:pPr>
      <w:r w:rsidRPr="008D38F6">
        <w:rPr>
          <w:rFonts w:cs="Tahoma"/>
          <w:bCs/>
          <w:szCs w:val="18"/>
          <w:lang w:val="pt-BR"/>
        </w:rPr>
        <w:t>Os Vouchers de Treinamento resgatados para as Sessões de Treinamento, ao contrário dos Vouchers de Treinamento resgatados para outras sessões de treinamento, não se limitando a um</w:t>
      </w:r>
      <w:r w:rsidR="005019D3" w:rsidRPr="008D38F6">
        <w:rPr>
          <w:rFonts w:cs="Tahoma"/>
          <w:bCs/>
          <w:szCs w:val="18"/>
          <w:lang w:val="pt-BR"/>
        </w:rPr>
        <w:t> </w:t>
      </w:r>
      <w:r w:rsidRPr="008D38F6">
        <w:rPr>
          <w:rFonts w:cs="Tahoma"/>
          <w:bCs/>
          <w:szCs w:val="18"/>
          <w:lang w:val="pt-BR"/>
        </w:rPr>
        <w:t>único indivíduo.</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 xml:space="preserve">Os cupons poderão ser usados para reservar treinamentos com apenas um Microsoft Learning Partner qualificado de cada vez. </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O Microsoft Learning Partner reserva o direito de cancelar uma aula de acordo com a política de cancelamento local.</w:t>
      </w:r>
    </w:p>
    <w:p w:rsidR="009D26EE" w:rsidRPr="00416070" w:rsidRDefault="009D26EE" w:rsidP="00C83670">
      <w:pPr>
        <w:pStyle w:val="AppendixBodyText"/>
        <w:numPr>
          <w:ilvl w:val="0"/>
          <w:numId w:val="33"/>
        </w:numPr>
        <w:spacing w:afterLines="60" w:after="144"/>
      </w:pPr>
      <w:r w:rsidRPr="008D38F6">
        <w:rPr>
          <w:rFonts w:ascii="Tahoma" w:hAnsi="Tahoma" w:cs="Tahoma"/>
          <w:bCs/>
          <w:sz w:val="18"/>
          <w:szCs w:val="18"/>
          <w:lang w:val="pt-BR"/>
        </w:rPr>
        <w:t xml:space="preserve">Os cupons são válidos apenas com a participação de Microsoft Learning Partners. Eles podem ser usados com qualquer Microsoft Learning Partner qualificado de todo o mundo. </w:t>
      </w:r>
      <w:r w:rsidRPr="00416070">
        <w:rPr>
          <w:rFonts w:ascii="Tahoma" w:hAnsi="Tahoma" w:cs="Tahoma"/>
          <w:bCs/>
          <w:sz w:val="18"/>
          <w:szCs w:val="18"/>
        </w:rPr>
        <w:t>A participação pode</w:t>
      </w:r>
      <w:r w:rsidR="00E24B4A" w:rsidRPr="00416070">
        <w:rPr>
          <w:rFonts w:ascii="Tahoma" w:hAnsi="Tahoma" w:cs="Tahoma"/>
          <w:bCs/>
          <w:sz w:val="18"/>
          <w:szCs w:val="18"/>
        </w:rPr>
        <w:t> </w:t>
      </w:r>
      <w:r w:rsidRPr="00416070">
        <w:rPr>
          <w:rFonts w:ascii="Tahoma" w:hAnsi="Tahoma" w:cs="Tahoma"/>
          <w:bCs/>
          <w:sz w:val="18"/>
          <w:szCs w:val="18"/>
        </w:rPr>
        <w:t>variar.</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Os clientes devem fornecer ao parceiro Microsoft Learning Partner as informações do cupom que gostariam de utilizar no curso antes do final do curso a fim de usá-lo como pagamento do curso.</w:t>
      </w:r>
      <w:r w:rsidR="00FB5496" w:rsidRPr="008D38F6">
        <w:rPr>
          <w:rFonts w:ascii="Tahoma" w:hAnsi="Tahoma" w:cs="Tahoma"/>
          <w:bCs/>
          <w:sz w:val="18"/>
          <w:szCs w:val="18"/>
          <w:lang w:val="pt-BR"/>
        </w:rPr>
        <w:t xml:space="preserve"> </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A Microsoft não é responsável por cupons perdidos, roubados ou utilizados indevidamente.</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A redução do número de licenças qualificadas para as quais o Software Assurance foi adquirido como um resultado de devoluções e outros ajustes de cobrança, quando permitidos, pode diminuir</w:t>
      </w:r>
      <w:r w:rsidR="00E24B4A" w:rsidRPr="008D38F6">
        <w:rPr>
          <w:rFonts w:ascii="Tahoma" w:hAnsi="Tahoma" w:cs="Tahoma"/>
          <w:bCs/>
          <w:sz w:val="18"/>
          <w:szCs w:val="18"/>
          <w:lang w:val="pt-BR"/>
        </w:rPr>
        <w:t> </w:t>
      </w:r>
      <w:r w:rsidRPr="008D38F6">
        <w:rPr>
          <w:rFonts w:ascii="Tahoma" w:hAnsi="Tahoma" w:cs="Tahoma"/>
          <w:bCs/>
          <w:sz w:val="18"/>
          <w:szCs w:val="18"/>
          <w:lang w:val="pt-BR"/>
        </w:rPr>
        <w:t>a qualificação de nível de serviço dos Cupons de Treinamento do cliente.</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t>Os cupons podem ser resgatados apenas pelo cliente que estiver qualificado para o benefício.</w:t>
      </w:r>
    </w:p>
    <w:p w:rsidR="009D26EE" w:rsidRPr="008D38F6" w:rsidRDefault="009D26EE" w:rsidP="00C83670">
      <w:pPr>
        <w:pStyle w:val="AppendixBodyText"/>
        <w:numPr>
          <w:ilvl w:val="0"/>
          <w:numId w:val="33"/>
        </w:numPr>
        <w:spacing w:afterLines="60" w:after="144"/>
        <w:rPr>
          <w:lang w:val="pt-BR"/>
        </w:rPr>
      </w:pPr>
      <w:r w:rsidRPr="008D38F6">
        <w:rPr>
          <w:rFonts w:ascii="Tahoma" w:hAnsi="Tahoma" w:cs="Tahoma"/>
          <w:bCs/>
          <w:sz w:val="18"/>
          <w:szCs w:val="18"/>
          <w:lang w:val="pt-BR"/>
        </w:rPr>
        <w:lastRenderedPageBreak/>
        <w:t>Os serviços fornecidos sob cupons são oferecidos de acordo com um contrato entre o Cliente e o</w:t>
      </w:r>
      <w:r w:rsidR="00E24B4A" w:rsidRPr="008D38F6">
        <w:rPr>
          <w:rFonts w:ascii="Tahoma" w:hAnsi="Tahoma" w:cs="Tahoma"/>
          <w:bCs/>
          <w:sz w:val="18"/>
          <w:szCs w:val="18"/>
          <w:lang w:val="pt-BR"/>
        </w:rPr>
        <w:t> </w:t>
      </w:r>
      <w:r w:rsidRPr="008D38F6">
        <w:rPr>
          <w:rFonts w:ascii="Tahoma" w:hAnsi="Tahoma" w:cs="Tahoma"/>
          <w:bCs/>
          <w:sz w:val="18"/>
          <w:szCs w:val="18"/>
          <w:lang w:val="pt-BR"/>
        </w:rPr>
        <w:t>Provedor Qualificado. A Microsoft não é responsável por nenhum trabalho ou nenhuma falha da</w:t>
      </w:r>
      <w:r w:rsidR="00E24B4A" w:rsidRPr="008D38F6">
        <w:rPr>
          <w:rFonts w:ascii="Tahoma" w:hAnsi="Tahoma" w:cs="Tahoma"/>
          <w:bCs/>
          <w:sz w:val="18"/>
          <w:szCs w:val="18"/>
          <w:lang w:val="pt-BR"/>
        </w:rPr>
        <w:t> </w:t>
      </w:r>
      <w:r w:rsidRPr="008D38F6">
        <w:rPr>
          <w:rFonts w:ascii="Tahoma" w:hAnsi="Tahoma" w:cs="Tahoma"/>
          <w:bCs/>
          <w:sz w:val="18"/>
          <w:szCs w:val="18"/>
          <w:lang w:val="pt-BR"/>
        </w:rPr>
        <w:t>parte do Provedor Qualificado relacionado aos serviços.</w:t>
      </w:r>
    </w:p>
    <w:p w:rsidR="00973A93" w:rsidRPr="008D38F6" w:rsidRDefault="009D26EE" w:rsidP="005A141F">
      <w:pPr>
        <w:pStyle w:val="AppendixBodyText"/>
        <w:numPr>
          <w:ilvl w:val="0"/>
          <w:numId w:val="33"/>
        </w:numPr>
        <w:spacing w:after="0"/>
        <w:rPr>
          <w:lang w:val="pt-BR"/>
        </w:rPr>
      </w:pPr>
      <w:r w:rsidRPr="008D38F6">
        <w:rPr>
          <w:rFonts w:ascii="Tahoma" w:hAnsi="Tahoma" w:cs="Tahoma"/>
          <w:bCs/>
          <w:sz w:val="18"/>
          <w:szCs w:val="18"/>
          <w:lang w:val="pt-BR"/>
        </w:rPr>
        <w:t>A tabela acima mostra os créditos de treinamento disponíveis com base em um registro ou contrato integral de 3 anos.</w:t>
      </w:r>
      <w:r w:rsidR="00FB5496" w:rsidRPr="008D38F6">
        <w:rPr>
          <w:rFonts w:ascii="Tahoma" w:hAnsi="Tahoma" w:cs="Tahoma"/>
          <w:bCs/>
          <w:sz w:val="18"/>
          <w:szCs w:val="18"/>
          <w:lang w:val="pt-BR"/>
        </w:rPr>
        <w:t xml:space="preserve"> </w:t>
      </w:r>
      <w:r w:rsidRPr="008D38F6">
        <w:rPr>
          <w:rFonts w:ascii="Tahoma" w:hAnsi="Tahoma" w:cs="Tahoma"/>
          <w:bCs/>
          <w:sz w:val="18"/>
          <w:szCs w:val="18"/>
          <w:lang w:val="pt-BR"/>
        </w:rPr>
        <w:t>Os clientes que comprarem a cobertura do Software Assurance por um</w:t>
      </w:r>
      <w:r w:rsidR="00E24B4A" w:rsidRPr="008D38F6">
        <w:rPr>
          <w:rFonts w:ascii="Tahoma" w:hAnsi="Tahoma" w:cs="Tahoma"/>
          <w:bCs/>
          <w:sz w:val="18"/>
          <w:szCs w:val="18"/>
          <w:lang w:val="pt-BR"/>
        </w:rPr>
        <w:t> </w:t>
      </w:r>
      <w:r w:rsidRPr="008D38F6">
        <w:rPr>
          <w:rFonts w:ascii="Tahoma" w:hAnsi="Tahoma" w:cs="Tahoma"/>
          <w:bCs/>
          <w:sz w:val="18"/>
          <w:szCs w:val="18"/>
          <w:lang w:val="pt-BR"/>
        </w:rPr>
        <w:t>ano receberão um terço do número declarado de créditos de treinamento.</w:t>
      </w:r>
      <w:r w:rsidR="00FB5496" w:rsidRPr="008D38F6">
        <w:rPr>
          <w:rFonts w:ascii="Tahoma" w:hAnsi="Tahoma" w:cs="Tahoma"/>
          <w:bCs/>
          <w:sz w:val="18"/>
          <w:szCs w:val="18"/>
          <w:lang w:val="pt-BR"/>
        </w:rPr>
        <w:t xml:space="preserve"> </w:t>
      </w:r>
      <w:r w:rsidRPr="008D38F6">
        <w:rPr>
          <w:rFonts w:ascii="Tahoma" w:hAnsi="Tahoma" w:cs="Tahoma"/>
          <w:bCs/>
          <w:sz w:val="18"/>
          <w:szCs w:val="18"/>
          <w:lang w:val="pt-BR"/>
        </w:rPr>
        <w:t>Os clientes que adquirirem a cobertura do Software Assurance por dois anos receberão dois terços do número declarado de créditos de treinamento.</w:t>
      </w:r>
      <w:bookmarkStart w:id="784" w:name="_Toc336338234"/>
    </w:p>
    <w:p w:rsidR="005A141F" w:rsidRPr="008D38F6" w:rsidRDefault="005A141F" w:rsidP="005A141F">
      <w:pPr>
        <w:pStyle w:val="AppendixBodyText"/>
        <w:spacing w:after="0"/>
        <w:rPr>
          <w:rFonts w:ascii="Tahoma" w:hAnsi="Tahoma" w:cs="Tahoma"/>
          <w:sz w:val="18"/>
          <w:szCs w:val="18"/>
          <w:lang w:val="pt-BR"/>
        </w:rPr>
      </w:pPr>
    </w:p>
    <w:p w:rsidR="00023FE7" w:rsidRPr="00416070" w:rsidRDefault="00023FE7">
      <w:pPr>
        <w:pStyle w:val="Heading3"/>
      </w:pPr>
      <w:bookmarkStart w:id="785" w:name="_Toc352234302"/>
      <w:r w:rsidRPr="00416070">
        <w:rPr>
          <w:rFonts w:ascii="Tahoma" w:hAnsi="Tahoma" w:cs="Tahoma"/>
          <w:sz w:val="24"/>
        </w:rPr>
        <w:t>E-Learning</w:t>
      </w:r>
      <w:bookmarkEnd w:id="784"/>
      <w:bookmarkEnd w:id="785"/>
    </w:p>
    <w:p w:rsidR="00023FE7" w:rsidRPr="008D38F6" w:rsidRDefault="00023FE7" w:rsidP="002D25C8">
      <w:pPr>
        <w:rPr>
          <w:lang w:val="pt-BR"/>
        </w:rPr>
      </w:pPr>
    </w:p>
    <w:p w:rsidR="003C56F1" w:rsidRPr="008D38F6" w:rsidRDefault="00324479" w:rsidP="008A7860">
      <w:pPr>
        <w:tabs>
          <w:tab w:val="num" w:pos="360"/>
        </w:tabs>
        <w:spacing w:after="60"/>
        <w:rPr>
          <w:lang w:val="pt-BR"/>
        </w:rPr>
      </w:pPr>
      <w:r w:rsidRPr="008D38F6">
        <w:rPr>
          <w:rFonts w:cs="Tahoma"/>
          <w:b/>
          <w:szCs w:val="18"/>
          <w:lang w:val="pt-BR"/>
        </w:rPr>
        <w:t>Clientes qualificados do Software Assurance</w:t>
      </w:r>
    </w:p>
    <w:p w:rsidR="00324479" w:rsidRPr="008D38F6" w:rsidRDefault="00324479" w:rsidP="002D25C8">
      <w:pPr>
        <w:tabs>
          <w:tab w:val="num" w:pos="360"/>
        </w:tabs>
        <w:rPr>
          <w:lang w:val="pt-BR"/>
        </w:rPr>
      </w:pPr>
      <w:r w:rsidRPr="008D38F6">
        <w:rPr>
          <w:rFonts w:cs="Tahoma"/>
          <w:szCs w:val="18"/>
          <w:lang w:val="pt-BR"/>
        </w:rPr>
        <w:t>Os clientes com Software Assurance para produtos qualificados do pool de aplicativos, sistemas ou servidores estão qualificados a usar o respectivo benefício E-Learning de Aplicativos, Sistemas e Servidores durante o prazo da cobertura do Software Assuranc</w:t>
      </w:r>
      <w:r w:rsidR="00EF73D1" w:rsidRPr="008D38F6">
        <w:rPr>
          <w:rFonts w:cs="Tahoma"/>
          <w:szCs w:val="18"/>
          <w:lang w:val="pt-BR"/>
        </w:rPr>
        <w:t>e.</w:t>
      </w:r>
    </w:p>
    <w:p w:rsidR="00324479" w:rsidRPr="008D38F6" w:rsidRDefault="00324479" w:rsidP="002D25C8">
      <w:pPr>
        <w:tabs>
          <w:tab w:val="num" w:pos="360"/>
        </w:tabs>
        <w:rPr>
          <w:lang w:val="pt-BR"/>
        </w:rPr>
      </w:pPr>
    </w:p>
    <w:p w:rsidR="008A7860" w:rsidRPr="008D38F6" w:rsidRDefault="00324479" w:rsidP="008A7860">
      <w:pPr>
        <w:tabs>
          <w:tab w:val="num" w:pos="360"/>
        </w:tabs>
        <w:spacing w:after="60"/>
        <w:rPr>
          <w:lang w:val="pt-BR"/>
        </w:rPr>
      </w:pPr>
      <w:r w:rsidRPr="008D38F6">
        <w:rPr>
          <w:rFonts w:cs="Tahoma"/>
          <w:b/>
          <w:szCs w:val="18"/>
          <w:lang w:val="pt-BR"/>
        </w:rPr>
        <w:t>Clientes qualificados para os Benefícios de Serviços Online</w:t>
      </w:r>
    </w:p>
    <w:p w:rsidR="00324479" w:rsidRPr="008D38F6" w:rsidRDefault="00324479" w:rsidP="002D25C8">
      <w:pPr>
        <w:tabs>
          <w:tab w:val="num" w:pos="360"/>
        </w:tabs>
        <w:rPr>
          <w:lang w:val="pt-BR"/>
        </w:rPr>
      </w:pPr>
      <w:r w:rsidRPr="008D38F6">
        <w:rPr>
          <w:rFonts w:cs="Tahoma"/>
          <w:szCs w:val="18"/>
          <w:lang w:val="pt-BR"/>
        </w:rPr>
        <w:t>Os clientes com Windows Intune (Por Dispositivo) estão qualificados para usar o benefício E-Learning dos Sistemas durante o prazo desse registro.</w:t>
      </w:r>
      <w:r w:rsidR="00FB5496" w:rsidRPr="008D38F6">
        <w:rPr>
          <w:rFonts w:cs="Tahoma"/>
          <w:szCs w:val="18"/>
          <w:lang w:val="pt-BR"/>
        </w:rPr>
        <w:t xml:space="preserve"> </w:t>
      </w:r>
      <w:r w:rsidRPr="008D38F6">
        <w:rPr>
          <w:rFonts w:cs="Tahoma"/>
          <w:szCs w:val="18"/>
          <w:lang w:val="pt-BR"/>
        </w:rPr>
        <w:t>Da mesma forma, os clientes do Office 365 estão qualificados para usar o benefício E-Learning dos Aplicativos durante o pr</w:t>
      </w:r>
      <w:r w:rsidR="00EF73D1" w:rsidRPr="008D38F6">
        <w:rPr>
          <w:rFonts w:cs="Tahoma"/>
          <w:szCs w:val="18"/>
          <w:lang w:val="pt-BR"/>
        </w:rPr>
        <w:t>azo do seu respectivo registro.</w:t>
      </w:r>
    </w:p>
    <w:p w:rsidR="00324479" w:rsidRPr="008D38F6" w:rsidRDefault="00324479" w:rsidP="002D25C8">
      <w:pPr>
        <w:tabs>
          <w:tab w:val="num" w:pos="360"/>
        </w:tabs>
        <w:rPr>
          <w:lang w:val="pt-BR"/>
        </w:rPr>
      </w:pPr>
    </w:p>
    <w:p w:rsidR="00324479" w:rsidRPr="008D38F6" w:rsidRDefault="00324479" w:rsidP="002D25C8">
      <w:pPr>
        <w:rPr>
          <w:lang w:val="pt-BR"/>
        </w:rPr>
      </w:pPr>
      <w:r w:rsidRPr="008D38F6">
        <w:rPr>
          <w:rFonts w:cs="Tahoma"/>
          <w:szCs w:val="18"/>
          <w:lang w:val="pt-BR"/>
        </w:rPr>
        <w:t>Os clientes qualificados receberão um código de acesso (para Aplicativos, Sistemas, Servidores, Windows Intune (Por</w:t>
      </w:r>
      <w:r w:rsidR="00E24B4A" w:rsidRPr="008D38F6">
        <w:rPr>
          <w:rFonts w:cs="Tahoma"/>
          <w:szCs w:val="18"/>
          <w:lang w:val="pt-BR"/>
        </w:rPr>
        <w:t> </w:t>
      </w:r>
      <w:r w:rsidRPr="008D38F6">
        <w:rPr>
          <w:rFonts w:cs="Tahoma"/>
          <w:szCs w:val="18"/>
          <w:lang w:val="pt-BR"/>
        </w:rPr>
        <w:t>Dispositivo) e Office 365) por registro/contrato qualificado.</w:t>
      </w:r>
      <w:r w:rsidR="00FB5496" w:rsidRPr="008D38F6">
        <w:rPr>
          <w:rFonts w:cs="Tahoma"/>
          <w:szCs w:val="18"/>
          <w:lang w:val="pt-BR"/>
        </w:rPr>
        <w:t xml:space="preserve"> </w:t>
      </w:r>
      <w:r w:rsidRPr="008D38F6">
        <w:rPr>
          <w:rFonts w:cs="Tahoma"/>
          <w:szCs w:val="18"/>
          <w:lang w:val="pt-BR"/>
        </w:rPr>
        <w:t xml:space="preserve">Os clientes também poderão baixar arquivos de </w:t>
      </w:r>
      <w:r w:rsidR="00E24B4A" w:rsidRPr="008D38F6">
        <w:rPr>
          <w:rFonts w:cs="Tahoma"/>
          <w:szCs w:val="18"/>
          <w:lang w:val="pt-BR"/>
        </w:rPr>
        <w:br/>
      </w:r>
      <w:r w:rsidRPr="008D38F6">
        <w:rPr>
          <w:rFonts w:cs="Tahoma"/>
          <w:szCs w:val="18"/>
          <w:lang w:val="pt-BR"/>
        </w:rPr>
        <w:t>E-Learning apenas de conteúdo e compatíveis com SCORM (para Aplicativos e Sistemas) a partir do VLSC para importar no LMS (Learning Management System - Sistema de Gerenciamento de Aprendizagem).</w:t>
      </w:r>
      <w:r w:rsidR="00FB5496" w:rsidRPr="008D38F6">
        <w:rPr>
          <w:rFonts w:cs="Tahoma"/>
          <w:szCs w:val="18"/>
          <w:lang w:val="pt-BR"/>
        </w:rPr>
        <w:t xml:space="preserve"> </w:t>
      </w:r>
      <w:r w:rsidRPr="008D38F6">
        <w:rPr>
          <w:rFonts w:cs="Tahoma"/>
          <w:szCs w:val="18"/>
          <w:lang w:val="pt-BR"/>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rsidR="00324479" w:rsidRPr="008D38F6" w:rsidRDefault="00324479" w:rsidP="002D25C8">
      <w:pPr>
        <w:rPr>
          <w:lang w:val="pt-BR"/>
        </w:rPr>
      </w:pPr>
    </w:p>
    <w:p w:rsidR="00324479" w:rsidRPr="008D38F6" w:rsidRDefault="00324479" w:rsidP="002D25C8">
      <w:pPr>
        <w:rPr>
          <w:lang w:val="pt-BR"/>
        </w:rPr>
      </w:pPr>
      <w:r w:rsidRPr="008D38F6">
        <w:rPr>
          <w:rFonts w:cs="Tahoma"/>
          <w:szCs w:val="18"/>
          <w:lang w:val="pt-BR"/>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qualificada.</w:t>
      </w:r>
      <w:r w:rsidR="00FB5496" w:rsidRPr="008D38F6">
        <w:rPr>
          <w:rFonts w:cs="Tahoma"/>
          <w:szCs w:val="18"/>
          <w:lang w:val="pt-BR"/>
        </w:rPr>
        <w:t xml:space="preserve"> </w:t>
      </w:r>
      <w:r w:rsidRPr="008D38F6">
        <w:rPr>
          <w:rFonts w:cs="Tahoma"/>
          <w:szCs w:val="18"/>
          <w:lang w:val="pt-BR"/>
        </w:rPr>
        <w:t>O acesso não pode ser transferido de um usuário para outro.</w:t>
      </w:r>
      <w:r w:rsidR="00FB5496" w:rsidRPr="008D38F6">
        <w:rPr>
          <w:rFonts w:cs="Tahoma"/>
          <w:szCs w:val="18"/>
          <w:lang w:val="pt-BR"/>
        </w:rPr>
        <w:t xml:space="preserve"> </w:t>
      </w:r>
      <w:r w:rsidRPr="008D38F6">
        <w:rPr>
          <w:rFonts w:cs="Tahoma"/>
          <w:szCs w:val="18"/>
          <w:lang w:val="pt-BR"/>
        </w:rPr>
        <w:t>No início de um curso individual, cada usuário qualificado terá até 12 meses para concluir o curso antes do término do acesso, contanto que o curso seja iniciado antes do término da cobertura do Software Assurance ou licença de assinatura.</w:t>
      </w:r>
    </w:p>
    <w:p w:rsidR="00324479" w:rsidRPr="008D38F6" w:rsidRDefault="00324479" w:rsidP="002D25C8">
      <w:pPr>
        <w:tabs>
          <w:tab w:val="num" w:pos="360"/>
        </w:tabs>
        <w:rPr>
          <w:lang w:val="pt-BR"/>
        </w:rPr>
      </w:pPr>
    </w:p>
    <w:p w:rsidR="00324479" w:rsidRPr="008D38F6" w:rsidRDefault="00324479" w:rsidP="002D25C8">
      <w:pPr>
        <w:tabs>
          <w:tab w:val="num" w:pos="0"/>
        </w:tabs>
        <w:rPr>
          <w:lang w:val="pt-BR"/>
        </w:rPr>
      </w:pPr>
      <w:r w:rsidRPr="008D38F6">
        <w:rPr>
          <w:rFonts w:cs="Tahoma"/>
          <w:szCs w:val="18"/>
          <w:lang w:val="pt-BR"/>
        </w:rPr>
        <w:t>Os clientes qualificados poderão comprar kits de E-Learning em um centro de abastecimento regional se a o</w:t>
      </w:r>
      <w:r w:rsidR="00EF73D1" w:rsidRPr="008D38F6">
        <w:rPr>
          <w:rFonts w:cs="Tahoma"/>
          <w:szCs w:val="18"/>
          <w:lang w:val="pt-BR"/>
        </w:rPr>
        <w:t>pção online não for suficiente.</w:t>
      </w:r>
    </w:p>
    <w:p w:rsidR="00324479" w:rsidRPr="008D38F6" w:rsidRDefault="00324479" w:rsidP="002D25C8">
      <w:pPr>
        <w:tabs>
          <w:tab w:val="num" w:pos="0"/>
        </w:tabs>
        <w:rPr>
          <w:lang w:val="pt-BR"/>
        </w:rPr>
      </w:pPr>
      <w:r w:rsidRPr="008D38F6">
        <w:rPr>
          <w:rFonts w:cs="Tahoma"/>
          <w:szCs w:val="18"/>
          <w:lang w:val="pt-BR"/>
        </w:rPr>
        <w:t>A implantação e o uso dos cursos de E-Learning pelos clientes estão sujeitos aos termos e condições de seus contratos de licença.</w:t>
      </w:r>
    </w:p>
    <w:p w:rsidR="00324479" w:rsidRPr="008D38F6" w:rsidRDefault="00324479" w:rsidP="002D25C8">
      <w:pPr>
        <w:tabs>
          <w:tab w:val="num" w:pos="0"/>
        </w:tabs>
        <w:rPr>
          <w:lang w:val="pt-BR"/>
        </w:rPr>
      </w:pPr>
    </w:p>
    <w:p w:rsidR="008A7860" w:rsidRPr="008D38F6" w:rsidRDefault="008A7860" w:rsidP="008A7860">
      <w:pPr>
        <w:spacing w:after="60"/>
        <w:rPr>
          <w:lang w:val="pt-BR"/>
        </w:rPr>
      </w:pPr>
      <w:r w:rsidRPr="008D38F6">
        <w:rPr>
          <w:rFonts w:cs="Tahoma"/>
          <w:b/>
          <w:szCs w:val="18"/>
          <w:lang w:val="pt-BR"/>
        </w:rPr>
        <w:t>Aplicativos de E-Learning</w:t>
      </w:r>
    </w:p>
    <w:p w:rsidR="00324479" w:rsidRPr="008D38F6" w:rsidRDefault="00324479" w:rsidP="00EF73D1">
      <w:pPr>
        <w:rPr>
          <w:lang w:val="pt-BR"/>
        </w:rPr>
      </w:pPr>
      <w:r w:rsidRPr="008D38F6">
        <w:rPr>
          <w:rFonts w:cs="Tahoma"/>
          <w:szCs w:val="18"/>
          <w:lang w:val="pt-BR"/>
        </w:rPr>
        <w:t xml:space="preserve">Os clientes </w:t>
      </w:r>
      <w:r w:rsidRPr="008D38F6">
        <w:rPr>
          <w:rFonts w:cs="Tahoma"/>
          <w:color w:val="000000"/>
          <w:szCs w:val="18"/>
          <w:lang w:val="pt-BR"/>
        </w:rPr>
        <w:t>com pacotes do Office Pro Plus para Office 365</w:t>
      </w:r>
      <w:r w:rsidRPr="008D38F6">
        <w:rPr>
          <w:rFonts w:cs="Tahoma"/>
          <w:szCs w:val="18"/>
          <w:lang w:val="pt-BR"/>
        </w:rPr>
        <w:t>, Office 365 e Software Assurance para produtos de Aplicativos qualificados estão qualificados a usar cursos de E-Learning hospedados e conteúdo compatível com</w:t>
      </w:r>
      <w:r w:rsidR="00EF73D1" w:rsidRPr="008D38F6">
        <w:rPr>
          <w:rFonts w:cs="Tahoma"/>
          <w:szCs w:val="18"/>
          <w:lang w:val="pt-BR"/>
        </w:rPr>
        <w:t> </w:t>
      </w:r>
      <w:r w:rsidRPr="008D38F6">
        <w:rPr>
          <w:rFonts w:cs="Tahoma"/>
          <w:szCs w:val="18"/>
          <w:lang w:val="pt-BR"/>
        </w:rPr>
        <w:t>SCORM.</w:t>
      </w:r>
    </w:p>
    <w:p w:rsidR="00324479" w:rsidRPr="008D38F6" w:rsidRDefault="00324479" w:rsidP="002D25C8">
      <w:pPr>
        <w:rPr>
          <w:lang w:val="pt-BR"/>
        </w:rPr>
      </w:pPr>
    </w:p>
    <w:p w:rsidR="008A7860" w:rsidRPr="008D38F6" w:rsidRDefault="008A7860" w:rsidP="008A7860">
      <w:pPr>
        <w:spacing w:after="60"/>
        <w:rPr>
          <w:lang w:val="pt-BR"/>
        </w:rPr>
      </w:pPr>
      <w:r w:rsidRPr="008D38F6">
        <w:rPr>
          <w:rFonts w:cs="Tahoma"/>
          <w:b/>
          <w:szCs w:val="18"/>
          <w:lang w:val="pt-BR"/>
        </w:rPr>
        <w:t>Sistemas de E-Learning</w:t>
      </w:r>
    </w:p>
    <w:p w:rsidR="00324479" w:rsidRPr="008D38F6" w:rsidRDefault="00324479" w:rsidP="00EF73D1">
      <w:pPr>
        <w:rPr>
          <w:lang w:val="pt-BR"/>
        </w:rPr>
      </w:pPr>
      <w:r w:rsidRPr="008D38F6">
        <w:rPr>
          <w:rFonts w:cs="Tahoma"/>
          <w:szCs w:val="18"/>
          <w:lang w:val="pt-BR"/>
        </w:rPr>
        <w:t>os clientes com Windows Intune (Por Dispositivo) e Software Assurance para produtos de Sistema qualificados estão</w:t>
      </w:r>
      <w:r w:rsidR="00EF73D1" w:rsidRPr="008D38F6">
        <w:rPr>
          <w:rFonts w:cs="Tahoma"/>
          <w:szCs w:val="18"/>
          <w:lang w:val="pt-BR"/>
        </w:rPr>
        <w:t> </w:t>
      </w:r>
      <w:r w:rsidRPr="008D38F6">
        <w:rPr>
          <w:rFonts w:cs="Tahoma"/>
          <w:szCs w:val="18"/>
          <w:lang w:val="pt-BR"/>
        </w:rPr>
        <w:t>qualificados a usar os cursos de Cliente de E-Learning hospedados e o conteúdo compatível com SCORM.</w:t>
      </w:r>
    </w:p>
    <w:p w:rsidR="00324479" w:rsidRPr="008D38F6" w:rsidRDefault="00324479" w:rsidP="002D25C8">
      <w:pPr>
        <w:rPr>
          <w:lang w:val="pt-BR"/>
        </w:rPr>
      </w:pPr>
    </w:p>
    <w:p w:rsidR="008A7860" w:rsidRPr="008D38F6" w:rsidRDefault="008A7860" w:rsidP="008A7860">
      <w:pPr>
        <w:spacing w:after="60"/>
        <w:rPr>
          <w:lang w:val="pt-BR"/>
        </w:rPr>
      </w:pPr>
      <w:r w:rsidRPr="008D38F6">
        <w:rPr>
          <w:rFonts w:cs="Tahoma"/>
          <w:b/>
          <w:szCs w:val="18"/>
          <w:lang w:val="pt-BR"/>
        </w:rPr>
        <w:t>Servidores de E-Learning</w:t>
      </w:r>
    </w:p>
    <w:p w:rsidR="00324479" w:rsidRPr="008D38F6" w:rsidRDefault="00324479" w:rsidP="002D25C8">
      <w:pPr>
        <w:rPr>
          <w:lang w:val="pt-BR"/>
        </w:rPr>
      </w:pPr>
      <w:r w:rsidRPr="008D38F6">
        <w:rPr>
          <w:rFonts w:cs="Tahoma"/>
          <w:szCs w:val="18"/>
          <w:lang w:val="pt-BR"/>
        </w:rPr>
        <w:t>os clientes com Software Assurance para produtos de Servidor qualificados estão qualificados a usar os cursos de Servidor de E-Learning hospedados.</w:t>
      </w:r>
    </w:p>
    <w:p w:rsidR="00023FE7" w:rsidRPr="008D38F6" w:rsidRDefault="00023FE7" w:rsidP="002D25C8">
      <w:pPr>
        <w:rPr>
          <w:lang w:val="pt-BR"/>
        </w:rPr>
      </w:pPr>
    </w:p>
    <w:p w:rsidR="00E24B4A" w:rsidRPr="008D38F6" w:rsidRDefault="00E24B4A" w:rsidP="002D25C8">
      <w:pPr>
        <w:rPr>
          <w:lang w:val="pt-BR"/>
        </w:rPr>
      </w:pPr>
    </w:p>
    <w:p w:rsidR="00023FE7" w:rsidRPr="00416070" w:rsidRDefault="00023FE7" w:rsidP="002D25C8">
      <w:pPr>
        <w:pStyle w:val="Heading3"/>
      </w:pPr>
      <w:bookmarkStart w:id="786" w:name="_Toc336338235"/>
      <w:bookmarkStart w:id="787" w:name="_Toc352234303"/>
      <w:r w:rsidRPr="00416070">
        <w:rPr>
          <w:rFonts w:ascii="Tahoma" w:hAnsi="Tahoma" w:cs="Tahoma"/>
          <w:sz w:val="24"/>
        </w:rPr>
        <w:lastRenderedPageBreak/>
        <w:t>Home Use Program</w:t>
      </w:r>
      <w:bookmarkEnd w:id="786"/>
      <w:bookmarkEnd w:id="787"/>
    </w:p>
    <w:p w:rsidR="00023FE7" w:rsidRPr="008D38F6" w:rsidRDefault="00023FE7" w:rsidP="002D25C8">
      <w:pPr>
        <w:rPr>
          <w:lang w:val="pt-BR"/>
        </w:rPr>
      </w:pPr>
    </w:p>
    <w:p w:rsidR="00023FE7" w:rsidRPr="008D38F6" w:rsidRDefault="00023FE7" w:rsidP="002D25C8">
      <w:pPr>
        <w:pStyle w:val="AppendixBodyText"/>
        <w:spacing w:after="0"/>
        <w:rPr>
          <w:lang w:val="pt-BR"/>
        </w:rPr>
      </w:pPr>
      <w:r w:rsidRPr="008D38F6">
        <w:rPr>
          <w:rFonts w:ascii="Tahoma" w:hAnsi="Tahoma" w:cs="Tahoma"/>
          <w:sz w:val="18"/>
          <w:szCs w:val="18"/>
          <w:lang w:val="pt-BR"/>
        </w:rPr>
        <w:t xml:space="preserve">Os clientes com cobertura de Software Assurance ativa para produtos de aplicativos de desktop qualificados estão qualificados </w:t>
      </w:r>
      <w:r w:rsidRPr="008D38F6">
        <w:rPr>
          <w:rFonts w:ascii="Tahoma" w:hAnsi="Tahoma" w:cs="Tahoma"/>
          <w:color w:val="000000"/>
          <w:sz w:val="18"/>
          <w:szCs w:val="18"/>
          <w:lang w:val="pt-BR"/>
        </w:rPr>
        <w:t>a participar do Home Use Program**.</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Contanto que os funcionários primeiro obtenham as chaves de licença apropriadas do Home Use Program com a 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w:t>
      </w:r>
      <w:r w:rsidR="00E24B4A" w:rsidRPr="008D38F6">
        <w:rPr>
          <w:rFonts w:ascii="Tahoma" w:hAnsi="Tahoma" w:cs="Tahoma"/>
          <w:color w:val="000000"/>
          <w:sz w:val="18"/>
          <w:szCs w:val="18"/>
          <w:lang w:val="pt-BR"/>
        </w:rPr>
        <w:t> </w:t>
      </w:r>
      <w:r w:rsidRPr="008D38F6">
        <w:rPr>
          <w:rFonts w:ascii="Tahoma" w:hAnsi="Tahoma" w:cs="Tahoma"/>
          <w:color w:val="000000"/>
          <w:sz w:val="18"/>
          <w:szCs w:val="18"/>
          <w:lang w:val="pt-BR"/>
        </w:rPr>
        <w:t>versão atualmente instalada.</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Consulte a tabela ou as seções de produtos individuais a seguir para verificar os aplicativos de desktop que qualificam os clientes a participar do Home Use Program.</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Os aplicativos de desktop disponíveis no Home Use Program também estão identificados na tabela a seguir*.</w:t>
      </w:r>
    </w:p>
    <w:p w:rsidR="00023FE7" w:rsidRPr="008D38F6" w:rsidRDefault="00023FE7" w:rsidP="002D25C8">
      <w:pPr>
        <w:pStyle w:val="AppendixBodyText"/>
        <w:spacing w:after="0"/>
        <w:rPr>
          <w:rFonts w:ascii="Tahoma" w:hAnsi="Tahoma" w:cs="Tahoma"/>
          <w:sz w:val="18"/>
          <w:szCs w:val="18"/>
          <w:lang w:val="pt-BR"/>
        </w:rPr>
      </w:pPr>
    </w:p>
    <w:p w:rsidR="00023FE7" w:rsidRPr="008D38F6" w:rsidRDefault="00023FE7" w:rsidP="002D25C8">
      <w:pPr>
        <w:pStyle w:val="AppendixFlushBulletedList"/>
        <w:tabs>
          <w:tab w:val="clear" w:pos="360"/>
        </w:tabs>
        <w:ind w:left="0" w:firstLine="0"/>
        <w:rPr>
          <w:lang w:val="pt-BR"/>
        </w:rPr>
      </w:pPr>
      <w:r w:rsidRPr="008D38F6">
        <w:rPr>
          <w:rFonts w:ascii="Tahoma" w:hAnsi="Tahoma" w:cs="Tahoma"/>
          <w:sz w:val="18"/>
          <w:szCs w:val="18"/>
          <w:lang w:val="pt-BR"/>
        </w:rPr>
        <w:t>A qualificação dos clientes para participar do Home Use Program se encerra com o término ou a rescisão da cobertura do Software Assurance dos aplicativos de desktop qualificados.</w:t>
      </w:r>
      <w:r w:rsidR="00FB5496" w:rsidRPr="008D38F6">
        <w:rPr>
          <w:rFonts w:ascii="Tahoma" w:hAnsi="Tahoma" w:cs="Tahoma"/>
          <w:sz w:val="18"/>
          <w:szCs w:val="18"/>
          <w:lang w:val="pt-BR"/>
        </w:rPr>
        <w:t xml:space="preserve"> </w:t>
      </w:r>
      <w:r w:rsidRPr="008D38F6">
        <w:rPr>
          <w:rFonts w:ascii="Tahoma" w:hAnsi="Tahoma" w:cs="Tahoma"/>
          <w:sz w:val="18"/>
          <w:szCs w:val="18"/>
          <w:lang w:val="pt-BR"/>
        </w:rPr>
        <w:t>A Microsoft pode rescindir a participação de</w:t>
      </w:r>
      <w:r w:rsidR="00E24B4A" w:rsidRPr="008D38F6">
        <w:rPr>
          <w:rFonts w:ascii="Tahoma" w:hAnsi="Tahoma" w:cs="Tahoma"/>
          <w:sz w:val="18"/>
          <w:szCs w:val="18"/>
          <w:lang w:val="pt-BR"/>
        </w:rPr>
        <w:t> </w:t>
      </w:r>
      <w:r w:rsidRPr="008D38F6">
        <w:rPr>
          <w:rFonts w:ascii="Tahoma" w:hAnsi="Tahoma" w:cs="Tahoma"/>
          <w:sz w:val="18"/>
          <w:szCs w:val="18"/>
          <w:lang w:val="pt-BR"/>
        </w:rPr>
        <w:t>um cliente no Home Use Program, de maneira imediata e sem aviso, em razão de acesso a ou o licenciamento não autorizado por meio do site do Home Use Program com o</w:t>
      </w:r>
      <w:r w:rsidR="00EF73D1" w:rsidRPr="008D38F6">
        <w:rPr>
          <w:rFonts w:ascii="Tahoma" w:hAnsi="Tahoma" w:cs="Tahoma"/>
          <w:sz w:val="18"/>
          <w:szCs w:val="18"/>
          <w:lang w:val="pt-BR"/>
        </w:rPr>
        <w:t xml:space="preserve"> código de programa do cliente.</w:t>
      </w:r>
    </w:p>
    <w:p w:rsidR="00023FE7" w:rsidRPr="008D38F6" w:rsidRDefault="00023FE7" w:rsidP="002D25C8">
      <w:pPr>
        <w:pStyle w:val="AppendixFlushBulletedList"/>
        <w:tabs>
          <w:tab w:val="clear" w:pos="360"/>
        </w:tabs>
        <w:ind w:left="0" w:firstLine="0"/>
        <w:rPr>
          <w:rFonts w:ascii="Tahoma" w:hAnsi="Tahoma" w:cs="Tahoma"/>
          <w:sz w:val="18"/>
          <w:szCs w:val="18"/>
          <w:lang w:val="pt-BR"/>
        </w:rPr>
      </w:pPr>
    </w:p>
    <w:p w:rsidR="00023FE7" w:rsidRPr="008D38F6" w:rsidRDefault="00023FE7" w:rsidP="002F0514">
      <w:pPr>
        <w:pStyle w:val="AppendixFlushBulletedList"/>
        <w:tabs>
          <w:tab w:val="clear" w:pos="360"/>
        </w:tabs>
        <w:ind w:left="0" w:firstLine="0"/>
        <w:rPr>
          <w:lang w:val="pt-BR"/>
        </w:rPr>
      </w:pPr>
      <w:r w:rsidRPr="008D38F6">
        <w:rPr>
          <w:rFonts w:ascii="Tahoma" w:hAnsi="Tahoma" w:cs="Tahoma"/>
          <w:sz w:val="18"/>
          <w:szCs w:val="18"/>
          <w:lang w:val="pt-BR"/>
        </w:rPr>
        <w:t>O número de licenças do Home Use Program que pode ser adquirido para qualquer aplicativo de desktop determinado é limitado ao número de licenças de aplicativos de desktop qualificados correspondentes para os quais</w:t>
      </w:r>
      <w:r w:rsidR="00EF73D1" w:rsidRPr="008D38F6">
        <w:rPr>
          <w:rFonts w:ascii="Tahoma" w:hAnsi="Tahoma" w:cs="Tahoma"/>
          <w:sz w:val="18"/>
          <w:szCs w:val="18"/>
          <w:lang w:val="pt-BR"/>
        </w:rPr>
        <w:t> </w:t>
      </w:r>
      <w:r w:rsidRPr="008D38F6">
        <w:rPr>
          <w:rFonts w:ascii="Tahoma" w:hAnsi="Tahoma" w:cs="Tahoma"/>
          <w:sz w:val="18"/>
          <w:szCs w:val="18"/>
          <w:lang w:val="pt-BR"/>
        </w:rPr>
        <w:t>o</w:t>
      </w:r>
      <w:r w:rsidR="00E24B4A" w:rsidRPr="008D38F6">
        <w:rPr>
          <w:rFonts w:ascii="Tahoma" w:hAnsi="Tahoma" w:cs="Tahoma"/>
          <w:sz w:val="18"/>
          <w:szCs w:val="18"/>
          <w:lang w:val="pt-BR"/>
        </w:rPr>
        <w:t> </w:t>
      </w:r>
      <w:r w:rsidRPr="008D38F6">
        <w:rPr>
          <w:rFonts w:ascii="Tahoma" w:hAnsi="Tahoma" w:cs="Tahoma"/>
          <w:sz w:val="18"/>
          <w:szCs w:val="18"/>
          <w:lang w:val="pt-BR"/>
        </w:rPr>
        <w:t>cliente adquirir o Software Assurance.</w:t>
      </w:r>
      <w:r w:rsidR="00FB5496" w:rsidRPr="008D38F6">
        <w:rPr>
          <w:rFonts w:ascii="Tahoma" w:hAnsi="Tahoma" w:cs="Tahoma"/>
          <w:sz w:val="18"/>
          <w:szCs w:val="18"/>
          <w:lang w:val="pt-BR"/>
        </w:rPr>
        <w:t xml:space="preserve"> </w:t>
      </w:r>
      <w:r w:rsidRPr="008D38F6">
        <w:rPr>
          <w:rFonts w:ascii="Tahoma" w:hAnsi="Tahoma" w:cs="Tahoma"/>
          <w:sz w:val="18"/>
          <w:szCs w:val="18"/>
          <w:lang w:val="pt-BR"/>
        </w:rPr>
        <w:t>Sob o Home Use Program, os direitos de uso de um funcionário estão</w:t>
      </w:r>
      <w:r w:rsidR="002F0514" w:rsidRPr="008D38F6">
        <w:rPr>
          <w:rFonts w:ascii="Tahoma" w:hAnsi="Tahoma" w:cs="Tahoma"/>
          <w:sz w:val="18"/>
          <w:szCs w:val="18"/>
          <w:lang w:val="pt-BR"/>
        </w:rPr>
        <w:t> </w:t>
      </w:r>
      <w:r w:rsidRPr="008D38F6">
        <w:rPr>
          <w:rFonts w:ascii="Tahoma" w:hAnsi="Tahoma" w:cs="Tahoma"/>
          <w:sz w:val="18"/>
          <w:szCs w:val="18"/>
          <w:lang w:val="pt-BR"/>
        </w:rPr>
        <w:t>relacionados ao vínculo empregatício contínuo com o Cliente e eles se encerram com a rescisão do emprego, a</w:t>
      </w:r>
      <w:r w:rsidR="002F0514" w:rsidRPr="008D38F6">
        <w:rPr>
          <w:rFonts w:ascii="Tahoma" w:hAnsi="Tahoma" w:cs="Tahoma"/>
          <w:sz w:val="18"/>
          <w:szCs w:val="18"/>
          <w:lang w:val="pt-BR"/>
        </w:rPr>
        <w:t> </w:t>
      </w:r>
      <w:r w:rsidRPr="008D38F6">
        <w:rPr>
          <w:rFonts w:ascii="Tahoma" w:hAnsi="Tahoma" w:cs="Tahoma"/>
          <w:sz w:val="18"/>
          <w:szCs w:val="18"/>
          <w:lang w:val="pt-BR"/>
        </w:rPr>
        <w:t>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23FE7" w:rsidRPr="008D38F6" w:rsidRDefault="00023FE7" w:rsidP="002D25C8">
      <w:pPr>
        <w:pStyle w:val="AppendixFlushBulletedList"/>
        <w:tabs>
          <w:tab w:val="clear" w:pos="360"/>
        </w:tabs>
        <w:ind w:left="0" w:firstLine="0"/>
        <w:rPr>
          <w:rFonts w:ascii="Tahoma" w:hAnsi="Tahoma" w:cs="Tahoma"/>
          <w:sz w:val="18"/>
          <w:szCs w:val="18"/>
          <w:lang w:val="pt-BR"/>
        </w:rPr>
      </w:pPr>
    </w:p>
    <w:p w:rsidR="00023FE7" w:rsidRPr="008D38F6" w:rsidRDefault="00023FE7" w:rsidP="002D25C8">
      <w:pPr>
        <w:pStyle w:val="AppendixFlushBulletedList"/>
        <w:tabs>
          <w:tab w:val="clear" w:pos="360"/>
        </w:tabs>
        <w:ind w:left="0" w:firstLine="0"/>
        <w:rPr>
          <w:lang w:val="pt-BR"/>
        </w:rPr>
      </w:pPr>
      <w:r w:rsidRPr="008D38F6">
        <w:rPr>
          <w:rFonts w:ascii="Tahoma" w:hAnsi="Tahoma" w:cs="Tahoma"/>
          <w:sz w:val="18"/>
          <w:szCs w:val="18"/>
          <w:lang w:val="pt-BR"/>
        </w:rPr>
        <w:t>Os clientes não são responsáveis pela conformidade de seus funcionários individuais com os termos de licença de usuário final do Home Use Program.</w:t>
      </w:r>
      <w:r w:rsidR="00FB5496" w:rsidRPr="008D38F6">
        <w:rPr>
          <w:rFonts w:ascii="Tahoma" w:hAnsi="Tahoma" w:cs="Tahoma"/>
          <w:sz w:val="18"/>
          <w:szCs w:val="18"/>
          <w:lang w:val="pt-BR"/>
        </w:rPr>
        <w:t xml:space="preserve"> </w:t>
      </w:r>
      <w:r w:rsidRPr="008D38F6">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 funcionários e os informem sobre quando eles devem descontinuar o uso do software do Home Use Program juntamente com um lapso na cobertura do Software Assurance ou na rescisão do emprego.</w:t>
      </w:r>
    </w:p>
    <w:p w:rsidR="00023FE7" w:rsidRPr="008D38F6" w:rsidRDefault="00023FE7" w:rsidP="002D25C8">
      <w:pPr>
        <w:pStyle w:val="AppendixFlushBulletedList"/>
        <w:tabs>
          <w:tab w:val="clear" w:pos="360"/>
        </w:tabs>
        <w:ind w:left="0" w:firstLine="0"/>
        <w:rPr>
          <w:rFonts w:ascii="Tahoma" w:hAnsi="Tahoma" w:cs="Tahoma"/>
          <w:sz w:val="18"/>
          <w:szCs w:val="18"/>
          <w:lang w:val="pt-BR"/>
        </w:rPr>
      </w:pPr>
    </w:p>
    <w:p w:rsidR="00023FE7" w:rsidRPr="008D38F6" w:rsidRDefault="00023FE7" w:rsidP="002D25C8">
      <w:pPr>
        <w:rPr>
          <w:lang w:val="pt-BR"/>
        </w:rPr>
      </w:pPr>
      <w:r w:rsidRPr="008D38F6">
        <w:rPr>
          <w:rFonts w:cs="Tahoma"/>
          <w:color w:val="000000"/>
          <w:szCs w:val="18"/>
          <w:lang w:val="pt-BR"/>
        </w:rPr>
        <w:t>A participação nesse programa pode ter implicações de tributos para o cliente e seus funcionários.</w:t>
      </w:r>
      <w:r w:rsidR="00FB5496" w:rsidRPr="008D38F6">
        <w:rPr>
          <w:rFonts w:cs="Tahoma"/>
          <w:color w:val="000000"/>
          <w:szCs w:val="18"/>
          <w:lang w:val="pt-BR"/>
        </w:rPr>
        <w:t xml:space="preserve"> </w:t>
      </w:r>
      <w:r w:rsidRPr="008D38F6">
        <w:rPr>
          <w:rFonts w:cs="Tahoma"/>
          <w:color w:val="000000"/>
          <w:szCs w:val="18"/>
          <w:lang w:val="pt-BR"/>
        </w:rPr>
        <w:t>O cliente pode</w:t>
      </w:r>
      <w:r w:rsidR="00E24B4A" w:rsidRPr="008D38F6">
        <w:rPr>
          <w:rFonts w:cs="Tahoma"/>
          <w:color w:val="000000"/>
          <w:szCs w:val="18"/>
          <w:lang w:val="pt-BR"/>
        </w:rPr>
        <w:t> </w:t>
      </w:r>
      <w:r w:rsidRPr="008D38F6">
        <w:rPr>
          <w:rFonts w:cs="Tahoma"/>
          <w:color w:val="000000"/>
          <w:szCs w:val="18"/>
          <w:lang w:val="pt-BR"/>
        </w:rPr>
        <w:t>desejar contatar um consultor tributarista antes de usar esse benefício. A Microsoft não assume nenhuma responsabilidade pela conformidade com qualquer obrigação de benefício de trabalho, tributo ou relatório que o</w:t>
      </w:r>
      <w:r w:rsidR="00E24B4A" w:rsidRPr="008D38F6">
        <w:rPr>
          <w:rFonts w:cs="Tahoma"/>
          <w:color w:val="000000"/>
          <w:szCs w:val="18"/>
          <w:lang w:val="pt-BR"/>
        </w:rPr>
        <w:t> </w:t>
      </w:r>
      <w:r w:rsidRPr="008D38F6">
        <w:rPr>
          <w:rFonts w:cs="Tahoma"/>
          <w:color w:val="000000"/>
          <w:szCs w:val="18"/>
          <w:lang w:val="pt-BR"/>
        </w:rPr>
        <w:t xml:space="preserve">cliente ou seus funcionários possam ter. </w:t>
      </w:r>
      <w:r w:rsidRPr="008D38F6">
        <w:rPr>
          <w:lang w:val="pt-BR"/>
        </w:rPr>
        <w:t>Os termos adicionais que se aplicam aos funcionários na Nova Zelândia estão definidos a seguir:</w:t>
      </w:r>
    </w:p>
    <w:p w:rsidR="00023FE7" w:rsidRPr="008D38F6" w:rsidRDefault="00023FE7" w:rsidP="00F93617">
      <w:pPr>
        <w:rPr>
          <w:lang w:val="pt-BR"/>
        </w:rPr>
      </w:pPr>
    </w:p>
    <w:p w:rsidR="00023FE7" w:rsidRPr="008D38F6" w:rsidRDefault="00023FE7" w:rsidP="00C83670">
      <w:pPr>
        <w:numPr>
          <w:ilvl w:val="0"/>
          <w:numId w:val="12"/>
        </w:numPr>
        <w:tabs>
          <w:tab w:val="left" w:pos="1440"/>
        </w:tabs>
        <w:spacing w:afterLines="60" w:after="144"/>
        <w:ind w:left="1440"/>
        <w:rPr>
          <w:lang w:val="pt-BR"/>
        </w:rPr>
      </w:pPr>
      <w:r w:rsidRPr="008D38F6">
        <w:rPr>
          <w:lang w:val="pt-BR"/>
        </w:rPr>
        <w:t>Os clientes não devem exigir nenhum pagamento ou compensação dos funcionários em relação ao</w:t>
      </w:r>
      <w:r w:rsidR="00E24B4A" w:rsidRPr="008D38F6">
        <w:rPr>
          <w:lang w:val="pt-BR"/>
        </w:rPr>
        <w:t> </w:t>
      </w:r>
      <w:r w:rsidRPr="008D38F6">
        <w:rPr>
          <w:lang w:val="pt-BR"/>
        </w:rPr>
        <w:t>HUP nem fazer ou se omitir em fazer qualquer ação que possa resultar em um aumento do custo total de qualquer benefício do HUP para qualquer funcionário na Nova Zelândia além do valor</w:t>
      </w:r>
      <w:r w:rsidR="00E24B4A" w:rsidRPr="008D38F6">
        <w:rPr>
          <w:lang w:val="pt-BR"/>
        </w:rPr>
        <w:t> </w:t>
      </w:r>
      <w:r w:rsidRPr="008D38F6">
        <w:rPr>
          <w:lang w:val="pt-BR"/>
        </w:rPr>
        <w:t xml:space="preserve">cobrado pela Microsoft. </w:t>
      </w:r>
    </w:p>
    <w:p w:rsidR="00023FE7" w:rsidRPr="008D38F6" w:rsidRDefault="00023FE7" w:rsidP="00F93617">
      <w:pPr>
        <w:numPr>
          <w:ilvl w:val="0"/>
          <w:numId w:val="12"/>
        </w:numPr>
        <w:tabs>
          <w:tab w:val="left" w:pos="1440"/>
        </w:tabs>
        <w:ind w:left="1440"/>
        <w:rPr>
          <w:lang w:val="pt-BR"/>
        </w:rPr>
      </w:pPr>
      <w:r w:rsidRPr="008D38F6">
        <w:rPr>
          <w:lang w:val="pt-BR"/>
        </w:rPr>
        <w:t>Os clientes devem indenizar a Microsoft e suas afiliadas, além de mantê-las livres e isentas de quaisquer custos, despesas, perdas ou danos incorridos pela Microsoft ou suas afiliadas como resultado de uma falha do cliente em cumprir com as o</w:t>
      </w:r>
      <w:r w:rsidR="00EF73D1" w:rsidRPr="008D38F6">
        <w:rPr>
          <w:lang w:val="pt-BR"/>
        </w:rPr>
        <w:t>brigações contidas nesta seção.</w:t>
      </w:r>
    </w:p>
    <w:p w:rsidR="00023FE7" w:rsidRPr="008D38F6" w:rsidRDefault="00023FE7" w:rsidP="00F93617">
      <w:pPr>
        <w:rPr>
          <w:lang w:val="pt-BR"/>
        </w:rPr>
      </w:pPr>
    </w:p>
    <w:p w:rsidR="00023FE7" w:rsidRPr="008D38F6" w:rsidRDefault="00023FE7" w:rsidP="002D25C8">
      <w:pPr>
        <w:rPr>
          <w:lang w:val="pt-BR"/>
        </w:rPr>
      </w:pPr>
      <w:r w:rsidRPr="008D38F6">
        <w:rPr>
          <w:rFonts w:cs="Tahoma"/>
          <w:szCs w:val="18"/>
          <w:lang w:val="pt-BR"/>
        </w:rPr>
        <w:t>A lista de aplicativos de desktop qualificados está sujeita a alterações a qualquer momento, sem aviso prévio, e</w:t>
      </w:r>
      <w:r w:rsidR="00E24B4A" w:rsidRPr="008D38F6">
        <w:rPr>
          <w:rFonts w:cs="Tahoma"/>
          <w:szCs w:val="18"/>
          <w:lang w:val="pt-BR"/>
        </w:rPr>
        <w:t> </w:t>
      </w:r>
      <w:r w:rsidRPr="008D38F6">
        <w:rPr>
          <w:rFonts w:cs="Tahoma"/>
          <w:szCs w:val="18"/>
          <w:lang w:val="pt-BR"/>
        </w:rPr>
        <w:t>varia</w:t>
      </w:r>
      <w:r w:rsidR="00E24B4A" w:rsidRPr="008D38F6">
        <w:rPr>
          <w:rFonts w:cs="Tahoma"/>
          <w:szCs w:val="18"/>
          <w:lang w:val="pt-BR"/>
        </w:rPr>
        <w:t> </w:t>
      </w:r>
      <w:r w:rsidRPr="008D38F6">
        <w:rPr>
          <w:rFonts w:cs="Tahoma"/>
          <w:szCs w:val="18"/>
          <w:lang w:val="pt-BR"/>
        </w:rPr>
        <w:t>por região ou oferta. A disponibilidade do software do Home Use Program está sujeita a alterações a</w:t>
      </w:r>
      <w:r w:rsidR="00E24B4A" w:rsidRPr="008D38F6">
        <w:rPr>
          <w:rFonts w:cs="Tahoma"/>
          <w:szCs w:val="18"/>
          <w:lang w:val="pt-BR"/>
        </w:rPr>
        <w:t> </w:t>
      </w:r>
      <w:r w:rsidRPr="008D38F6">
        <w:rPr>
          <w:rFonts w:cs="Tahoma"/>
          <w:szCs w:val="18"/>
          <w:lang w:val="pt-BR"/>
        </w:rPr>
        <w:t>qualquer</w:t>
      </w:r>
      <w:r w:rsidR="00E24B4A" w:rsidRPr="008D38F6">
        <w:rPr>
          <w:rFonts w:cs="Tahoma"/>
          <w:szCs w:val="18"/>
          <w:lang w:val="pt-BR"/>
        </w:rPr>
        <w:t> </w:t>
      </w:r>
      <w:r w:rsidRPr="008D38F6">
        <w:rPr>
          <w:rFonts w:cs="Tahoma"/>
          <w:szCs w:val="18"/>
          <w:lang w:val="pt-BR"/>
        </w:rPr>
        <w:t>momento, sem aviso, e varia por região, oferta, aplicativo, versão e idioma.</w:t>
      </w:r>
    </w:p>
    <w:p w:rsidR="00023FE7" w:rsidRPr="008D38F6" w:rsidRDefault="00023FE7" w:rsidP="002D25C8">
      <w:pPr>
        <w:rPr>
          <w:lang w:val="pt-BR"/>
        </w:rPr>
      </w:pPr>
    </w:p>
    <w:p w:rsidR="00023FE7" w:rsidRPr="008D38F6" w:rsidRDefault="00502827" w:rsidP="00EC05F0">
      <w:pPr>
        <w:keepNext/>
        <w:keepLines/>
        <w:rPr>
          <w:lang w:val="pt-BR"/>
        </w:rPr>
      </w:pPr>
      <w:r w:rsidRPr="008D38F6">
        <w:rPr>
          <w:rFonts w:cs="Tahoma"/>
          <w:szCs w:val="18"/>
          <w:lang w:val="pt-BR"/>
        </w:rPr>
        <w:lastRenderedPageBreak/>
        <w:t>O HUP do Microsoft Office Professional Plus contém os seguintes programas do Microsoft Office:</w:t>
      </w:r>
    </w:p>
    <w:p w:rsidR="00023FE7" w:rsidRPr="008D38F6" w:rsidRDefault="00023FE7" w:rsidP="00EC05F0">
      <w:pPr>
        <w:keepNext/>
        <w:keepLines/>
        <w:rPr>
          <w:lang w:val="pt-B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416070" w:rsidTr="00BF1889">
        <w:trPr>
          <w:trHeight w:val="60"/>
        </w:trPr>
        <w:tc>
          <w:tcPr>
            <w:tcW w:w="4437" w:type="dxa"/>
            <w:shd w:val="clear" w:color="auto" w:fill="FABF8F"/>
            <w:tcMar>
              <w:top w:w="0" w:type="dxa"/>
              <w:left w:w="108" w:type="dxa"/>
              <w:bottom w:w="0" w:type="dxa"/>
              <w:right w:w="108" w:type="dxa"/>
            </w:tcMar>
            <w:vAlign w:val="center"/>
          </w:tcPr>
          <w:p w:rsidR="00CA6072" w:rsidRPr="00416070" w:rsidRDefault="00CA6072" w:rsidP="00EC05F0">
            <w:pPr>
              <w:pStyle w:val="appendixtableheadings0"/>
              <w:keepNext/>
              <w:keepLines/>
            </w:pPr>
            <w:r w:rsidRPr="00416070">
              <w:rPr>
                <w:rFonts w:ascii="Tahoma" w:hAnsi="Tahoma" w:cs="Tahoma"/>
                <w:color w:val="000000"/>
                <w:sz w:val="20"/>
                <w:szCs w:val="20"/>
              </w:rPr>
              <w:t xml:space="preserve">Componentes do Office Professional Plus para HUP </w:t>
            </w:r>
          </w:p>
          <w:p w:rsidR="00023FE7" w:rsidRPr="00416070" w:rsidRDefault="00023FE7" w:rsidP="00EC05F0">
            <w:pPr>
              <w:pStyle w:val="appendixtableheadings0"/>
              <w:keepNext/>
              <w:keepLines/>
              <w:rPr>
                <w:rFonts w:ascii="Tahoma" w:hAnsi="Tahoma" w:cs="Tahoma"/>
                <w:color w:val="000000"/>
                <w:sz w:val="20"/>
                <w:szCs w:val="20"/>
              </w:rPr>
            </w:pPr>
          </w:p>
        </w:tc>
      </w:tr>
      <w:tr w:rsidR="00023FE7" w:rsidRPr="00416070" w:rsidTr="00BF1889">
        <w:trPr>
          <w:trHeight w:val="438"/>
        </w:trPr>
        <w:tc>
          <w:tcPr>
            <w:tcW w:w="4437" w:type="dxa"/>
            <w:tcMar>
              <w:top w:w="0" w:type="dxa"/>
              <w:left w:w="108" w:type="dxa"/>
              <w:bottom w:w="0" w:type="dxa"/>
              <w:right w:w="108" w:type="dxa"/>
            </w:tcMar>
            <w:vAlign w:val="center"/>
          </w:tcPr>
          <w:p w:rsidR="00CA6072" w:rsidRPr="00416070" w:rsidRDefault="00CA6072" w:rsidP="00EC05F0">
            <w:pPr>
              <w:pStyle w:val="appendixtabletext0"/>
              <w:keepNext/>
              <w:keepLines/>
            </w:pPr>
            <w:r w:rsidRPr="00416070">
              <w:rPr>
                <w:rFonts w:ascii="Tahoma" w:hAnsi="Tahoma" w:cs="Tahoma"/>
                <w:color w:val="000000"/>
              </w:rPr>
              <w:t>Word 2013</w:t>
            </w:r>
          </w:p>
          <w:p w:rsidR="00CA6072" w:rsidRPr="00416070" w:rsidRDefault="00CA6072" w:rsidP="00EC05F0">
            <w:pPr>
              <w:pStyle w:val="appendixtabletext0"/>
              <w:keepNext/>
              <w:keepLines/>
            </w:pPr>
            <w:r w:rsidRPr="00416070">
              <w:rPr>
                <w:rFonts w:ascii="Tahoma" w:hAnsi="Tahoma" w:cs="Tahoma"/>
                <w:color w:val="000000"/>
              </w:rPr>
              <w:t>Excel</w:t>
            </w:r>
            <w:r w:rsidR="00510A6E" w:rsidRPr="00416070">
              <w:rPr>
                <w:rFonts w:ascii="Tahoma" w:hAnsi="Tahoma" w:cs="Tahoma"/>
                <w:color w:val="000000"/>
                <w:vertAlign w:val="superscript"/>
              </w:rPr>
              <w:t>®</w:t>
            </w:r>
            <w:r w:rsidRPr="00416070">
              <w:rPr>
                <w:rFonts w:ascii="Tahoma" w:hAnsi="Tahoma" w:cs="Tahoma"/>
                <w:color w:val="000000"/>
              </w:rPr>
              <w:t xml:space="preserve"> 2013</w:t>
            </w:r>
          </w:p>
          <w:p w:rsidR="00CA6072" w:rsidRPr="00416070" w:rsidRDefault="00CA6072" w:rsidP="00EC05F0">
            <w:pPr>
              <w:pStyle w:val="appendixtabletext0"/>
              <w:keepNext/>
              <w:keepLines/>
            </w:pPr>
            <w:r w:rsidRPr="00416070">
              <w:rPr>
                <w:rFonts w:ascii="Tahoma" w:hAnsi="Tahoma" w:cs="Tahoma"/>
                <w:color w:val="000000"/>
              </w:rPr>
              <w:t>PowerPoint</w:t>
            </w:r>
            <w:r w:rsidR="00510A6E" w:rsidRPr="00416070">
              <w:rPr>
                <w:rFonts w:ascii="Tahoma" w:hAnsi="Tahoma" w:cs="Tahoma"/>
                <w:color w:val="000000"/>
                <w:vertAlign w:val="superscript"/>
              </w:rPr>
              <w:t>®</w:t>
            </w:r>
            <w:r w:rsidRPr="00416070">
              <w:rPr>
                <w:rFonts w:ascii="Tahoma" w:hAnsi="Tahoma" w:cs="Tahoma"/>
                <w:color w:val="000000"/>
              </w:rPr>
              <w:t xml:space="preserve"> 2013</w:t>
            </w:r>
          </w:p>
          <w:p w:rsidR="00CA6072" w:rsidRPr="00416070" w:rsidRDefault="00CA6072" w:rsidP="00EC05F0">
            <w:pPr>
              <w:pStyle w:val="appendixtabletext0"/>
              <w:keepNext/>
              <w:keepLines/>
            </w:pPr>
            <w:r w:rsidRPr="00416070">
              <w:rPr>
                <w:rFonts w:ascii="Tahoma" w:hAnsi="Tahoma" w:cs="Tahoma"/>
                <w:color w:val="000000"/>
              </w:rPr>
              <w:t>Outlook</w:t>
            </w:r>
            <w:r w:rsidR="00510A6E" w:rsidRPr="00416070">
              <w:rPr>
                <w:rFonts w:ascii="Tahoma" w:hAnsi="Tahoma" w:cs="Tahoma"/>
                <w:color w:val="000000"/>
                <w:vertAlign w:val="superscript"/>
              </w:rPr>
              <w:t>®</w:t>
            </w:r>
            <w:r w:rsidRPr="00416070">
              <w:rPr>
                <w:rFonts w:ascii="Tahoma" w:hAnsi="Tahoma" w:cs="Tahoma"/>
                <w:color w:val="000000"/>
              </w:rPr>
              <w:t xml:space="preserve"> 2013</w:t>
            </w:r>
          </w:p>
          <w:p w:rsidR="00CA6072" w:rsidRPr="00416070" w:rsidRDefault="00CA6072" w:rsidP="00EC05F0">
            <w:pPr>
              <w:pStyle w:val="appendixtabletext0"/>
              <w:keepNext/>
              <w:keepLines/>
            </w:pPr>
            <w:r w:rsidRPr="00416070">
              <w:rPr>
                <w:rFonts w:ascii="Tahoma" w:hAnsi="Tahoma" w:cs="Tahoma"/>
                <w:color w:val="000000"/>
              </w:rPr>
              <w:t>Publisher 2013</w:t>
            </w:r>
          </w:p>
          <w:p w:rsidR="00CA6072" w:rsidRPr="00416070" w:rsidRDefault="00CA6072" w:rsidP="00EC05F0">
            <w:pPr>
              <w:pStyle w:val="appendixtabletext0"/>
              <w:keepNext/>
              <w:keepLines/>
            </w:pPr>
            <w:r w:rsidRPr="00416070">
              <w:rPr>
                <w:rFonts w:ascii="Tahoma" w:hAnsi="Tahoma" w:cs="Tahoma"/>
                <w:color w:val="000000"/>
              </w:rPr>
              <w:t>Access</w:t>
            </w:r>
            <w:r w:rsidR="00510A6E" w:rsidRPr="00416070">
              <w:rPr>
                <w:rFonts w:ascii="Tahoma" w:hAnsi="Tahoma" w:cs="Tahoma"/>
                <w:color w:val="000000"/>
                <w:vertAlign w:val="superscript"/>
              </w:rPr>
              <w:t>®</w:t>
            </w:r>
            <w:r w:rsidRPr="00416070">
              <w:rPr>
                <w:rFonts w:ascii="Tahoma" w:hAnsi="Tahoma" w:cs="Tahoma"/>
                <w:color w:val="000000"/>
              </w:rPr>
              <w:t xml:space="preserve"> 2013</w:t>
            </w:r>
          </w:p>
          <w:p w:rsidR="00CA6072" w:rsidRPr="00416070" w:rsidRDefault="00CA6072" w:rsidP="00EC05F0">
            <w:pPr>
              <w:pStyle w:val="appendixtabletext0"/>
              <w:keepNext/>
              <w:keepLines/>
            </w:pPr>
            <w:r w:rsidRPr="00416070">
              <w:rPr>
                <w:rFonts w:ascii="Tahoma" w:hAnsi="Tahoma" w:cs="Tahoma"/>
                <w:color w:val="000000"/>
              </w:rPr>
              <w:t>OneNote</w:t>
            </w:r>
            <w:r w:rsidR="00510A6E" w:rsidRPr="00416070">
              <w:rPr>
                <w:rFonts w:ascii="Tahoma" w:hAnsi="Tahoma" w:cs="Tahoma"/>
                <w:color w:val="000000"/>
                <w:vertAlign w:val="superscript"/>
              </w:rPr>
              <w:t>®</w:t>
            </w:r>
            <w:r w:rsidRPr="00416070">
              <w:rPr>
                <w:rFonts w:ascii="Tahoma" w:hAnsi="Tahoma" w:cs="Tahoma"/>
                <w:color w:val="000000"/>
              </w:rPr>
              <w:t xml:space="preserve"> 2013</w:t>
            </w:r>
          </w:p>
          <w:p w:rsidR="00CA6072" w:rsidRPr="00416070" w:rsidRDefault="00CA6072" w:rsidP="00EC05F0">
            <w:pPr>
              <w:pStyle w:val="appendixtabletext0"/>
              <w:keepNext/>
              <w:keepLines/>
            </w:pPr>
            <w:r w:rsidRPr="00416070">
              <w:rPr>
                <w:rFonts w:ascii="Tahoma" w:hAnsi="Tahoma" w:cs="Tahoma"/>
                <w:color w:val="000000"/>
              </w:rPr>
              <w:t>InfoPath</w:t>
            </w:r>
            <w:r w:rsidR="00510A6E" w:rsidRPr="00416070">
              <w:rPr>
                <w:rFonts w:ascii="Tahoma" w:hAnsi="Tahoma" w:cs="Tahoma"/>
                <w:color w:val="000000"/>
                <w:vertAlign w:val="superscript"/>
              </w:rPr>
              <w:t>®</w:t>
            </w:r>
            <w:r w:rsidRPr="00416070">
              <w:rPr>
                <w:rFonts w:ascii="Tahoma" w:hAnsi="Tahoma" w:cs="Tahoma"/>
                <w:color w:val="000000"/>
              </w:rPr>
              <w:t xml:space="preserve"> 2013</w:t>
            </w:r>
          </w:p>
          <w:p w:rsidR="00502827" w:rsidRPr="00416070" w:rsidRDefault="00B9674D" w:rsidP="00EC05F0">
            <w:pPr>
              <w:pStyle w:val="appendixtabletext0"/>
              <w:keepNext/>
              <w:keepLines/>
            </w:pPr>
            <w:r w:rsidRPr="00416070">
              <w:rPr>
                <w:rFonts w:ascii="Tahoma" w:hAnsi="Tahoma" w:cs="Tahoma"/>
                <w:color w:val="000000"/>
              </w:rPr>
              <w:t>Lync 2013</w:t>
            </w:r>
          </w:p>
          <w:p w:rsidR="002D25C8" w:rsidRPr="00416070" w:rsidRDefault="002D25C8" w:rsidP="00EC05F0">
            <w:pPr>
              <w:pStyle w:val="appendixtabletext0"/>
              <w:keepNext/>
              <w:keepLines/>
              <w:rPr>
                <w:rFonts w:ascii="Tahoma" w:hAnsi="Tahoma" w:cs="Tahoma"/>
                <w:color w:val="000000"/>
              </w:rPr>
            </w:pPr>
          </w:p>
        </w:tc>
      </w:tr>
    </w:tbl>
    <w:p w:rsidR="001C1727" w:rsidRPr="00416070" w:rsidRDefault="001C1727" w:rsidP="001C1727"/>
    <w:p w:rsidR="00023FE7" w:rsidRPr="00416070"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B06414"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16070" w:rsidRDefault="00CA6072" w:rsidP="001B035A">
            <w:pPr>
              <w:pStyle w:val="appendixtableheadings0"/>
              <w:rPr>
                <w:rFonts w:ascii="Tahoma" w:hAnsi="Tahoma" w:cs="Tahoma"/>
                <w:color w:val="000000"/>
                <w:sz w:val="20"/>
                <w:szCs w:val="20"/>
              </w:rPr>
            </w:pPr>
            <w:r w:rsidRPr="00416070">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8D38F6" w:rsidRDefault="00CA6072" w:rsidP="001B035A">
            <w:pPr>
              <w:pStyle w:val="appendixtableheadings0"/>
              <w:rPr>
                <w:rFonts w:ascii="Tahoma" w:hAnsi="Tahoma" w:cs="Tahoma"/>
                <w:color w:val="000000"/>
                <w:sz w:val="20"/>
                <w:szCs w:val="20"/>
                <w:lang w:val="pt-BR"/>
              </w:rPr>
            </w:pPr>
            <w:r w:rsidRPr="008D38F6">
              <w:rPr>
                <w:rFonts w:ascii="Tahoma" w:hAnsi="Tahoma" w:cs="Tahoma"/>
                <w:color w:val="000000"/>
                <w:sz w:val="20"/>
                <w:szCs w:val="20"/>
                <w:lang w:val="pt-BR"/>
              </w:rPr>
              <w:t xml:space="preserve">Licença do Home Use Program </w:t>
            </w:r>
            <w:r w:rsidRPr="008D38F6">
              <w:rPr>
                <w:rFonts w:ascii="Tahoma" w:hAnsi="Tahoma" w:cs="Tahoma"/>
                <w:color w:val="000000"/>
                <w:sz w:val="20"/>
                <w:szCs w:val="20"/>
                <w:lang w:val="pt-BR"/>
              </w:rPr>
              <w:br/>
              <w:t>Correspondente</w:t>
            </w:r>
          </w:p>
        </w:tc>
      </w:tr>
      <w:tr w:rsidR="004D700D" w:rsidRPr="0041607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16070" w:rsidRDefault="004D700D" w:rsidP="001B035A">
            <w:pPr>
              <w:pStyle w:val="appendixtabletext0"/>
            </w:pPr>
            <w:r w:rsidRPr="00416070">
              <w:rPr>
                <w:rFonts w:ascii="Tahoma" w:hAnsi="Tahoma" w:cs="Tahoma"/>
                <w:color w:val="000000"/>
              </w:rPr>
              <w:t>Office Standard 2010/2013</w:t>
            </w:r>
          </w:p>
          <w:p w:rsidR="004D700D" w:rsidRPr="00416070" w:rsidRDefault="004D700D" w:rsidP="001B035A">
            <w:pPr>
              <w:pStyle w:val="appendixtabletext0"/>
            </w:pPr>
            <w:r w:rsidRPr="00416070">
              <w:rPr>
                <w:rFonts w:ascii="Tahoma" w:hAnsi="Tahoma" w:cs="Tahoma"/>
                <w:color w:val="000000"/>
              </w:rPr>
              <w:t>Office Professional Plus 2010/2013</w:t>
            </w:r>
          </w:p>
          <w:p w:rsidR="004D700D" w:rsidRPr="00416070" w:rsidRDefault="004D700D" w:rsidP="005019D3">
            <w:pPr>
              <w:pStyle w:val="appendixtabletext0"/>
              <w:rPr>
                <w:rFonts w:ascii="Tahoma" w:hAnsi="Tahoma" w:cs="Tahoma"/>
                <w:color w:val="000000"/>
              </w:rPr>
            </w:pPr>
            <w:r w:rsidRPr="00416070">
              <w:rPr>
                <w:rFonts w:ascii="Tahoma" w:hAnsi="Tahoma" w:cs="Tahoma"/>
                <w:color w:val="000000"/>
              </w:rPr>
              <w:t>Office para Mac 2008/Office for Mac</w:t>
            </w:r>
            <w:r w:rsidR="00E24B4A" w:rsidRPr="00416070">
              <w:rPr>
                <w:rFonts w:ascii="Tahoma" w:hAnsi="Tahoma" w:cs="Tahoma"/>
                <w:color w:val="000000"/>
              </w:rPr>
              <w:t> </w:t>
            </w:r>
            <w:r w:rsidRPr="00416070">
              <w:rPr>
                <w:rFonts w:ascii="Tahoma" w:hAnsi="Tahoma" w:cs="Tahoma"/>
                <w:color w:val="000000"/>
              </w:rPr>
              <w:t>Standard</w:t>
            </w:r>
            <w:r w:rsidR="00E24B4A" w:rsidRPr="00416070">
              <w:rPr>
                <w:rFonts w:ascii="Tahoma" w:hAnsi="Tahoma" w:cs="Tahoma"/>
                <w:color w:val="000000"/>
              </w:rPr>
              <w:t> </w:t>
            </w:r>
            <w:r w:rsidRPr="00416070">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16070" w:rsidRDefault="004D700D" w:rsidP="00735622">
            <w:pPr>
              <w:pStyle w:val="appendixtabletext0"/>
            </w:pPr>
            <w:r w:rsidRPr="00416070">
              <w:rPr>
                <w:rFonts w:ascii="Tahoma" w:hAnsi="Tahoma" w:cs="Tahoma"/>
                <w:color w:val="000000"/>
              </w:rPr>
              <w:t>Office Professional Plus 2013 HUP</w:t>
            </w:r>
          </w:p>
          <w:p w:rsidR="004D700D" w:rsidRPr="00416070" w:rsidRDefault="004D700D" w:rsidP="00735622">
            <w:pPr>
              <w:pStyle w:val="appendixtabletext0"/>
            </w:pPr>
            <w:r w:rsidRPr="00416070">
              <w:rPr>
                <w:rFonts w:ascii="Tahoma" w:hAnsi="Tahoma" w:cs="Tahoma"/>
                <w:color w:val="000000"/>
              </w:rPr>
              <w:t>ou</w:t>
            </w:r>
          </w:p>
          <w:p w:rsidR="004D700D" w:rsidRPr="00416070" w:rsidRDefault="00E316C2" w:rsidP="00C37E9D">
            <w:pPr>
              <w:pStyle w:val="appendixtabletext0"/>
              <w:rPr>
                <w:rFonts w:ascii="Tahoma" w:hAnsi="Tahoma" w:cs="Tahoma"/>
                <w:color w:val="000000"/>
              </w:rPr>
            </w:pPr>
            <w:r w:rsidRPr="00416070">
              <w:rPr>
                <w:rFonts w:ascii="Tahoma" w:hAnsi="Tahoma" w:cs="Tahoma"/>
                <w:color w:val="000000"/>
              </w:rPr>
              <w:t>HUP do Office para Mac Home &amp; Business 2011</w:t>
            </w:r>
          </w:p>
        </w:tc>
      </w:tr>
      <w:tr w:rsidR="004D700D" w:rsidRPr="0041607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16070" w:rsidRDefault="004D700D" w:rsidP="001B035A">
            <w:pPr>
              <w:pStyle w:val="appendixtabletext0"/>
            </w:pPr>
            <w:r w:rsidRPr="00416070">
              <w:rPr>
                <w:rFonts w:ascii="Tahoma" w:hAnsi="Tahoma" w:cs="Tahoma"/>
                <w:color w:val="000000"/>
              </w:rPr>
              <w:t>Access 2010/2013</w:t>
            </w:r>
          </w:p>
          <w:p w:rsidR="004D700D" w:rsidRPr="00416070" w:rsidRDefault="004D700D" w:rsidP="001B035A">
            <w:pPr>
              <w:pStyle w:val="appendixtabletext0"/>
            </w:pPr>
            <w:r w:rsidRPr="00416070">
              <w:rPr>
                <w:rFonts w:ascii="Tahoma" w:hAnsi="Tahoma" w:cs="Tahoma"/>
                <w:color w:val="000000"/>
              </w:rPr>
              <w:t>Excel 2010/2013</w:t>
            </w:r>
          </w:p>
          <w:p w:rsidR="004D700D" w:rsidRPr="00416070" w:rsidRDefault="004D700D" w:rsidP="001B035A">
            <w:pPr>
              <w:pStyle w:val="appendixtabletext0"/>
            </w:pPr>
            <w:r w:rsidRPr="00416070">
              <w:rPr>
                <w:rFonts w:ascii="Tahoma" w:hAnsi="Tahoma" w:cs="Tahoma"/>
                <w:color w:val="000000"/>
              </w:rPr>
              <w:t>PowerPoint 2010/2013</w:t>
            </w:r>
          </w:p>
          <w:p w:rsidR="004D700D" w:rsidRPr="00416070" w:rsidRDefault="004D700D" w:rsidP="001B035A">
            <w:pPr>
              <w:pStyle w:val="appendixtabletext0"/>
            </w:pPr>
            <w:r w:rsidRPr="00416070">
              <w:rPr>
                <w:rFonts w:ascii="Tahoma" w:hAnsi="Tahoma" w:cs="Tahoma"/>
                <w:color w:val="000000"/>
              </w:rPr>
              <w:t>InfoPath 2010/2013</w:t>
            </w:r>
          </w:p>
          <w:p w:rsidR="004D700D" w:rsidRPr="00416070" w:rsidRDefault="004D700D" w:rsidP="001B035A">
            <w:pPr>
              <w:pStyle w:val="appendixtabletext0"/>
            </w:pPr>
            <w:r w:rsidRPr="00416070">
              <w:rPr>
                <w:rFonts w:ascii="Tahoma" w:hAnsi="Tahoma" w:cs="Tahoma"/>
                <w:color w:val="000000"/>
              </w:rPr>
              <w:t>OneNote 2010/2013</w:t>
            </w:r>
          </w:p>
          <w:p w:rsidR="004D700D" w:rsidRPr="00416070" w:rsidRDefault="004D700D" w:rsidP="001B035A">
            <w:pPr>
              <w:pStyle w:val="appendixtabletext0"/>
            </w:pPr>
            <w:r w:rsidRPr="00416070">
              <w:rPr>
                <w:rFonts w:ascii="Tahoma" w:hAnsi="Tahoma" w:cs="Tahoma"/>
                <w:color w:val="000000"/>
              </w:rPr>
              <w:t>Outlook 2010/2013</w:t>
            </w:r>
          </w:p>
          <w:p w:rsidR="004D700D" w:rsidRPr="00416070" w:rsidRDefault="004D700D" w:rsidP="001B035A">
            <w:pPr>
              <w:pStyle w:val="appendixtabletext0"/>
            </w:pPr>
            <w:r w:rsidRPr="00416070">
              <w:rPr>
                <w:rFonts w:ascii="Tahoma" w:hAnsi="Tahoma" w:cs="Tahoma"/>
                <w:color w:val="000000"/>
              </w:rPr>
              <w:t>Publisher 2010/2013</w:t>
            </w:r>
          </w:p>
          <w:p w:rsidR="004D700D" w:rsidRPr="00416070" w:rsidRDefault="004D700D" w:rsidP="00737AED">
            <w:pPr>
              <w:pStyle w:val="appendixtabletext0"/>
            </w:pPr>
            <w:r w:rsidRPr="00416070">
              <w:rPr>
                <w:rFonts w:ascii="Tahoma" w:hAnsi="Tahoma" w:cs="Tahoma"/>
                <w:color w:val="000000"/>
              </w:rPr>
              <w:t>Word 2010/2013</w:t>
            </w:r>
          </w:p>
          <w:p w:rsidR="00737AED" w:rsidRPr="00416070"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16070" w:rsidRDefault="004D700D" w:rsidP="00735622">
            <w:pPr>
              <w:pStyle w:val="appendixtabletext0"/>
            </w:pPr>
            <w:r w:rsidRPr="00416070">
              <w:rPr>
                <w:rFonts w:ascii="Tahoma" w:hAnsi="Tahoma" w:cs="Tahoma"/>
                <w:color w:val="000000"/>
              </w:rPr>
              <w:t>Office Professional Plus 2013 HUP</w:t>
            </w:r>
          </w:p>
          <w:p w:rsidR="004D700D" w:rsidRPr="00416070" w:rsidRDefault="004D700D" w:rsidP="00735622">
            <w:pPr>
              <w:pStyle w:val="appendixtabletext0"/>
            </w:pPr>
            <w:r w:rsidRPr="00416070">
              <w:rPr>
                <w:rFonts w:ascii="Tahoma" w:hAnsi="Tahoma" w:cs="Tahoma"/>
                <w:color w:val="000000"/>
              </w:rPr>
              <w:t>ou</w:t>
            </w:r>
          </w:p>
          <w:p w:rsidR="004D700D" w:rsidRPr="00416070" w:rsidRDefault="00E316C2" w:rsidP="00C37E9D">
            <w:pPr>
              <w:pStyle w:val="appendixtabletext0"/>
              <w:rPr>
                <w:rFonts w:ascii="Tahoma" w:hAnsi="Tahoma" w:cs="Tahoma"/>
                <w:color w:val="000000"/>
              </w:rPr>
            </w:pPr>
            <w:r w:rsidRPr="00416070">
              <w:rPr>
                <w:rFonts w:ascii="Tahoma" w:hAnsi="Tahoma" w:cs="Tahoma"/>
                <w:color w:val="000000"/>
              </w:rPr>
              <w:t>HUP do Office para Mac Home &amp; Business 2011</w:t>
            </w:r>
          </w:p>
        </w:tc>
      </w:tr>
      <w:tr w:rsidR="00CA6072" w:rsidRPr="0041607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16070" w:rsidRDefault="00CA6072" w:rsidP="001B035A">
            <w:pPr>
              <w:pStyle w:val="appendixtabletext0"/>
            </w:pPr>
            <w:r w:rsidRPr="00416070">
              <w:rPr>
                <w:rFonts w:ascii="Tahoma" w:hAnsi="Tahoma" w:cs="Tahoma"/>
                <w:color w:val="000000"/>
              </w:rPr>
              <w:t xml:space="preserve">Visio Standard 2010/2013 </w:t>
            </w:r>
          </w:p>
          <w:p w:rsidR="00502827" w:rsidRPr="00416070" w:rsidRDefault="00CA6072" w:rsidP="00502827">
            <w:pPr>
              <w:pStyle w:val="appendixtabletext0"/>
            </w:pPr>
            <w:r w:rsidRPr="00416070">
              <w:rPr>
                <w:rFonts w:ascii="Tahoma" w:hAnsi="Tahoma" w:cs="Tahoma"/>
                <w:color w:val="000000"/>
              </w:rPr>
              <w:t>Visio Professional 2010/2013</w:t>
            </w:r>
            <w:r w:rsidRPr="00416070">
              <w:rPr>
                <w:rFonts w:ascii="Tahoma" w:hAnsi="Tahoma" w:cs="Tahoma"/>
                <w:strike/>
                <w:color w:val="000000"/>
              </w:rPr>
              <w:t xml:space="preserve"> </w:t>
            </w:r>
          </w:p>
          <w:p w:rsidR="00502827" w:rsidRPr="00416070"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16070" w:rsidRDefault="00CA6072" w:rsidP="001B035A">
            <w:pPr>
              <w:pStyle w:val="appendixtabletext0"/>
            </w:pPr>
            <w:r w:rsidRPr="00416070">
              <w:rPr>
                <w:rFonts w:ascii="Tahoma" w:hAnsi="Tahoma" w:cs="Tahoma"/>
                <w:color w:val="000000"/>
              </w:rPr>
              <w:t>HUP do Visio Professional 2013</w:t>
            </w:r>
          </w:p>
          <w:p w:rsidR="00CA6072" w:rsidRPr="00416070" w:rsidRDefault="00CA6072" w:rsidP="001B035A">
            <w:pPr>
              <w:pStyle w:val="appendixtabletext0"/>
              <w:rPr>
                <w:rFonts w:ascii="Tahoma" w:hAnsi="Tahoma" w:cs="Tahoma"/>
                <w:color w:val="000000"/>
              </w:rPr>
            </w:pPr>
          </w:p>
        </w:tc>
      </w:tr>
      <w:tr w:rsidR="00CA6072" w:rsidRPr="0041607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16070" w:rsidRDefault="00CA6072" w:rsidP="001B035A">
            <w:pPr>
              <w:pStyle w:val="appendixtabletext0"/>
            </w:pPr>
            <w:r w:rsidRPr="00416070">
              <w:rPr>
                <w:rFonts w:ascii="Tahoma" w:hAnsi="Tahoma" w:cs="Tahoma"/>
                <w:color w:val="000000"/>
              </w:rPr>
              <w:t>Project Standard 2010/2013</w:t>
            </w:r>
          </w:p>
          <w:p w:rsidR="00CA6072" w:rsidRPr="00416070" w:rsidRDefault="00CA6072" w:rsidP="001E3357">
            <w:pPr>
              <w:pStyle w:val="appendixtabletext0"/>
            </w:pPr>
            <w:r w:rsidRPr="00416070">
              <w:rPr>
                <w:rFonts w:ascii="Tahoma" w:hAnsi="Tahoma" w:cs="Tahoma"/>
                <w:color w:val="000000"/>
              </w:rPr>
              <w:t>Project Professional 2010/2013</w:t>
            </w:r>
          </w:p>
          <w:p w:rsidR="00737AED" w:rsidRPr="00416070"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16070" w:rsidRDefault="00CA6072" w:rsidP="001B035A">
            <w:pPr>
              <w:pStyle w:val="appendixtabletext0"/>
            </w:pPr>
            <w:r w:rsidRPr="00416070">
              <w:rPr>
                <w:rFonts w:ascii="Tahoma" w:hAnsi="Tahoma" w:cs="Tahoma"/>
                <w:color w:val="000000"/>
              </w:rPr>
              <w:t>HUP do Project Standard 2013</w:t>
            </w:r>
          </w:p>
          <w:p w:rsidR="00CA6072" w:rsidRPr="00416070" w:rsidRDefault="00CA6072" w:rsidP="001B035A">
            <w:pPr>
              <w:pStyle w:val="appendixtabletext0"/>
              <w:rPr>
                <w:rFonts w:ascii="Tahoma" w:hAnsi="Tahoma" w:cs="Tahoma"/>
                <w:color w:val="000000"/>
              </w:rPr>
            </w:pPr>
            <w:r w:rsidRPr="00416070">
              <w:rPr>
                <w:rFonts w:ascii="Tahoma" w:hAnsi="Tahoma" w:cs="Tahoma"/>
                <w:color w:val="000000"/>
              </w:rPr>
              <w:t xml:space="preserve"> </w:t>
            </w:r>
          </w:p>
        </w:tc>
      </w:tr>
    </w:tbl>
    <w:p w:rsidR="00023FE7" w:rsidRPr="008D38F6" w:rsidRDefault="00023FE7">
      <w:pPr>
        <w:pStyle w:val="AppendixBodyText"/>
        <w:ind w:left="630"/>
        <w:rPr>
          <w:rFonts w:ascii="Tahoma" w:hAnsi="Tahoma" w:cs="Tahoma"/>
          <w:sz w:val="16"/>
          <w:szCs w:val="16"/>
          <w:lang w:val="pt-BR"/>
        </w:rPr>
      </w:pPr>
      <w:r w:rsidRPr="008D38F6">
        <w:rPr>
          <w:rFonts w:ascii="Tahoma" w:hAnsi="Tahoma" w:cs="Tahoma"/>
          <w:b/>
          <w:i/>
          <w:sz w:val="16"/>
          <w:szCs w:val="16"/>
          <w:lang w:val="pt-BR"/>
        </w:rPr>
        <w:t>*</w:t>
      </w:r>
      <w:r w:rsidRPr="008D38F6">
        <w:rPr>
          <w:rFonts w:ascii="Tahoma" w:hAnsi="Tahoma" w:cs="Tahoma"/>
          <w:i/>
          <w:sz w:val="16"/>
          <w:szCs w:val="16"/>
          <w:lang w:val="pt-BR"/>
        </w:rPr>
        <w:t xml:space="preserve">A disponibilidade do software do Home Use Program varia por região, oferta e idioma. </w:t>
      </w:r>
    </w:p>
    <w:p w:rsidR="00023FE7" w:rsidRPr="008D38F6" w:rsidRDefault="00023FE7">
      <w:pPr>
        <w:pStyle w:val="AppendixBodyText"/>
        <w:ind w:left="630"/>
        <w:rPr>
          <w:rFonts w:ascii="Tahoma" w:hAnsi="Tahoma" w:cs="Tahoma"/>
          <w:sz w:val="16"/>
          <w:szCs w:val="16"/>
          <w:lang w:val="pt-BR"/>
        </w:rPr>
      </w:pPr>
      <w:r w:rsidRPr="008D38F6">
        <w:rPr>
          <w:rFonts w:ascii="Tahoma" w:hAnsi="Tahoma" w:cs="Tahoma"/>
          <w:i/>
          <w:sz w:val="16"/>
          <w:szCs w:val="16"/>
          <w:lang w:val="pt-BR"/>
        </w:rPr>
        <w:t xml:space="preserve">Para obter mais informações, incluindo informações sobre a disponibilidade futura de software do Home Use Program adicional, consulte o site </w:t>
      </w:r>
      <w:hyperlink r:id="rId27" w:history="1">
        <w:r w:rsidRPr="008D38F6">
          <w:rPr>
            <w:rStyle w:val="Hyperlink"/>
            <w:rFonts w:ascii="Tahoma" w:hAnsi="Tahoma" w:cs="Tahoma"/>
            <w:i/>
            <w:sz w:val="16"/>
            <w:szCs w:val="16"/>
            <w:lang w:val="pt-BR"/>
          </w:rPr>
          <w:t>http://www.microsoft.com/licensing</w:t>
        </w:r>
      </w:hyperlink>
      <w:r w:rsidRPr="008D38F6">
        <w:rPr>
          <w:rFonts w:ascii="Tahoma" w:hAnsi="Tahoma" w:cs="Tahoma"/>
          <w:i/>
          <w:sz w:val="16"/>
          <w:szCs w:val="16"/>
          <w:lang w:val="pt-BR"/>
        </w:rPr>
        <w:t>.</w:t>
      </w:r>
    </w:p>
    <w:p w:rsidR="00023FE7" w:rsidRPr="008D38F6" w:rsidRDefault="00023FE7">
      <w:pPr>
        <w:pStyle w:val="AppendixBodyText"/>
        <w:ind w:left="630"/>
        <w:rPr>
          <w:rFonts w:ascii="Tahoma" w:hAnsi="Tahoma" w:cs="Tahoma"/>
          <w:sz w:val="16"/>
          <w:szCs w:val="16"/>
          <w:lang w:val="pt-BR"/>
        </w:rPr>
      </w:pPr>
      <w:r w:rsidRPr="008D38F6">
        <w:rPr>
          <w:rFonts w:ascii="Tahoma" w:hAnsi="Tahoma" w:cs="Tahoma"/>
          <w:i/>
          <w:sz w:val="16"/>
          <w:szCs w:val="16"/>
          <w:lang w:val="pt-BR"/>
        </w:rPr>
        <w:t>** Observação para clientes de Contrato para Campus e Contrato School e Open Value Subscription - Soluções Educacionais: consulte o contrato CASA (3.5 ou posterior) ou o contrato OVS-ES para obter regras adicionais específicas</w:t>
      </w:r>
      <w:r w:rsidR="00E24B4A" w:rsidRPr="008D38F6">
        <w:rPr>
          <w:rFonts w:ascii="Tahoma" w:hAnsi="Tahoma" w:cs="Tahoma"/>
          <w:i/>
          <w:sz w:val="16"/>
          <w:szCs w:val="16"/>
          <w:lang w:val="pt-BR"/>
        </w:rPr>
        <w:t> </w:t>
      </w:r>
      <w:r w:rsidRPr="008D38F6">
        <w:rPr>
          <w:rFonts w:ascii="Tahoma" w:hAnsi="Tahoma" w:cs="Tahoma"/>
          <w:i/>
          <w:sz w:val="16"/>
          <w:szCs w:val="16"/>
          <w:lang w:val="pt-BR"/>
        </w:rPr>
        <w:t>do</w:t>
      </w:r>
      <w:r w:rsidR="00E24B4A" w:rsidRPr="008D38F6">
        <w:rPr>
          <w:rFonts w:ascii="Tahoma" w:hAnsi="Tahoma" w:cs="Tahoma"/>
          <w:i/>
          <w:sz w:val="16"/>
          <w:szCs w:val="16"/>
          <w:lang w:val="pt-BR"/>
        </w:rPr>
        <w:t> </w:t>
      </w:r>
      <w:r w:rsidRPr="008D38F6">
        <w:rPr>
          <w:rFonts w:ascii="Tahoma" w:hAnsi="Tahoma" w:cs="Tahoma"/>
          <w:i/>
          <w:sz w:val="16"/>
          <w:szCs w:val="16"/>
          <w:lang w:val="pt-BR"/>
        </w:rPr>
        <w:t>programa.</w:t>
      </w:r>
    </w:p>
    <w:p w:rsidR="00023FE7" w:rsidRPr="008D38F6" w:rsidRDefault="00023FE7" w:rsidP="00BD1A6A">
      <w:pPr>
        <w:ind w:left="630"/>
        <w:rPr>
          <w:rFonts w:cs="Tahoma"/>
          <w:sz w:val="16"/>
          <w:szCs w:val="16"/>
          <w:lang w:val="pt-BR"/>
        </w:rPr>
      </w:pPr>
      <w:r w:rsidRPr="008D38F6">
        <w:rPr>
          <w:rFonts w:cs="Tahoma"/>
          <w:i/>
          <w:sz w:val="16"/>
          <w:szCs w:val="16"/>
          <w:lang w:val="pt-BR"/>
        </w:rPr>
        <w:t xml:space="preserve">*** Observe que o SharePoint Designer agora é um produto gratuito disponível para download neste link </w:t>
      </w:r>
      <w:hyperlink r:id="rId28" w:history="1">
        <w:r w:rsidRPr="008D38F6">
          <w:rPr>
            <w:rStyle w:val="Hyperlink"/>
            <w:rFonts w:cs="Tahoma"/>
            <w:i/>
            <w:sz w:val="16"/>
            <w:szCs w:val="16"/>
            <w:lang w:val="pt-BR"/>
          </w:rPr>
          <w:t>http://www.microsoft.com/spd</w:t>
        </w:r>
      </w:hyperlink>
    </w:p>
    <w:p w:rsidR="00CA395A" w:rsidRPr="008D38F6" w:rsidRDefault="00CA395A" w:rsidP="008A15A8">
      <w:pPr>
        <w:outlineLvl w:val="2"/>
        <w:rPr>
          <w:rFonts w:cs="Tahoma"/>
          <w:sz w:val="16"/>
          <w:szCs w:val="16"/>
          <w:lang w:val="pt-BR"/>
        </w:rPr>
      </w:pPr>
      <w:bookmarkStart w:id="788" w:name="_Toc281378922"/>
    </w:p>
    <w:p w:rsidR="00E24B4A" w:rsidRPr="008D38F6" w:rsidRDefault="00E24B4A" w:rsidP="008A15A8">
      <w:pPr>
        <w:outlineLvl w:val="2"/>
        <w:rPr>
          <w:lang w:val="pt-BR"/>
        </w:rPr>
      </w:pPr>
    </w:p>
    <w:p w:rsidR="00E24B4A" w:rsidRPr="008D38F6" w:rsidRDefault="00E24B4A" w:rsidP="008A15A8">
      <w:pPr>
        <w:outlineLvl w:val="2"/>
        <w:rPr>
          <w:lang w:val="pt-BR"/>
        </w:rPr>
      </w:pPr>
    </w:p>
    <w:p w:rsidR="00E24B4A" w:rsidRPr="008D38F6" w:rsidRDefault="00E24B4A" w:rsidP="008A15A8">
      <w:pPr>
        <w:outlineLvl w:val="2"/>
        <w:rPr>
          <w:lang w:val="pt-BR"/>
        </w:rPr>
      </w:pPr>
    </w:p>
    <w:p w:rsidR="00E24B4A" w:rsidRPr="008D38F6" w:rsidRDefault="00E24B4A" w:rsidP="008A15A8">
      <w:pPr>
        <w:outlineLvl w:val="2"/>
        <w:rPr>
          <w:lang w:val="pt-BR"/>
        </w:rPr>
      </w:pPr>
    </w:p>
    <w:p w:rsidR="00E24B4A" w:rsidRPr="008D38F6" w:rsidRDefault="00E24B4A" w:rsidP="008A15A8">
      <w:pPr>
        <w:outlineLvl w:val="2"/>
        <w:rPr>
          <w:lang w:val="pt-BR"/>
        </w:rPr>
      </w:pPr>
    </w:p>
    <w:p w:rsidR="00E24B4A" w:rsidRPr="008D38F6" w:rsidRDefault="00E24B4A" w:rsidP="008A15A8">
      <w:pPr>
        <w:outlineLvl w:val="2"/>
        <w:rPr>
          <w:lang w:val="pt-BR"/>
        </w:rPr>
      </w:pPr>
    </w:p>
    <w:p w:rsidR="00E24B4A" w:rsidRPr="008D38F6" w:rsidRDefault="00E24B4A" w:rsidP="008A15A8">
      <w:pPr>
        <w:outlineLvl w:val="2"/>
        <w:rPr>
          <w:lang w:val="pt-BR"/>
        </w:rPr>
      </w:pPr>
    </w:p>
    <w:p w:rsidR="008A15A8" w:rsidRPr="008D38F6" w:rsidRDefault="008A15A8" w:rsidP="002D25C8">
      <w:pPr>
        <w:outlineLvl w:val="2"/>
        <w:rPr>
          <w:lang w:val="pt-BR"/>
        </w:rPr>
      </w:pPr>
      <w:r w:rsidRPr="008D38F6">
        <w:rPr>
          <w:rFonts w:eastAsia="Calibri" w:cs="Tahoma"/>
          <w:b/>
          <w:bCs/>
          <w:sz w:val="24"/>
          <w:szCs w:val="20"/>
          <w:lang w:val="pt-BR"/>
        </w:rPr>
        <w:lastRenderedPageBreak/>
        <w:t>Enterprise Source Licensing Program</w:t>
      </w:r>
      <w:bookmarkEnd w:id="788"/>
      <w:r w:rsidRPr="008D38F6">
        <w:rPr>
          <w:rFonts w:eastAsia="Calibri" w:cs="Tahoma"/>
          <w:b/>
          <w:bCs/>
          <w:sz w:val="24"/>
          <w:szCs w:val="20"/>
          <w:lang w:val="pt-BR"/>
        </w:rPr>
        <w:t xml:space="preserve"> </w:t>
      </w:r>
    </w:p>
    <w:p w:rsidR="001C20C9" w:rsidRPr="008D38F6" w:rsidRDefault="001C20C9" w:rsidP="002D25C8">
      <w:pPr>
        <w:outlineLvl w:val="2"/>
        <w:rPr>
          <w:lang w:val="pt-BR"/>
        </w:rPr>
      </w:pPr>
    </w:p>
    <w:p w:rsidR="008A15A8" w:rsidRPr="008D38F6" w:rsidRDefault="008A15A8" w:rsidP="00EF73D1">
      <w:pPr>
        <w:rPr>
          <w:lang w:val="pt-BR"/>
        </w:rPr>
      </w:pPr>
      <w:r w:rsidRPr="008D38F6">
        <w:rPr>
          <w:rFonts w:eastAsia="Calibri" w:cs="Tahoma"/>
          <w:szCs w:val="18"/>
          <w:lang w:val="pt-BR"/>
        </w:rPr>
        <w:t>Os clientes no Programa de Membros do Software Assurance e com 1.500 ou mais desktops licenciados no pool de</w:t>
      </w:r>
      <w:r w:rsidR="00E24B4A" w:rsidRPr="008D38F6">
        <w:rPr>
          <w:rFonts w:eastAsia="Calibri" w:cs="Tahoma"/>
          <w:szCs w:val="18"/>
          <w:lang w:val="pt-BR"/>
        </w:rPr>
        <w:t> </w:t>
      </w:r>
      <w:r w:rsidRPr="008D38F6">
        <w:rPr>
          <w:rFonts w:eastAsia="Calibri" w:cs="Tahoma"/>
          <w:szCs w:val="18"/>
          <w:lang w:val="pt-BR"/>
        </w:rPr>
        <w:t>sistemas podem ser qualificados a participar do ESLP (Enterprise Source Licensing Program) durante o prazo de</w:t>
      </w:r>
      <w:r w:rsidR="00E24B4A" w:rsidRPr="008D38F6">
        <w:rPr>
          <w:rFonts w:eastAsia="Calibri" w:cs="Tahoma"/>
          <w:szCs w:val="18"/>
          <w:lang w:val="pt-BR"/>
        </w:rPr>
        <w:t> </w:t>
      </w:r>
      <w:r w:rsidRPr="008D38F6">
        <w:rPr>
          <w:rFonts w:eastAsia="Calibri" w:cs="Tahoma"/>
          <w:szCs w:val="18"/>
          <w:lang w:val="pt-BR"/>
        </w:rPr>
        <w:t>suas coberturas do Software Assurance.</w:t>
      </w:r>
      <w:r w:rsidR="00FB5496" w:rsidRPr="008D38F6">
        <w:rPr>
          <w:rFonts w:eastAsia="Calibri" w:cs="Tahoma"/>
          <w:szCs w:val="18"/>
          <w:lang w:val="pt-BR"/>
        </w:rPr>
        <w:t xml:space="preserve"> </w:t>
      </w:r>
      <w:r w:rsidRPr="008D38F6">
        <w:rPr>
          <w:rFonts w:eastAsia="Calibri" w:cs="Tahoma"/>
          <w:szCs w:val="18"/>
          <w:lang w:val="pt-BR"/>
        </w:rPr>
        <w:t>O ESLP fornece acesso ao código-fonte do Microsoft Windows para desenvolvimento interno e suporte.</w:t>
      </w:r>
      <w:r w:rsidR="00FB5496" w:rsidRPr="008D38F6">
        <w:rPr>
          <w:rFonts w:eastAsia="Calibri" w:cs="Tahoma"/>
          <w:szCs w:val="18"/>
          <w:lang w:val="pt-BR"/>
        </w:rPr>
        <w:t xml:space="preserve"> </w:t>
      </w:r>
      <w:r w:rsidRPr="008D38F6">
        <w:rPr>
          <w:rFonts w:eastAsia="Calibri" w:cs="Tahoma"/>
          <w:szCs w:val="18"/>
          <w:lang w:val="pt-BR"/>
        </w:rPr>
        <w:t>O ESLP não está disponível em todos os países e o benefício é concedido por</w:t>
      </w:r>
      <w:r w:rsidR="00EF73D1" w:rsidRPr="008D38F6">
        <w:rPr>
          <w:rFonts w:eastAsia="Calibri" w:cs="Tahoma"/>
          <w:szCs w:val="18"/>
          <w:lang w:val="pt-BR"/>
        </w:rPr>
        <w:t> </w:t>
      </w:r>
      <w:r w:rsidRPr="008D38F6">
        <w:rPr>
          <w:rFonts w:eastAsia="Calibri" w:cs="Tahoma"/>
          <w:szCs w:val="18"/>
          <w:lang w:val="pt-BR"/>
        </w:rPr>
        <w:t>contrato/registro.</w:t>
      </w:r>
    </w:p>
    <w:p w:rsidR="00DF400D" w:rsidRPr="008D38F6" w:rsidRDefault="00DF400D" w:rsidP="002D25C8">
      <w:pPr>
        <w:rPr>
          <w:lang w:val="pt-BR"/>
        </w:rPr>
      </w:pPr>
    </w:p>
    <w:p w:rsidR="008A15A8" w:rsidRPr="008D38F6" w:rsidRDefault="008A15A8" w:rsidP="002D25C8">
      <w:pPr>
        <w:rPr>
          <w:lang w:val="pt-BR"/>
        </w:rPr>
      </w:pPr>
      <w:r w:rsidRPr="008D38F6">
        <w:rPr>
          <w:rFonts w:eastAsia="Calibri" w:cs="Tahoma"/>
          <w:szCs w:val="18"/>
          <w:lang w:val="pt-BR"/>
        </w:rPr>
        <w:t>O formulário de inscrição pode ser baixado no VLSC (Volume Licensing Service Center - Centro de Atendimento de Licenciamento por Volume). A qualificação e as áreas de disponibilidade estão sujeitas aos termos e às condições da</w:t>
      </w:r>
      <w:r w:rsidR="00E24B4A" w:rsidRPr="008D38F6">
        <w:rPr>
          <w:rFonts w:eastAsia="Calibri" w:cs="Tahoma"/>
          <w:szCs w:val="18"/>
          <w:lang w:val="pt-BR"/>
        </w:rPr>
        <w:t> </w:t>
      </w:r>
      <w:r w:rsidRPr="008D38F6">
        <w:rPr>
          <w:rFonts w:eastAsia="Calibri" w:cs="Tahoma"/>
          <w:szCs w:val="18"/>
          <w:lang w:val="pt-BR"/>
        </w:rPr>
        <w:t xml:space="preserve">Microsoft (consulte </w:t>
      </w:r>
      <w:hyperlink r:id="rId29" w:history="1">
        <w:r w:rsidRPr="008D38F6">
          <w:rPr>
            <w:rFonts w:eastAsia="Calibri" w:cs="Tahoma"/>
            <w:color w:val="0000FF"/>
            <w:szCs w:val="18"/>
            <w:u w:val="single"/>
            <w:lang w:val="pt-BR"/>
          </w:rPr>
          <w:t>www.microsoft.com/resources/sharedsource/Licensing/Enterprise.mspx</w:t>
        </w:r>
      </w:hyperlink>
      <w:r w:rsidRPr="008D38F6">
        <w:rPr>
          <w:rFonts w:eastAsia="Calibri" w:cs="Tahoma"/>
          <w:szCs w:val="18"/>
          <w:lang w:val="pt-BR"/>
        </w:rPr>
        <w:t xml:space="preserve"> para obter detalhes). Os programas Academic estão qualificados para o Microsoft Research Source Licensing Program.</w:t>
      </w:r>
    </w:p>
    <w:p w:rsidR="008A15A8" w:rsidRPr="00416070" w:rsidRDefault="008A15A8" w:rsidP="002D25C8">
      <w:pPr>
        <w:pStyle w:val="Heading3"/>
        <w:rPr>
          <w:rFonts w:ascii="Tahoma" w:hAnsi="Tahoma" w:cs="Tahoma"/>
          <w:b w:val="0"/>
          <w:sz w:val="18"/>
          <w:szCs w:val="18"/>
        </w:rPr>
      </w:pPr>
    </w:p>
    <w:p w:rsidR="00023FE7" w:rsidRPr="00416070" w:rsidRDefault="00023FE7" w:rsidP="002D25C8">
      <w:pPr>
        <w:pStyle w:val="Heading3"/>
      </w:pPr>
      <w:bookmarkStart w:id="789" w:name="_Toc336338236"/>
      <w:bookmarkStart w:id="790" w:name="_Toc352234304"/>
      <w:r w:rsidRPr="00416070">
        <w:rPr>
          <w:rFonts w:ascii="Tahoma" w:hAnsi="Tahoma" w:cs="Tahoma"/>
          <w:sz w:val="24"/>
        </w:rPr>
        <w:t>Suporte para Resolução de Problemas 24x7</w:t>
      </w:r>
      <w:bookmarkEnd w:id="789"/>
      <w:bookmarkEnd w:id="790"/>
    </w:p>
    <w:p w:rsidR="00023FE7" w:rsidRPr="008D38F6" w:rsidRDefault="00023FE7" w:rsidP="002D25C8">
      <w:pPr>
        <w:rPr>
          <w:lang w:val="pt-BR"/>
        </w:rPr>
      </w:pPr>
    </w:p>
    <w:p w:rsidR="00324479" w:rsidRPr="008D38F6" w:rsidRDefault="00324479" w:rsidP="002D25C8">
      <w:pPr>
        <w:rPr>
          <w:lang w:val="pt-BR"/>
        </w:rPr>
      </w:pPr>
      <w:r w:rsidRPr="008D38F6">
        <w:rPr>
          <w:rFonts w:cs="Tahoma"/>
          <w:szCs w:val="18"/>
          <w:lang w:val="pt-BR"/>
        </w:rPr>
        <w:t>Os clientes (que não forem de Contratos para Campus e School e Open Value Subscription – Soluções Educacionais) com cobertura do Software Assurance estão qualificados ao Suporte para Resolução de Problemas 24 horas por dia, 7 dias por semana durante o prazo de suas coberturas do Software Assurance.</w:t>
      </w:r>
    </w:p>
    <w:p w:rsidR="00023FE7" w:rsidRPr="008D38F6" w:rsidRDefault="00023FE7" w:rsidP="002D25C8">
      <w:pPr>
        <w:pStyle w:val="AppendixBodyText"/>
        <w:spacing w:after="0"/>
        <w:rPr>
          <w:rFonts w:ascii="Tahoma" w:hAnsi="Tahoma" w:cs="Tahoma"/>
          <w:sz w:val="18"/>
          <w:szCs w:val="18"/>
          <w:lang w:val="pt-BR"/>
        </w:rPr>
      </w:pPr>
    </w:p>
    <w:p w:rsidR="00023FE7" w:rsidRPr="008D38F6" w:rsidRDefault="00023FE7" w:rsidP="002D25C8">
      <w:pPr>
        <w:pStyle w:val="AppendixBodyText"/>
        <w:spacing w:after="0"/>
        <w:rPr>
          <w:lang w:val="pt-BR"/>
        </w:rPr>
      </w:pPr>
      <w:r w:rsidRPr="008D38F6">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FB5496" w:rsidRPr="008D38F6">
        <w:rPr>
          <w:rFonts w:ascii="Tahoma" w:hAnsi="Tahoma" w:cs="Tahoma"/>
          <w:sz w:val="18"/>
          <w:szCs w:val="18"/>
          <w:lang w:val="pt-BR"/>
        </w:rPr>
        <w:t xml:space="preserve"> </w:t>
      </w:r>
      <w:r w:rsidRPr="008D38F6">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00FB5496" w:rsidRPr="008D38F6">
        <w:rPr>
          <w:rFonts w:ascii="Tahoma" w:hAnsi="Tahoma" w:cs="Tahoma"/>
          <w:sz w:val="18"/>
          <w:szCs w:val="18"/>
          <w:lang w:val="pt-BR"/>
        </w:rPr>
        <w:t xml:space="preserve"> </w:t>
      </w:r>
      <w:r w:rsidRPr="008D38F6">
        <w:rPr>
          <w:rFonts w:ascii="Tahoma" w:hAnsi="Tahoma" w:cs="Tahoma"/>
          <w:sz w:val="18"/>
          <w:szCs w:val="18"/>
          <w:lang w:val="pt-BR"/>
        </w:rPr>
        <w:t>A Microsoft se reserva o direito de recusar solicitações não razoáveis de serviços de suporte e, às vezes, poderá indicar aos clientes um contrato de nível de serviço adicional que po</w:t>
      </w:r>
      <w:r w:rsidR="00EF73D1" w:rsidRPr="008D38F6">
        <w:rPr>
          <w:rFonts w:ascii="Tahoma" w:hAnsi="Tahoma" w:cs="Tahoma"/>
          <w:sz w:val="18"/>
          <w:szCs w:val="18"/>
          <w:lang w:val="pt-BR"/>
        </w:rPr>
        <w:t>derá exigir um custo adicional.</w:t>
      </w:r>
    </w:p>
    <w:p w:rsidR="00023FE7" w:rsidRPr="008D38F6" w:rsidRDefault="00023FE7" w:rsidP="002D25C8">
      <w:pPr>
        <w:pStyle w:val="AppendixBodyText"/>
        <w:spacing w:after="0"/>
        <w:rPr>
          <w:rFonts w:ascii="Tahoma" w:hAnsi="Tahoma" w:cs="Tahoma"/>
          <w:sz w:val="18"/>
          <w:szCs w:val="18"/>
          <w:lang w:val="pt-BR"/>
        </w:rPr>
      </w:pPr>
    </w:p>
    <w:p w:rsidR="00023FE7" w:rsidRPr="008D38F6" w:rsidRDefault="00023FE7" w:rsidP="002D25C8">
      <w:pPr>
        <w:pStyle w:val="AppendixBodyText"/>
        <w:spacing w:after="0"/>
        <w:rPr>
          <w:lang w:val="pt-BR"/>
        </w:rPr>
      </w:pPr>
      <w:r w:rsidRPr="008D38F6">
        <w:rPr>
          <w:rFonts w:ascii="Tahoma" w:hAnsi="Tahoma" w:cs="Tahoma"/>
          <w:sz w:val="18"/>
          <w:szCs w:val="18"/>
          <w:lang w:val="pt-BR"/>
        </w:rPr>
        <w:t>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w:t>
      </w:r>
      <w:r w:rsidR="00E24B4A" w:rsidRPr="008D38F6">
        <w:rPr>
          <w:rFonts w:ascii="Tahoma" w:hAnsi="Tahoma" w:cs="Tahoma"/>
          <w:sz w:val="18"/>
          <w:szCs w:val="18"/>
          <w:lang w:val="pt-BR"/>
        </w:rPr>
        <w:t> </w:t>
      </w:r>
      <w:r w:rsidRPr="008D38F6">
        <w:rPr>
          <w:rFonts w:ascii="Tahoma" w:hAnsi="Tahoma" w:cs="Tahoma"/>
          <w:sz w:val="18"/>
          <w:szCs w:val="18"/>
          <w:lang w:val="pt-BR"/>
        </w:rPr>
        <w:t>30 dias após a notificação, a Microsoft não estará obrigada a fornecer serviços de suporte adicionais para tal implementação. Entretanto, a Microsoft continuará a fornecer suporte às outras implementações do cliente passíveis</w:t>
      </w:r>
      <w:r w:rsidR="00E24B4A" w:rsidRPr="008D38F6">
        <w:rPr>
          <w:rFonts w:ascii="Tahoma" w:hAnsi="Tahoma" w:cs="Tahoma"/>
          <w:sz w:val="18"/>
          <w:szCs w:val="18"/>
          <w:lang w:val="pt-BR"/>
        </w:rPr>
        <w:t> </w:t>
      </w:r>
      <w:r w:rsidRPr="008D38F6">
        <w:rPr>
          <w:rFonts w:ascii="Tahoma" w:hAnsi="Tahoma" w:cs="Tahoma"/>
          <w:sz w:val="18"/>
          <w:szCs w:val="18"/>
          <w:lang w:val="pt-BR"/>
        </w:rPr>
        <w:t>de suporte coberta</w:t>
      </w:r>
      <w:r w:rsidR="00EF73D1" w:rsidRPr="008D38F6">
        <w:rPr>
          <w:rFonts w:ascii="Tahoma" w:hAnsi="Tahoma" w:cs="Tahoma"/>
          <w:sz w:val="18"/>
          <w:szCs w:val="18"/>
          <w:lang w:val="pt-BR"/>
        </w:rPr>
        <w:t>s por esses termos e condições.</w:t>
      </w:r>
    </w:p>
    <w:p w:rsidR="00DF400D" w:rsidRPr="008D38F6" w:rsidRDefault="00DF400D" w:rsidP="002D25C8">
      <w:pPr>
        <w:pStyle w:val="AppendixBodyText"/>
        <w:spacing w:after="0"/>
        <w:rPr>
          <w:rFonts w:ascii="Tahoma" w:hAnsi="Tahoma" w:cs="Tahoma"/>
          <w:sz w:val="18"/>
          <w:szCs w:val="18"/>
          <w:lang w:val="pt-BR"/>
        </w:rPr>
      </w:pPr>
    </w:p>
    <w:p w:rsidR="00023FE7" w:rsidRPr="008D38F6" w:rsidRDefault="00023FE7" w:rsidP="002D25C8">
      <w:pPr>
        <w:pStyle w:val="AppendixBodyText"/>
        <w:spacing w:after="0"/>
        <w:rPr>
          <w:lang w:val="pt-BR"/>
        </w:rPr>
      </w:pPr>
      <w:r w:rsidRPr="008D38F6">
        <w:rPr>
          <w:rFonts w:ascii="Tahoma" w:hAnsi="Tahoma" w:cs="Tahoma"/>
          <w:sz w:val="18"/>
          <w:szCs w:val="18"/>
          <w:lang w:val="pt-BR"/>
        </w:rPr>
        <w:t>Uma solicitação de suporte de reparo assistido, também conhecida como um incidente, é definida como um problema único de suporte e o esforço razoável necessário para solucioná-lo.</w:t>
      </w:r>
      <w:r w:rsidR="00FB5496" w:rsidRPr="008D38F6">
        <w:rPr>
          <w:rFonts w:ascii="Tahoma" w:hAnsi="Tahoma" w:cs="Tahoma"/>
          <w:sz w:val="18"/>
          <w:szCs w:val="18"/>
          <w:lang w:val="pt-BR"/>
        </w:rPr>
        <w:t xml:space="preserve"> </w:t>
      </w:r>
      <w:r w:rsidRPr="008D38F6">
        <w:rPr>
          <w:rFonts w:ascii="Tahoma" w:hAnsi="Tahoma" w:cs="Tahoma"/>
          <w:sz w:val="18"/>
          <w:szCs w:val="18"/>
          <w:lang w:val="pt-BR"/>
        </w:rPr>
        <w:t>Um problema único de suporte é um problema que não pode ser subdividido em problemas subordinados.</w:t>
      </w:r>
      <w:r w:rsidR="00FB5496" w:rsidRPr="008D38F6">
        <w:rPr>
          <w:rFonts w:ascii="Tahoma" w:hAnsi="Tahoma" w:cs="Tahoma"/>
          <w:sz w:val="18"/>
          <w:szCs w:val="18"/>
          <w:lang w:val="pt-BR"/>
        </w:rPr>
        <w:t xml:space="preserve"> </w:t>
      </w:r>
      <w:r w:rsidRPr="008D38F6">
        <w:rPr>
          <w:rFonts w:ascii="Tahoma" w:hAnsi="Tahoma" w:cs="Tahoma"/>
          <w:sz w:val="18"/>
          <w:szCs w:val="18"/>
          <w:lang w:val="pt-BR"/>
        </w:rPr>
        <w:t>Se o problema consistir em problemas subordinados, cada um será considerado um incidente separado.</w:t>
      </w:r>
      <w:r w:rsidR="00FB5496" w:rsidRPr="008D38F6">
        <w:rPr>
          <w:rFonts w:ascii="Tahoma" w:hAnsi="Tahoma" w:cs="Tahoma"/>
          <w:sz w:val="18"/>
          <w:szCs w:val="18"/>
          <w:lang w:val="pt-BR"/>
        </w:rPr>
        <w:t xml:space="preserve"> </w:t>
      </w:r>
      <w:r w:rsidRPr="008D38F6">
        <w:rPr>
          <w:rFonts w:ascii="Tahoma" w:hAnsi="Tahoma" w:cs="Tahoma"/>
          <w:sz w:val="18"/>
          <w:szCs w:val="18"/>
          <w:lang w:val="pt-BR"/>
        </w:rPr>
        <w:t>Em determinadas situações, poderemos fornecer aos clientes uma</w:t>
      </w:r>
      <w:r w:rsidR="00E24B4A" w:rsidRPr="008D38F6">
        <w:rPr>
          <w:rFonts w:ascii="Tahoma" w:hAnsi="Tahoma" w:cs="Tahoma"/>
          <w:sz w:val="18"/>
          <w:szCs w:val="18"/>
          <w:lang w:val="pt-BR"/>
        </w:rPr>
        <w:t> </w:t>
      </w:r>
      <w:r w:rsidRPr="008D38F6">
        <w:rPr>
          <w:rFonts w:ascii="Tahoma" w:hAnsi="Tahoma" w:cs="Tahoma"/>
          <w:sz w:val="18"/>
          <w:szCs w:val="18"/>
          <w:lang w:val="pt-BR"/>
        </w:rPr>
        <w:t>modificação do código de software do produto da Microsoft comercialmente disponível a fim de solucionar os problemas críticos específicos (“Hotfixes”) em resposta a uma solicitação de suporte de reparo assistido.</w:t>
      </w:r>
      <w:r w:rsidR="00FB5496" w:rsidRPr="008D38F6">
        <w:rPr>
          <w:rFonts w:ascii="Tahoma" w:hAnsi="Tahoma" w:cs="Tahoma"/>
          <w:sz w:val="18"/>
          <w:szCs w:val="18"/>
          <w:lang w:val="pt-BR"/>
        </w:rPr>
        <w:t xml:space="preserve"> </w:t>
      </w:r>
      <w:r w:rsidRPr="008D38F6">
        <w:rPr>
          <w:rFonts w:ascii="Tahoma" w:hAnsi="Tahoma" w:cs="Tahoma"/>
          <w:sz w:val="18"/>
          <w:szCs w:val="18"/>
          <w:lang w:val="pt-BR"/>
        </w:rPr>
        <w:t>Os hotfixes são designados para solucionar problemas específicos dos clientes e não são testados quanto à regressão.</w:t>
      </w:r>
      <w:r w:rsidR="00FB5496" w:rsidRPr="008D38F6">
        <w:rPr>
          <w:rFonts w:ascii="Tahoma" w:hAnsi="Tahoma" w:cs="Tahoma"/>
          <w:sz w:val="18"/>
          <w:szCs w:val="18"/>
          <w:lang w:val="pt-BR"/>
        </w:rPr>
        <w:t xml:space="preserve"> </w:t>
      </w:r>
      <w:r w:rsidRPr="008D38F6">
        <w:rPr>
          <w:rFonts w:ascii="Tahoma" w:hAnsi="Tahoma" w:cs="Tahoma"/>
          <w:sz w:val="18"/>
          <w:szCs w:val="18"/>
          <w:lang w:val="pt-BR"/>
        </w:rPr>
        <w:t>Salvo definição em contrário neste documento, os Hotfixes não podem ser distribuídos a terceiros não afiliados sem a autorização por escrito da Microsoft.</w:t>
      </w:r>
    </w:p>
    <w:p w:rsidR="00023FE7" w:rsidRPr="008D38F6" w:rsidRDefault="00023FE7" w:rsidP="002D25C8">
      <w:pPr>
        <w:pStyle w:val="AppendixBodyText"/>
        <w:spacing w:after="0"/>
        <w:rPr>
          <w:rFonts w:ascii="Tahoma" w:hAnsi="Tahoma" w:cs="Tahoma"/>
          <w:sz w:val="18"/>
          <w:szCs w:val="18"/>
          <w:lang w:val="pt-BR"/>
        </w:rPr>
      </w:pPr>
    </w:p>
    <w:p w:rsidR="00023FE7" w:rsidRPr="008D38F6" w:rsidRDefault="00023FE7" w:rsidP="002D25C8">
      <w:pPr>
        <w:pStyle w:val="AppendixBodyText"/>
        <w:spacing w:after="0"/>
        <w:rPr>
          <w:lang w:val="pt-BR"/>
        </w:rPr>
      </w:pPr>
      <w:r w:rsidRPr="008D38F6">
        <w:rPr>
          <w:rFonts w:ascii="Tahoma" w:hAnsi="Tahoma" w:cs="Tahoma"/>
          <w:sz w:val="18"/>
          <w:szCs w:val="18"/>
          <w:lang w:val="pt-BR"/>
        </w:rPr>
        <w:t xml:space="preserve">Os produtos disponibilizados por meio de Licenciamento por Volume e que estejam atualmente no Suporte Base, conforme estabelecido no site </w:t>
      </w:r>
      <w:hyperlink r:id="rId30" w:history="1">
        <w:r w:rsidRPr="008D38F6">
          <w:rPr>
            <w:rStyle w:val="Hyperlink"/>
            <w:rFonts w:ascii="Tahoma" w:hAnsi="Tahoma" w:cs="Tahoma"/>
            <w:sz w:val="18"/>
            <w:szCs w:val="18"/>
            <w:lang w:val="pt-BR"/>
          </w:rPr>
          <w:t>Política do Ciclo de Vida de Suporte da Microsoft</w:t>
        </w:r>
      </w:hyperlink>
      <w:r w:rsidR="00FB5496" w:rsidRPr="008D38F6">
        <w:rPr>
          <w:rFonts w:ascii="Tahoma" w:hAnsi="Tahoma" w:cs="Tahoma"/>
          <w:sz w:val="18"/>
          <w:szCs w:val="18"/>
          <w:lang w:val="pt-BR"/>
        </w:rPr>
        <w:t xml:space="preserve"> </w:t>
      </w:r>
      <w:r w:rsidRPr="008D38F6">
        <w:rPr>
          <w:rFonts w:ascii="Tahoma" w:hAnsi="Tahoma" w:cs="Tahoma"/>
          <w:color w:val="000000"/>
          <w:sz w:val="18"/>
          <w:szCs w:val="18"/>
          <w:lang w:val="pt-BR"/>
        </w:rPr>
        <w:t>estão qualificados ao Suporte para Resolução de Problemas 24 horas por dia, 7 dias por semana.</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w:t>
      </w:r>
      <w:r w:rsidR="00E24B4A" w:rsidRPr="008D38F6">
        <w:rPr>
          <w:rFonts w:ascii="Tahoma" w:hAnsi="Tahoma" w:cs="Tahoma"/>
          <w:color w:val="000000"/>
          <w:sz w:val="18"/>
          <w:szCs w:val="18"/>
          <w:lang w:val="pt-BR"/>
        </w:rPr>
        <w:t> </w:t>
      </w:r>
      <w:r w:rsidRPr="008D38F6">
        <w:rPr>
          <w:rFonts w:ascii="Tahoma" w:hAnsi="Tahoma" w:cs="Tahoma"/>
          <w:color w:val="000000"/>
          <w:sz w:val="18"/>
          <w:szCs w:val="18"/>
          <w:lang w:val="pt-BR"/>
        </w:rPr>
        <w:t>seção Prêmios de Incidentes de Suporte pelo Telefone.</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Consulte a seção específica do produto neste documento para verificar a política de serviço e suporte.</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Versões anteriores de produtos atualmente no Suporte Base que foram escolhidos pelos clientes para serem usados em vez da versão licenciada atual também estão qualificadas.</w:t>
      </w:r>
      <w:r w:rsidR="00FB5496" w:rsidRPr="008D38F6">
        <w:rPr>
          <w:rFonts w:ascii="Tahoma" w:hAnsi="Tahoma" w:cs="Tahoma"/>
          <w:color w:val="000000"/>
          <w:sz w:val="18"/>
          <w:szCs w:val="18"/>
          <w:lang w:val="pt-BR"/>
        </w:rPr>
        <w:t xml:space="preserve"> </w:t>
      </w:r>
      <w:r w:rsidRPr="008D38F6">
        <w:rPr>
          <w:rFonts w:ascii="Tahoma" w:hAnsi="Tahoma" w:cs="Tahoma"/>
          <w:color w:val="000000"/>
          <w:sz w:val="18"/>
          <w:szCs w:val="18"/>
          <w:lang w:val="pt-BR"/>
        </w:rPr>
        <w:t>A edição Developer Edition de todos os servidores, os produtos HED e as Assinaturas do MSDN estão excluídos.</w:t>
      </w:r>
    </w:p>
    <w:p w:rsidR="00023FE7" w:rsidRPr="008D38F6" w:rsidRDefault="00023FE7" w:rsidP="002D25C8">
      <w:pPr>
        <w:pStyle w:val="AppendixBodyText"/>
        <w:spacing w:after="0"/>
        <w:rPr>
          <w:rFonts w:ascii="Tahoma" w:hAnsi="Tahoma" w:cs="Tahoma"/>
          <w:sz w:val="18"/>
          <w:szCs w:val="18"/>
          <w:lang w:val="pt-BR"/>
        </w:rPr>
      </w:pPr>
    </w:p>
    <w:p w:rsidR="002E4F7C" w:rsidRPr="008D38F6" w:rsidRDefault="002E4F7C" w:rsidP="002D25C8">
      <w:pPr>
        <w:pStyle w:val="AppendixBodyText"/>
        <w:spacing w:after="0"/>
        <w:rPr>
          <w:rFonts w:ascii="Tahoma" w:hAnsi="Tahoma" w:cs="Tahoma"/>
          <w:sz w:val="18"/>
          <w:szCs w:val="18"/>
          <w:lang w:val="pt-BR"/>
        </w:rPr>
      </w:pPr>
    </w:p>
    <w:p w:rsidR="002E4F7C" w:rsidRPr="008D38F6" w:rsidRDefault="002E4F7C" w:rsidP="002D25C8">
      <w:pPr>
        <w:pStyle w:val="AppendixBodyText"/>
        <w:spacing w:after="0"/>
        <w:rPr>
          <w:rFonts w:ascii="Tahoma" w:hAnsi="Tahoma" w:cs="Tahoma"/>
          <w:sz w:val="18"/>
          <w:szCs w:val="18"/>
          <w:lang w:val="pt-BR"/>
        </w:rPr>
      </w:pPr>
    </w:p>
    <w:p w:rsidR="002E4F7C" w:rsidRPr="008D38F6" w:rsidRDefault="002E4F7C" w:rsidP="002D25C8">
      <w:pPr>
        <w:pStyle w:val="AppendixBodyText"/>
        <w:spacing w:after="0"/>
        <w:rPr>
          <w:rFonts w:ascii="Tahoma" w:hAnsi="Tahoma" w:cs="Tahoma"/>
          <w:sz w:val="18"/>
          <w:szCs w:val="18"/>
          <w:lang w:val="pt-BR"/>
        </w:rPr>
      </w:pPr>
    </w:p>
    <w:p w:rsidR="00023FE7" w:rsidRPr="008D38F6" w:rsidRDefault="00023FE7" w:rsidP="002D25C8">
      <w:pPr>
        <w:pStyle w:val="AppendixBodyText"/>
        <w:spacing w:after="0"/>
        <w:rPr>
          <w:sz w:val="18"/>
          <w:szCs w:val="18"/>
          <w:lang w:val="pt-BR"/>
        </w:rPr>
      </w:pPr>
      <w:r w:rsidRPr="008D38F6">
        <w:rPr>
          <w:rFonts w:ascii="Tahoma" w:hAnsi="Tahoma" w:cs="Tahoma"/>
          <w:sz w:val="18"/>
          <w:szCs w:val="18"/>
          <w:lang w:val="pt-BR"/>
        </w:rPr>
        <w:lastRenderedPageBreak/>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023FE7" w:rsidRPr="008D38F6" w:rsidRDefault="00023FE7" w:rsidP="002D25C8">
      <w:pPr>
        <w:pStyle w:val="AppendixBodyText"/>
        <w:spacing w:after="0"/>
        <w:rPr>
          <w:rFonts w:ascii="Tahoma" w:hAnsi="Tahoma" w:cs="Tahoma"/>
          <w:sz w:val="18"/>
          <w:szCs w:val="18"/>
          <w:lang w:val="pt-BR"/>
        </w:rPr>
      </w:pPr>
    </w:p>
    <w:p w:rsidR="00023FE7" w:rsidRPr="008D38F6" w:rsidRDefault="00023FE7" w:rsidP="002D25C8">
      <w:pPr>
        <w:pStyle w:val="AppendixBodyText"/>
        <w:spacing w:after="0"/>
        <w:rPr>
          <w:sz w:val="18"/>
          <w:szCs w:val="18"/>
          <w:lang w:val="pt-BR"/>
        </w:rPr>
      </w:pPr>
      <w:r w:rsidRPr="008D38F6">
        <w:rPr>
          <w:rFonts w:ascii="Tahoma" w:hAnsi="Tahoma" w:cs="Tahoma"/>
          <w:sz w:val="18"/>
          <w:szCs w:val="18"/>
          <w:lang w:val="pt-BR"/>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w:t>
      </w:r>
      <w:r w:rsidR="002E4F7C" w:rsidRPr="008D38F6">
        <w:rPr>
          <w:rFonts w:ascii="Tahoma" w:hAnsi="Tahoma" w:cs="Tahoma"/>
          <w:sz w:val="18"/>
          <w:szCs w:val="18"/>
          <w:lang w:val="pt-BR"/>
        </w:rPr>
        <w:t> </w:t>
      </w:r>
      <w:r w:rsidRPr="008D38F6">
        <w:rPr>
          <w:rFonts w:ascii="Tahoma" w:hAnsi="Tahoma" w:cs="Tahoma"/>
          <w:sz w:val="18"/>
          <w:szCs w:val="18"/>
          <w:lang w:val="pt-BR"/>
        </w:rPr>
        <w:t>cliente.</w:t>
      </w:r>
    </w:p>
    <w:p w:rsidR="00023FE7" w:rsidRPr="008D38F6" w:rsidRDefault="00023FE7" w:rsidP="002D25C8">
      <w:pPr>
        <w:pStyle w:val="AppendixBodyText"/>
        <w:spacing w:after="0"/>
        <w:rPr>
          <w:rFonts w:ascii="Tahoma" w:hAnsi="Tahoma" w:cs="Tahoma"/>
          <w:sz w:val="18"/>
          <w:szCs w:val="18"/>
          <w:lang w:val="pt-BR"/>
        </w:rPr>
      </w:pPr>
    </w:p>
    <w:p w:rsidR="00023FE7" w:rsidRPr="008D38F6" w:rsidRDefault="00023FE7" w:rsidP="002D25C8">
      <w:pPr>
        <w:pStyle w:val="AppendixBodyText"/>
        <w:spacing w:after="0"/>
        <w:rPr>
          <w:sz w:val="18"/>
          <w:szCs w:val="18"/>
          <w:lang w:val="pt-BR"/>
        </w:rPr>
      </w:pPr>
      <w:r w:rsidRPr="008D38F6">
        <w:rPr>
          <w:rFonts w:ascii="Tahoma" w:hAnsi="Tahoma" w:cs="Tahoma"/>
          <w:sz w:val="18"/>
          <w:szCs w:val="18"/>
          <w:lang w:val="pt-BR"/>
        </w:rPr>
        <w:t>O suporte pode ser iniciado por meio do envio de incidentes de maneira eletrônica via Web ou por telefone. Cláusulas diferentes aplicam-se a cada tipo de meio.</w:t>
      </w:r>
      <w:r w:rsidR="00FB5496" w:rsidRPr="008D38F6">
        <w:rPr>
          <w:rFonts w:ascii="Tahoma" w:hAnsi="Tahoma" w:cs="Tahoma"/>
          <w:sz w:val="18"/>
          <w:szCs w:val="18"/>
          <w:lang w:val="pt-BR"/>
        </w:rPr>
        <w:t xml:space="preserve"> </w:t>
      </w:r>
      <w:r w:rsidRPr="008D38F6">
        <w:rPr>
          <w:rFonts w:ascii="Tahoma" w:hAnsi="Tahoma" w:cs="Tahoma"/>
          <w:sz w:val="18"/>
          <w:szCs w:val="18"/>
          <w:lang w:val="pt-BR"/>
        </w:rPr>
        <w:t xml:space="preserve">O Suporte para Resolução de Problemas 24x7 premia os </w:t>
      </w:r>
      <w:r w:rsidR="002E4F7C" w:rsidRPr="008D38F6">
        <w:rPr>
          <w:rFonts w:ascii="Tahoma" w:hAnsi="Tahoma" w:cs="Tahoma"/>
          <w:sz w:val="18"/>
          <w:szCs w:val="18"/>
          <w:lang w:val="pt-BR"/>
        </w:rPr>
        <w:t>clients </w:t>
      </w:r>
      <w:r w:rsidRPr="008D38F6">
        <w:rPr>
          <w:rFonts w:ascii="Tahoma" w:hAnsi="Tahoma" w:cs="Tahoma"/>
          <w:sz w:val="18"/>
          <w:szCs w:val="18"/>
          <w:lang w:val="pt-BR"/>
        </w:rPr>
        <w:t>com uma quantidade de incidentes e contatos para iniciar tais incidentes, conforme descrito a seguir.</w:t>
      </w:r>
    </w:p>
    <w:p w:rsidR="00023FE7" w:rsidRPr="008D38F6" w:rsidRDefault="00023FE7" w:rsidP="002D25C8">
      <w:pPr>
        <w:pStyle w:val="AppendixBodyText"/>
        <w:spacing w:after="0"/>
        <w:rPr>
          <w:rFonts w:ascii="Tahoma" w:hAnsi="Tahoma" w:cs="Tahoma"/>
          <w:sz w:val="18"/>
          <w:szCs w:val="18"/>
          <w:lang w:val="pt-BR"/>
        </w:rPr>
      </w:pPr>
    </w:p>
    <w:p w:rsidR="00023FE7" w:rsidRPr="008D38F6" w:rsidRDefault="00023FE7" w:rsidP="00DA2788">
      <w:pPr>
        <w:spacing w:after="60"/>
        <w:rPr>
          <w:lang w:val="pt-BR"/>
        </w:rPr>
      </w:pPr>
      <w:bookmarkStart w:id="791" w:name="_Toc240899163"/>
      <w:r w:rsidRPr="008D38F6">
        <w:rPr>
          <w:rFonts w:cs="Tahoma"/>
          <w:b/>
          <w:szCs w:val="20"/>
          <w:lang w:val="pt-BR"/>
        </w:rPr>
        <w:t>Prêmios de Incidentes de Suporte pelo Telefone</w:t>
      </w:r>
      <w:bookmarkEnd w:id="791"/>
    </w:p>
    <w:p w:rsidR="00023FE7" w:rsidRPr="008D38F6" w:rsidRDefault="00023FE7" w:rsidP="002F0514">
      <w:pPr>
        <w:pStyle w:val="AppendixBodyText"/>
        <w:spacing w:after="0"/>
        <w:rPr>
          <w:lang w:val="pt-BR"/>
        </w:rPr>
      </w:pPr>
      <w:r w:rsidRPr="008D38F6">
        <w:rPr>
          <w:rFonts w:ascii="Tahoma" w:hAnsi="Tahoma" w:cs="Tahoma"/>
          <w:sz w:val="18"/>
          <w:szCs w:val="18"/>
          <w:lang w:val="pt-BR"/>
        </w:rPr>
        <w:t>O número de incidentes de suporte por telefone permitidos varia por cliente com base em seus gastos de SA e sua forma de pagamento.</w:t>
      </w:r>
      <w:r w:rsidR="00FB5496" w:rsidRPr="008D38F6">
        <w:rPr>
          <w:rFonts w:ascii="Tahoma" w:hAnsi="Tahoma" w:cs="Tahoma"/>
          <w:sz w:val="18"/>
          <w:szCs w:val="18"/>
          <w:lang w:val="pt-BR"/>
        </w:rPr>
        <w:t xml:space="preserve"> </w:t>
      </w:r>
      <w:r w:rsidRPr="008D38F6">
        <w:rPr>
          <w:rFonts w:ascii="Tahoma" w:hAnsi="Tahoma" w:cs="Tahoma"/>
          <w:sz w:val="18"/>
          <w:lang w:val="pt-BR"/>
        </w:rPr>
        <w:t>Para esses fins, “gastos de SA” não são literalmente os gastos reais em dólares do cliente.</w:t>
      </w:r>
      <w:r w:rsidR="00FB5496" w:rsidRPr="008D38F6">
        <w:rPr>
          <w:rFonts w:ascii="Tahoma" w:hAnsi="Tahoma" w:cs="Tahoma"/>
          <w:sz w:val="18"/>
          <w:lang w:val="pt-BR"/>
        </w:rPr>
        <w:t xml:space="preserve"> </w:t>
      </w:r>
      <w:r w:rsidRPr="008D38F6">
        <w:rPr>
          <w:rFonts w:ascii="Tahoma" w:hAnsi="Tahoma" w:cs="Tahoma"/>
          <w:sz w:val="18"/>
          <w:lang w:val="pt-BR"/>
        </w:rPr>
        <w:t>Trata-se de uma aproximação do que um cliente gastou na cobertura de Software Assurance para esses produtos. Para os clien</w:t>
      </w:r>
      <w:r w:rsidRPr="008D38F6">
        <w:rPr>
          <w:rFonts w:ascii="Tahoma" w:hAnsi="Tahoma" w:cs="Tahoma"/>
          <w:sz w:val="18"/>
          <w:szCs w:val="18"/>
          <w:lang w:val="pt-BR"/>
        </w:rPr>
        <w:t>tes sob programas de assinatura, esses gastos são uma aproximação do valor total em dólares que o</w:t>
      </w:r>
      <w:r w:rsidR="002F0514" w:rsidRPr="008D38F6">
        <w:rPr>
          <w:rFonts w:ascii="Tahoma" w:hAnsi="Tahoma" w:cs="Tahoma"/>
          <w:sz w:val="18"/>
          <w:szCs w:val="18"/>
          <w:lang w:val="pt-BR"/>
        </w:rPr>
        <w:t> </w:t>
      </w:r>
      <w:r w:rsidRPr="008D38F6">
        <w:rPr>
          <w:rFonts w:ascii="Tahoma" w:hAnsi="Tahoma" w:cs="Tahoma"/>
          <w:sz w:val="18"/>
          <w:szCs w:val="18"/>
          <w:lang w:val="pt-BR"/>
        </w:rPr>
        <w:t>cliente gastou com o licenciamento desses produtos sob seu registro ou contrato.</w:t>
      </w:r>
      <w:r w:rsidR="00FB5496" w:rsidRPr="008D38F6">
        <w:rPr>
          <w:rFonts w:ascii="Tahoma" w:hAnsi="Tahoma" w:cs="Tahoma"/>
          <w:sz w:val="18"/>
          <w:szCs w:val="18"/>
          <w:lang w:val="pt-BR"/>
        </w:rPr>
        <w:t xml:space="preserve"> </w:t>
      </w:r>
      <w:r w:rsidRPr="008D38F6">
        <w:rPr>
          <w:rFonts w:ascii="Tahoma" w:hAnsi="Tahoma" w:cs="Tahoma"/>
          <w:sz w:val="18"/>
          <w:szCs w:val="18"/>
          <w:lang w:val="pt-BR"/>
        </w:rPr>
        <w:t>O incidente complementar é concedido de acordo com os registros Enterprise e Select, o registro Select Plus e o contrato Open Value com cobertura do SA a pelo menos um produto de software de Servidor qualificado.</w:t>
      </w:r>
    </w:p>
    <w:p w:rsidR="00F42FB8" w:rsidRPr="008D38F6" w:rsidRDefault="00F42FB8" w:rsidP="002D25C8">
      <w:pPr>
        <w:pStyle w:val="AppendixBodyText"/>
        <w:spacing w:after="0"/>
        <w:rPr>
          <w:rFonts w:ascii="Tahoma" w:hAnsi="Tahoma" w:cs="Tahoma"/>
          <w:sz w:val="18"/>
          <w:szCs w:val="18"/>
          <w:lang w:val="pt-B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416070"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6070" w:rsidRDefault="00613BBB" w:rsidP="00F42FB8">
            <w:pPr>
              <w:pStyle w:val="AppendixBodyText"/>
              <w:rPr>
                <w:rFonts w:ascii="Tahoma" w:hAnsi="Tahoma" w:cs="Tahoma"/>
                <w:b/>
                <w:bCs/>
              </w:rPr>
            </w:pPr>
            <w:r w:rsidRPr="00416070">
              <w:rPr>
                <w:rFonts w:ascii="Tahoma" w:hAnsi="Tahoma" w:cs="Tahoma"/>
                <w:b/>
                <w:bCs/>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6070" w:rsidRDefault="00613BBB" w:rsidP="00F42FB8">
            <w:pPr>
              <w:pStyle w:val="AppendixBodyText"/>
              <w:rPr>
                <w:rFonts w:ascii="Tahoma" w:hAnsi="Tahoma" w:cs="Tahoma"/>
                <w:b/>
                <w:bCs/>
              </w:rPr>
            </w:pPr>
            <w:r w:rsidRPr="00416070">
              <w:rPr>
                <w:rFonts w:ascii="Tahoma" w:hAnsi="Tahoma" w:cs="Tahoma"/>
                <w:b/>
                <w:bCs/>
              </w:rPr>
              <w:t>Código da 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6070" w:rsidRDefault="00613BBB" w:rsidP="00F42FB8">
            <w:pPr>
              <w:pStyle w:val="AppendixBodyText"/>
            </w:pPr>
            <w:r w:rsidRPr="00416070">
              <w:rPr>
                <w:rFonts w:ascii="Tahoma" w:hAnsi="Tahoma" w:cs="Tahoma"/>
                <w:b/>
                <w:bCs/>
              </w:rPr>
              <w:t>Servidor/CAL</w:t>
            </w:r>
          </w:p>
          <w:p w:rsidR="00613BBB" w:rsidRPr="00416070" w:rsidRDefault="00613BBB" w:rsidP="002E4F7C">
            <w:pPr>
              <w:pStyle w:val="AppendixBodyText"/>
              <w:rPr>
                <w:rFonts w:ascii="Tahoma" w:hAnsi="Tahoma" w:cs="Tahoma"/>
                <w:b/>
                <w:bCs/>
              </w:rPr>
            </w:pPr>
            <w:r w:rsidRPr="00416070">
              <w:rPr>
                <w:rFonts w:ascii="Tahoma" w:hAnsi="Tahoma" w:cs="Tahoma"/>
                <w:b/>
                <w:bCs/>
              </w:rPr>
              <w:t>Incrementos de Prêmios</w:t>
            </w:r>
            <w:r w:rsidR="002E4F7C" w:rsidRPr="00416070">
              <w:rPr>
                <w:rFonts w:ascii="Tahoma" w:hAnsi="Tahoma" w:cs="Tahoma"/>
                <w:b/>
                <w:bCs/>
              </w:rPr>
              <w:t> </w:t>
            </w:r>
            <w:r w:rsidRPr="00416070">
              <w:rPr>
                <w:rFonts w:ascii="Tahoma" w:hAnsi="Tahoma" w:cs="Tahoma"/>
                <w:b/>
                <w:bCs/>
              </w:rPr>
              <w:t>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6070" w:rsidRDefault="00613BBB" w:rsidP="00F42FB8">
            <w:pPr>
              <w:pStyle w:val="AppendixBodyText"/>
            </w:pPr>
            <w:r w:rsidRPr="00416070">
              <w:rPr>
                <w:rFonts w:ascii="Tahoma" w:hAnsi="Tahoma" w:cs="Tahoma"/>
                <w:b/>
                <w:bCs/>
              </w:rPr>
              <w:t>IW/Cliente</w:t>
            </w:r>
          </w:p>
          <w:p w:rsidR="00613BBB" w:rsidRPr="00416070" w:rsidRDefault="00613BBB" w:rsidP="002E4F7C">
            <w:pPr>
              <w:pStyle w:val="AppendixBodyText"/>
              <w:rPr>
                <w:rFonts w:ascii="Tahoma" w:hAnsi="Tahoma" w:cs="Tahoma"/>
                <w:b/>
                <w:bCs/>
              </w:rPr>
            </w:pPr>
            <w:r w:rsidRPr="00416070">
              <w:rPr>
                <w:rFonts w:ascii="Tahoma" w:hAnsi="Tahoma" w:cs="Tahoma"/>
                <w:b/>
                <w:bCs/>
              </w:rPr>
              <w:t>Incrementos de Prêmios</w:t>
            </w:r>
            <w:r w:rsidR="002E4F7C" w:rsidRPr="00416070">
              <w:rPr>
                <w:rFonts w:ascii="Tahoma" w:hAnsi="Tahoma" w:cs="Tahoma"/>
                <w:b/>
                <w:bCs/>
              </w:rPr>
              <w:t> </w:t>
            </w:r>
            <w:r w:rsidRPr="00416070">
              <w:rPr>
                <w:rFonts w:ascii="Tahoma" w:hAnsi="Tahoma" w:cs="Tahoma"/>
                <w:b/>
                <w:bCs/>
              </w:rPr>
              <w:t>de Incidentes</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Dólar Americano</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USD</w:t>
            </w:r>
          </w:p>
        </w:tc>
        <w:tc>
          <w:tcPr>
            <w:tcW w:w="2673"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$20</w:t>
            </w:r>
            <w:r w:rsidR="005019D3" w:rsidRPr="00416070">
              <w:rPr>
                <w:rFonts w:ascii="Tahoma" w:hAnsi="Tahoma" w:cs="Tahoma"/>
                <w:sz w:val="18"/>
                <w:szCs w:val="18"/>
              </w:rPr>
              <w:t>.</w:t>
            </w:r>
            <w:r w:rsidRPr="00416070">
              <w:rPr>
                <w:rFonts w:ascii="Tahoma" w:hAnsi="Tahoma" w:cs="Tahoma"/>
                <w:sz w:val="18"/>
                <w:szCs w:val="18"/>
              </w:rPr>
              <w:t>000</w:t>
            </w:r>
          </w:p>
        </w:tc>
        <w:tc>
          <w:tcPr>
            <w:tcW w:w="2889"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$200</w:t>
            </w:r>
            <w:r w:rsidR="005019D3" w:rsidRPr="00416070">
              <w:rPr>
                <w:rFonts w:ascii="Tahoma" w:hAnsi="Tahoma" w:cs="Tahoma"/>
                <w:sz w:val="18"/>
                <w:szCs w:val="18"/>
              </w:rPr>
              <w:t>.</w:t>
            </w:r>
            <w:r w:rsidRPr="00416070">
              <w:rPr>
                <w:rFonts w:ascii="Tahoma" w:hAnsi="Tahoma" w:cs="Tahoma"/>
                <w:sz w:val="18"/>
                <w:szCs w:val="18"/>
              </w:rPr>
              <w:t>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Dólar Australiano</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AUD</w:t>
            </w:r>
          </w:p>
        </w:tc>
        <w:tc>
          <w:tcPr>
            <w:tcW w:w="2673"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30</w:t>
            </w:r>
            <w:r w:rsidR="005019D3" w:rsidRPr="00416070">
              <w:rPr>
                <w:rFonts w:ascii="Tahoma" w:hAnsi="Tahoma" w:cs="Tahoma"/>
                <w:sz w:val="18"/>
                <w:szCs w:val="18"/>
              </w:rPr>
              <w:t>.</w:t>
            </w:r>
            <w:r w:rsidRPr="00416070">
              <w:rPr>
                <w:rFonts w:ascii="Tahoma" w:hAnsi="Tahoma" w:cs="Tahoma"/>
                <w:sz w:val="18"/>
                <w:szCs w:val="18"/>
              </w:rPr>
              <w:t>000</w:t>
            </w:r>
          </w:p>
        </w:tc>
        <w:tc>
          <w:tcPr>
            <w:tcW w:w="2889"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300</w:t>
            </w:r>
            <w:r w:rsidR="005019D3" w:rsidRPr="00416070">
              <w:rPr>
                <w:rFonts w:ascii="Tahoma" w:hAnsi="Tahoma" w:cs="Tahoma"/>
                <w:sz w:val="18"/>
                <w:szCs w:val="18"/>
              </w:rPr>
              <w:t>.</w:t>
            </w:r>
            <w:r w:rsidRPr="00416070">
              <w:rPr>
                <w:rFonts w:ascii="Tahoma" w:hAnsi="Tahoma" w:cs="Tahoma"/>
                <w:sz w:val="18"/>
                <w:szCs w:val="18"/>
              </w:rPr>
              <w:t>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Dólar Canadense</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CAD</w:t>
            </w:r>
          </w:p>
        </w:tc>
        <w:tc>
          <w:tcPr>
            <w:tcW w:w="2673"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27</w:t>
            </w:r>
            <w:r w:rsidR="005019D3" w:rsidRPr="00416070">
              <w:rPr>
                <w:rFonts w:ascii="Tahoma" w:hAnsi="Tahoma" w:cs="Tahoma"/>
                <w:sz w:val="18"/>
                <w:szCs w:val="18"/>
              </w:rPr>
              <w:t>.</w:t>
            </w:r>
            <w:r w:rsidRPr="00416070">
              <w:rPr>
                <w:rFonts w:ascii="Tahoma" w:hAnsi="Tahoma" w:cs="Tahoma"/>
                <w:sz w:val="18"/>
                <w:szCs w:val="18"/>
              </w:rPr>
              <w:t>000</w:t>
            </w:r>
          </w:p>
        </w:tc>
        <w:tc>
          <w:tcPr>
            <w:tcW w:w="2889"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270</w:t>
            </w:r>
            <w:r w:rsidR="005019D3" w:rsidRPr="00416070">
              <w:rPr>
                <w:rFonts w:ascii="Tahoma" w:hAnsi="Tahoma" w:cs="Tahoma"/>
                <w:sz w:val="18"/>
                <w:szCs w:val="18"/>
              </w:rPr>
              <w:t>.</w:t>
            </w:r>
            <w:r w:rsidRPr="00416070">
              <w:rPr>
                <w:rFonts w:ascii="Tahoma" w:hAnsi="Tahoma" w:cs="Tahoma"/>
                <w:sz w:val="18"/>
                <w:szCs w:val="18"/>
              </w:rPr>
              <w:t>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Franco Suíço</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CHF</w:t>
            </w:r>
          </w:p>
        </w:tc>
        <w:tc>
          <w:tcPr>
            <w:tcW w:w="2673"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S Fr. 33</w:t>
            </w:r>
            <w:r w:rsidR="005019D3" w:rsidRPr="00416070">
              <w:rPr>
                <w:rFonts w:ascii="Tahoma" w:hAnsi="Tahoma" w:cs="Tahoma"/>
                <w:sz w:val="18"/>
                <w:szCs w:val="18"/>
              </w:rPr>
              <w:t>.</w:t>
            </w:r>
            <w:r w:rsidRPr="00416070">
              <w:rPr>
                <w:rFonts w:ascii="Tahoma" w:hAnsi="Tahoma" w:cs="Tahoma"/>
                <w:sz w:val="18"/>
                <w:szCs w:val="18"/>
              </w:rPr>
              <w:t>000</w:t>
            </w:r>
          </w:p>
        </w:tc>
        <w:tc>
          <w:tcPr>
            <w:tcW w:w="2889"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S Fr. 330</w:t>
            </w:r>
            <w:r w:rsidR="005019D3" w:rsidRPr="00416070">
              <w:rPr>
                <w:rFonts w:ascii="Tahoma" w:hAnsi="Tahoma" w:cs="Tahoma"/>
                <w:sz w:val="18"/>
                <w:szCs w:val="18"/>
              </w:rPr>
              <w:t>.</w:t>
            </w:r>
            <w:r w:rsidRPr="00416070">
              <w:rPr>
                <w:rFonts w:ascii="Tahoma" w:hAnsi="Tahoma" w:cs="Tahoma"/>
                <w:sz w:val="18"/>
                <w:szCs w:val="18"/>
              </w:rPr>
              <w:t>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Iuan Renmimbi (China)</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CNY</w:t>
            </w:r>
          </w:p>
        </w:tc>
        <w:tc>
          <w:tcPr>
            <w:tcW w:w="2673"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CRC 165.000</w:t>
            </w:r>
          </w:p>
        </w:tc>
        <w:tc>
          <w:tcPr>
            <w:tcW w:w="288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CRC 1.650.000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Coroa Dinamarquesa</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DKK</w:t>
            </w:r>
          </w:p>
        </w:tc>
        <w:tc>
          <w:tcPr>
            <w:tcW w:w="2673"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kr 160.000</w:t>
            </w:r>
          </w:p>
        </w:tc>
        <w:tc>
          <w:tcPr>
            <w:tcW w:w="288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kr 1.600.000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Euro</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EUR</w:t>
            </w:r>
          </w:p>
        </w:tc>
        <w:tc>
          <w:tcPr>
            <w:tcW w:w="2673"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21</w:t>
            </w:r>
            <w:r w:rsidR="005019D3" w:rsidRPr="00416070">
              <w:rPr>
                <w:rFonts w:ascii="Tahoma" w:hAnsi="Tahoma" w:cs="Tahoma"/>
                <w:sz w:val="18"/>
                <w:szCs w:val="18"/>
              </w:rPr>
              <w:t>.</w:t>
            </w:r>
            <w:r w:rsidRPr="00416070">
              <w:rPr>
                <w:rFonts w:ascii="Tahoma" w:hAnsi="Tahoma" w:cs="Tahoma"/>
                <w:sz w:val="18"/>
                <w:szCs w:val="18"/>
              </w:rPr>
              <w:t>500</w:t>
            </w:r>
          </w:p>
        </w:tc>
        <w:tc>
          <w:tcPr>
            <w:tcW w:w="2889"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215</w:t>
            </w:r>
            <w:r w:rsidR="005019D3" w:rsidRPr="00416070">
              <w:rPr>
                <w:rFonts w:ascii="Tahoma" w:hAnsi="Tahoma" w:cs="Tahoma"/>
                <w:sz w:val="18"/>
                <w:szCs w:val="18"/>
              </w:rPr>
              <w:t>.</w:t>
            </w:r>
            <w:r w:rsidRPr="00416070">
              <w:rPr>
                <w:rFonts w:ascii="Tahoma" w:hAnsi="Tahoma" w:cs="Tahoma"/>
                <w:sz w:val="18"/>
                <w:szCs w:val="18"/>
              </w:rPr>
              <w:t>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Libra Esterlina</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GBP</w:t>
            </w:r>
          </w:p>
        </w:tc>
        <w:tc>
          <w:tcPr>
            <w:tcW w:w="2673"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£13</w:t>
            </w:r>
            <w:r w:rsidR="005019D3" w:rsidRPr="00416070">
              <w:rPr>
                <w:rFonts w:ascii="Tahoma" w:hAnsi="Tahoma" w:cs="Tahoma"/>
                <w:sz w:val="18"/>
                <w:szCs w:val="18"/>
              </w:rPr>
              <w:t>.</w:t>
            </w:r>
            <w:r w:rsidRPr="00416070">
              <w:rPr>
                <w:rFonts w:ascii="Tahoma" w:hAnsi="Tahoma" w:cs="Tahoma"/>
                <w:sz w:val="18"/>
                <w:szCs w:val="18"/>
              </w:rPr>
              <w:t>500</w:t>
            </w:r>
          </w:p>
        </w:tc>
        <w:tc>
          <w:tcPr>
            <w:tcW w:w="2889" w:type="dxa"/>
            <w:vAlign w:val="bottom"/>
          </w:tcPr>
          <w:p w:rsidR="00613BBB" w:rsidRPr="00416070" w:rsidRDefault="00613BBB" w:rsidP="005019D3">
            <w:pPr>
              <w:pStyle w:val="AppendixBodyText"/>
              <w:rPr>
                <w:rFonts w:ascii="Tahoma" w:hAnsi="Tahoma" w:cs="Tahoma"/>
                <w:sz w:val="18"/>
                <w:szCs w:val="18"/>
              </w:rPr>
            </w:pPr>
            <w:r w:rsidRPr="00416070">
              <w:rPr>
                <w:rFonts w:ascii="Tahoma" w:hAnsi="Tahoma" w:cs="Tahoma"/>
                <w:sz w:val="18"/>
                <w:szCs w:val="18"/>
              </w:rPr>
              <w:t>£135</w:t>
            </w:r>
            <w:r w:rsidR="005019D3" w:rsidRPr="00416070">
              <w:rPr>
                <w:rFonts w:ascii="Tahoma" w:hAnsi="Tahoma" w:cs="Tahoma"/>
                <w:sz w:val="18"/>
                <w:szCs w:val="18"/>
              </w:rPr>
              <w:t>.</w:t>
            </w:r>
            <w:r w:rsidRPr="00416070">
              <w:rPr>
                <w:rFonts w:ascii="Tahoma" w:hAnsi="Tahoma" w:cs="Tahoma"/>
                <w:sz w:val="18"/>
                <w:szCs w:val="18"/>
              </w:rPr>
              <w:t>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Iene Japonês</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JPY</w:t>
            </w:r>
          </w:p>
        </w:tc>
        <w:tc>
          <w:tcPr>
            <w:tcW w:w="2673"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JPY 2.400.000</w:t>
            </w:r>
          </w:p>
        </w:tc>
        <w:tc>
          <w:tcPr>
            <w:tcW w:w="288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JPY 24.000.000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Won Coreano</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KRW</w:t>
            </w:r>
          </w:p>
        </w:tc>
        <w:tc>
          <w:tcPr>
            <w:tcW w:w="2673"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KWD 24.000.000</w:t>
            </w:r>
          </w:p>
        </w:tc>
        <w:tc>
          <w:tcPr>
            <w:tcW w:w="288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KWD 240.000.000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Coroa Norueguesa</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NOK</w:t>
            </w:r>
          </w:p>
        </w:tc>
        <w:tc>
          <w:tcPr>
            <w:tcW w:w="2673"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kr 165.000</w:t>
            </w:r>
          </w:p>
        </w:tc>
        <w:tc>
          <w:tcPr>
            <w:tcW w:w="288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kr 1.650.000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Dólar Neozelandês</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NZD</w:t>
            </w:r>
          </w:p>
        </w:tc>
        <w:tc>
          <w:tcPr>
            <w:tcW w:w="2673" w:type="dxa"/>
            <w:vAlign w:val="bottom"/>
          </w:tcPr>
          <w:p w:rsidR="00613BBB" w:rsidRPr="00416070" w:rsidRDefault="00613BBB" w:rsidP="00B85BEE">
            <w:pPr>
              <w:pStyle w:val="AppendixBodyText"/>
              <w:rPr>
                <w:rFonts w:ascii="Tahoma" w:hAnsi="Tahoma" w:cs="Tahoma"/>
                <w:sz w:val="18"/>
                <w:szCs w:val="18"/>
              </w:rPr>
            </w:pPr>
            <w:r w:rsidRPr="00416070">
              <w:rPr>
                <w:rFonts w:ascii="Tahoma" w:hAnsi="Tahoma" w:cs="Tahoma"/>
                <w:sz w:val="18"/>
                <w:szCs w:val="18"/>
              </w:rPr>
              <w:t>35</w:t>
            </w:r>
            <w:r w:rsidR="00B85BEE" w:rsidRPr="00416070">
              <w:rPr>
                <w:rFonts w:ascii="Tahoma" w:hAnsi="Tahoma" w:cs="Tahoma"/>
                <w:sz w:val="18"/>
                <w:szCs w:val="18"/>
              </w:rPr>
              <w:t>.</w:t>
            </w:r>
            <w:r w:rsidRPr="00416070">
              <w:rPr>
                <w:rFonts w:ascii="Tahoma" w:hAnsi="Tahoma" w:cs="Tahoma"/>
                <w:sz w:val="18"/>
                <w:szCs w:val="18"/>
              </w:rPr>
              <w:t>000</w:t>
            </w:r>
          </w:p>
        </w:tc>
        <w:tc>
          <w:tcPr>
            <w:tcW w:w="2889" w:type="dxa"/>
            <w:vAlign w:val="bottom"/>
          </w:tcPr>
          <w:p w:rsidR="00613BBB" w:rsidRPr="00416070" w:rsidRDefault="00613BBB" w:rsidP="00B85BEE">
            <w:pPr>
              <w:pStyle w:val="AppendixBodyText"/>
              <w:rPr>
                <w:rFonts w:ascii="Tahoma" w:hAnsi="Tahoma" w:cs="Tahoma"/>
                <w:sz w:val="18"/>
                <w:szCs w:val="18"/>
              </w:rPr>
            </w:pPr>
            <w:r w:rsidRPr="00416070">
              <w:rPr>
                <w:rFonts w:ascii="Tahoma" w:hAnsi="Tahoma" w:cs="Tahoma"/>
                <w:sz w:val="18"/>
                <w:szCs w:val="18"/>
              </w:rPr>
              <w:t>350</w:t>
            </w:r>
            <w:r w:rsidR="00B85BEE" w:rsidRPr="00416070">
              <w:rPr>
                <w:rFonts w:ascii="Tahoma" w:hAnsi="Tahoma" w:cs="Tahoma"/>
                <w:sz w:val="18"/>
                <w:szCs w:val="18"/>
              </w:rPr>
              <w:t>.</w:t>
            </w:r>
            <w:r w:rsidRPr="00416070">
              <w:rPr>
                <w:rFonts w:ascii="Tahoma" w:hAnsi="Tahoma" w:cs="Tahoma"/>
                <w:sz w:val="18"/>
                <w:szCs w:val="18"/>
              </w:rPr>
              <w:t>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Coroa Sueca</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SEK</w:t>
            </w:r>
          </w:p>
        </w:tc>
        <w:tc>
          <w:tcPr>
            <w:tcW w:w="2673"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kr 200.000</w:t>
            </w:r>
          </w:p>
        </w:tc>
        <w:tc>
          <w:tcPr>
            <w:tcW w:w="288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kr 2.000.000</w:t>
            </w:r>
          </w:p>
        </w:tc>
      </w:tr>
      <w:tr w:rsidR="00613BBB" w:rsidRPr="00416070" w:rsidTr="002A6416">
        <w:trPr>
          <w:trHeight w:val="236"/>
        </w:trPr>
        <w:tc>
          <w:tcPr>
            <w:tcW w:w="180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Novo Dólar Taiwanês</w:t>
            </w:r>
          </w:p>
        </w:tc>
        <w:tc>
          <w:tcPr>
            <w:tcW w:w="1350"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TWD</w:t>
            </w:r>
          </w:p>
        </w:tc>
        <w:tc>
          <w:tcPr>
            <w:tcW w:w="2673"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NTD 700.000</w:t>
            </w:r>
          </w:p>
        </w:tc>
        <w:tc>
          <w:tcPr>
            <w:tcW w:w="2889" w:type="dxa"/>
            <w:vAlign w:val="bottom"/>
          </w:tcPr>
          <w:p w:rsidR="00613BBB" w:rsidRPr="00416070" w:rsidRDefault="00613BBB" w:rsidP="00F42FB8">
            <w:pPr>
              <w:pStyle w:val="AppendixBodyText"/>
              <w:rPr>
                <w:rFonts w:ascii="Tahoma" w:hAnsi="Tahoma" w:cs="Tahoma"/>
                <w:sz w:val="18"/>
                <w:szCs w:val="18"/>
              </w:rPr>
            </w:pPr>
            <w:r w:rsidRPr="00416070">
              <w:rPr>
                <w:rFonts w:ascii="Tahoma" w:hAnsi="Tahoma" w:cs="Tahoma"/>
                <w:sz w:val="18"/>
                <w:szCs w:val="18"/>
              </w:rPr>
              <w:t>NTD 7.000.000</w:t>
            </w:r>
          </w:p>
        </w:tc>
      </w:tr>
      <w:tr w:rsidR="004B4C79" w:rsidRPr="00416070" w:rsidTr="002A6416">
        <w:trPr>
          <w:trHeight w:val="236"/>
        </w:trPr>
        <w:tc>
          <w:tcPr>
            <w:tcW w:w="1809" w:type="dxa"/>
          </w:tcPr>
          <w:p w:rsidR="004B4C79" w:rsidRPr="00416070" w:rsidRDefault="004B4C79" w:rsidP="00F42FB8">
            <w:pPr>
              <w:pStyle w:val="AppendixBodyText"/>
              <w:rPr>
                <w:rFonts w:ascii="Tahoma" w:hAnsi="Tahoma" w:cs="Tahoma"/>
                <w:sz w:val="18"/>
                <w:szCs w:val="18"/>
              </w:rPr>
            </w:pPr>
            <w:r w:rsidRPr="00416070">
              <w:rPr>
                <w:rFonts w:ascii="Tahoma" w:hAnsi="Tahoma" w:cs="Tahoma"/>
                <w:sz w:val="18"/>
                <w:szCs w:val="18"/>
              </w:rPr>
              <w:t>Rúpia Indiana</w:t>
            </w:r>
          </w:p>
        </w:tc>
        <w:tc>
          <w:tcPr>
            <w:tcW w:w="1350" w:type="dxa"/>
          </w:tcPr>
          <w:p w:rsidR="004B4C79" w:rsidRPr="00416070" w:rsidRDefault="004B4C79" w:rsidP="00F42FB8">
            <w:pPr>
              <w:pStyle w:val="AppendixBodyText"/>
              <w:rPr>
                <w:rFonts w:ascii="Tahoma" w:hAnsi="Tahoma" w:cs="Tahoma"/>
                <w:sz w:val="18"/>
                <w:szCs w:val="18"/>
              </w:rPr>
            </w:pPr>
            <w:r w:rsidRPr="00416070">
              <w:rPr>
                <w:rFonts w:ascii="Tahoma" w:hAnsi="Tahoma" w:cs="Tahoma"/>
                <w:sz w:val="18"/>
                <w:szCs w:val="18"/>
              </w:rPr>
              <w:t>INR</w:t>
            </w:r>
          </w:p>
        </w:tc>
        <w:tc>
          <w:tcPr>
            <w:tcW w:w="2673" w:type="dxa"/>
          </w:tcPr>
          <w:p w:rsidR="004B4C79" w:rsidRPr="00416070" w:rsidRDefault="004B4C79" w:rsidP="00F42FB8">
            <w:pPr>
              <w:pStyle w:val="AppendixBodyText"/>
              <w:rPr>
                <w:rFonts w:ascii="Tahoma" w:hAnsi="Tahoma" w:cs="Tahoma"/>
                <w:sz w:val="18"/>
                <w:szCs w:val="18"/>
              </w:rPr>
            </w:pPr>
            <w:r w:rsidRPr="00416070">
              <w:rPr>
                <w:rFonts w:ascii="Tahoma" w:hAnsi="Tahoma" w:cs="Tahoma"/>
                <w:sz w:val="18"/>
                <w:szCs w:val="18"/>
              </w:rPr>
              <w:t>INR 1.000.000</w:t>
            </w:r>
          </w:p>
        </w:tc>
        <w:tc>
          <w:tcPr>
            <w:tcW w:w="2889" w:type="dxa"/>
          </w:tcPr>
          <w:p w:rsidR="004B4C79" w:rsidRPr="00416070" w:rsidRDefault="004B4C79" w:rsidP="00F42FB8">
            <w:pPr>
              <w:pStyle w:val="AppendixBodyText"/>
              <w:rPr>
                <w:rFonts w:ascii="Tahoma" w:hAnsi="Tahoma" w:cs="Tahoma"/>
                <w:sz w:val="18"/>
                <w:szCs w:val="18"/>
              </w:rPr>
            </w:pPr>
            <w:r w:rsidRPr="00416070">
              <w:rPr>
                <w:rFonts w:ascii="Tahoma" w:hAnsi="Tahoma" w:cs="Tahoma"/>
                <w:sz w:val="18"/>
                <w:szCs w:val="18"/>
              </w:rPr>
              <w:t>INR 10.000.000</w:t>
            </w:r>
          </w:p>
        </w:tc>
      </w:tr>
      <w:tr w:rsidR="004B4C79" w:rsidRPr="00416070" w:rsidTr="002A6416">
        <w:trPr>
          <w:trHeight w:val="236"/>
        </w:trPr>
        <w:tc>
          <w:tcPr>
            <w:tcW w:w="1809" w:type="dxa"/>
          </w:tcPr>
          <w:p w:rsidR="004B4C79" w:rsidRPr="00416070" w:rsidRDefault="004B4C79" w:rsidP="00F42FB8">
            <w:pPr>
              <w:pStyle w:val="AppendixBodyText"/>
              <w:rPr>
                <w:rFonts w:ascii="Tahoma" w:hAnsi="Tahoma" w:cs="Tahoma"/>
                <w:sz w:val="18"/>
                <w:szCs w:val="18"/>
              </w:rPr>
            </w:pPr>
            <w:r w:rsidRPr="00416070">
              <w:rPr>
                <w:rFonts w:ascii="Tahoma" w:hAnsi="Tahoma" w:cs="Tahoma"/>
                <w:sz w:val="18"/>
                <w:szCs w:val="18"/>
              </w:rPr>
              <w:t>Rublo Russo</w:t>
            </w:r>
          </w:p>
        </w:tc>
        <w:tc>
          <w:tcPr>
            <w:tcW w:w="1350" w:type="dxa"/>
          </w:tcPr>
          <w:p w:rsidR="004B4C79" w:rsidRPr="00416070" w:rsidRDefault="004B4C79" w:rsidP="00F42FB8">
            <w:pPr>
              <w:pStyle w:val="AppendixBodyText"/>
              <w:rPr>
                <w:rFonts w:ascii="Tahoma" w:hAnsi="Tahoma" w:cs="Tahoma"/>
                <w:sz w:val="18"/>
                <w:szCs w:val="18"/>
              </w:rPr>
            </w:pPr>
            <w:r w:rsidRPr="00416070">
              <w:rPr>
                <w:rFonts w:ascii="Tahoma" w:hAnsi="Tahoma" w:cs="Tahoma"/>
                <w:sz w:val="18"/>
                <w:szCs w:val="18"/>
              </w:rPr>
              <w:t>RUB</w:t>
            </w:r>
          </w:p>
        </w:tc>
        <w:tc>
          <w:tcPr>
            <w:tcW w:w="2673" w:type="dxa"/>
          </w:tcPr>
          <w:p w:rsidR="004B4C79" w:rsidRPr="00416070" w:rsidRDefault="004B4C79" w:rsidP="00F42FB8">
            <w:pPr>
              <w:pStyle w:val="AppendixBodyText"/>
              <w:rPr>
                <w:rFonts w:ascii="Tahoma" w:hAnsi="Tahoma" w:cs="Tahoma"/>
                <w:sz w:val="18"/>
                <w:szCs w:val="18"/>
              </w:rPr>
            </w:pPr>
            <w:r w:rsidRPr="00416070">
              <w:rPr>
                <w:rFonts w:ascii="Tahoma" w:hAnsi="Tahoma" w:cs="Tahoma"/>
                <w:sz w:val="18"/>
                <w:szCs w:val="18"/>
              </w:rPr>
              <w:t>RUB 660.000</w:t>
            </w:r>
          </w:p>
        </w:tc>
        <w:tc>
          <w:tcPr>
            <w:tcW w:w="2889" w:type="dxa"/>
          </w:tcPr>
          <w:p w:rsidR="004B4C79" w:rsidRPr="00416070" w:rsidRDefault="004B4C79" w:rsidP="00F42FB8">
            <w:pPr>
              <w:pStyle w:val="AppendixBodyText"/>
              <w:rPr>
                <w:rFonts w:ascii="Tahoma" w:hAnsi="Tahoma" w:cs="Tahoma"/>
                <w:sz w:val="18"/>
                <w:szCs w:val="18"/>
              </w:rPr>
            </w:pPr>
            <w:r w:rsidRPr="00416070">
              <w:rPr>
                <w:rFonts w:ascii="Tahoma" w:hAnsi="Tahoma" w:cs="Tahoma"/>
                <w:sz w:val="18"/>
                <w:szCs w:val="18"/>
              </w:rPr>
              <w:t>RUB 6.600.000</w:t>
            </w:r>
          </w:p>
        </w:tc>
      </w:tr>
    </w:tbl>
    <w:p w:rsidR="00023FE7" w:rsidRPr="00416070" w:rsidRDefault="00023FE7" w:rsidP="00F93617">
      <w:pPr>
        <w:pStyle w:val="AppendixBodyText"/>
        <w:spacing w:after="0"/>
      </w:pPr>
    </w:p>
    <w:p w:rsidR="00B85BEE" w:rsidRPr="00416070" w:rsidRDefault="00B85BEE" w:rsidP="00F93617">
      <w:pPr>
        <w:pStyle w:val="AppendixBodyText"/>
        <w:spacing w:after="0"/>
      </w:pPr>
    </w:p>
    <w:p w:rsidR="00023FE7" w:rsidRPr="008D38F6" w:rsidRDefault="00023FE7" w:rsidP="00F42FB8">
      <w:pPr>
        <w:pStyle w:val="AppendixBodyText"/>
        <w:spacing w:after="0"/>
        <w:rPr>
          <w:lang w:val="pt-BR"/>
        </w:rPr>
      </w:pPr>
      <w:r w:rsidRPr="008D38F6">
        <w:rPr>
          <w:rFonts w:ascii="Tahoma" w:hAnsi="Tahoma" w:cs="Tahoma"/>
          <w:sz w:val="18"/>
          <w:szCs w:val="18"/>
          <w:lang w:val="pt-BR"/>
        </w:rPr>
        <w:lastRenderedPageBreak/>
        <w:t>Os incidentes com base em gastos de SA são recebidos com base nos gastos de SA de servidor e desktop sob um</w:t>
      </w:r>
      <w:r w:rsidR="00B85BEE" w:rsidRPr="008D38F6">
        <w:rPr>
          <w:rFonts w:ascii="Tahoma" w:hAnsi="Tahoma" w:cs="Tahoma"/>
          <w:sz w:val="18"/>
          <w:szCs w:val="18"/>
          <w:lang w:val="pt-BR"/>
        </w:rPr>
        <w:t> </w:t>
      </w:r>
      <w:r w:rsidRPr="008D38F6">
        <w:rPr>
          <w:rFonts w:ascii="Tahoma" w:hAnsi="Tahoma" w:cs="Tahoma"/>
          <w:sz w:val="18"/>
          <w:szCs w:val="18"/>
          <w:lang w:val="pt-BR"/>
        </w:rPr>
        <w:t>registro Select ou Enterprise qualificado, um registro Select Plus, um Contrato Open Value ou um Número de</w:t>
      </w:r>
      <w:r w:rsidR="00B85BEE" w:rsidRPr="008D38F6">
        <w:rPr>
          <w:rFonts w:ascii="Tahoma" w:hAnsi="Tahoma" w:cs="Tahoma"/>
          <w:sz w:val="18"/>
          <w:szCs w:val="18"/>
          <w:lang w:val="pt-BR"/>
        </w:rPr>
        <w:t> </w:t>
      </w:r>
      <w:r w:rsidRPr="008D38F6">
        <w:rPr>
          <w:rFonts w:ascii="Tahoma" w:hAnsi="Tahoma" w:cs="Tahoma"/>
          <w:sz w:val="18"/>
          <w:szCs w:val="18"/>
          <w:lang w:val="pt-BR"/>
        </w:rPr>
        <w:t>Autorização de Licença Open.</w:t>
      </w:r>
      <w:r w:rsidR="00FB5496" w:rsidRPr="008D38F6">
        <w:rPr>
          <w:rFonts w:ascii="Tahoma" w:hAnsi="Tahoma" w:cs="Tahoma"/>
          <w:sz w:val="18"/>
          <w:szCs w:val="18"/>
          <w:lang w:val="pt-BR"/>
        </w:rPr>
        <w:t xml:space="preserve"> </w:t>
      </w:r>
      <w:r w:rsidRPr="008D38F6">
        <w:rPr>
          <w:rFonts w:ascii="Tahoma" w:hAnsi="Tahoma" w:cs="Tahoma"/>
          <w:sz w:val="18"/>
          <w:szCs w:val="18"/>
          <w:lang w:val="pt-BR"/>
        </w:rPr>
        <w:t>A cada aproximadamente US$ 20.000 de gastos de SA de Servidor e CAL, concederemos um incidente.</w:t>
      </w:r>
      <w:r w:rsidR="00FB5496" w:rsidRPr="008D38F6">
        <w:rPr>
          <w:rFonts w:ascii="Tahoma" w:hAnsi="Tahoma" w:cs="Tahoma"/>
          <w:sz w:val="18"/>
          <w:szCs w:val="18"/>
          <w:lang w:val="pt-BR"/>
        </w:rPr>
        <w:t xml:space="preserve"> </w:t>
      </w:r>
      <w:r w:rsidRPr="008D38F6">
        <w:rPr>
          <w:rFonts w:ascii="Tahoma" w:hAnsi="Tahoma" w:cs="Tahoma"/>
          <w:sz w:val="18"/>
          <w:szCs w:val="18"/>
          <w:lang w:val="pt-BR"/>
        </w:rPr>
        <w:t>A cada aproximadamente US$ 200.000 de gastos de SA em Pools de Sistemas e</w:t>
      </w:r>
      <w:r w:rsidR="00B85BEE" w:rsidRPr="008D38F6">
        <w:rPr>
          <w:rFonts w:ascii="Tahoma" w:hAnsi="Tahoma" w:cs="Tahoma"/>
          <w:sz w:val="18"/>
          <w:szCs w:val="18"/>
          <w:lang w:val="pt-BR"/>
        </w:rPr>
        <w:t> </w:t>
      </w:r>
      <w:r w:rsidRPr="008D38F6">
        <w:rPr>
          <w:rFonts w:ascii="Tahoma" w:hAnsi="Tahoma" w:cs="Tahoma"/>
          <w:sz w:val="18"/>
          <w:szCs w:val="18"/>
          <w:lang w:val="pt-BR"/>
        </w:rPr>
        <w:t>Aplicativos, concederemos um incidente.</w:t>
      </w:r>
      <w:r w:rsidR="00FB5496" w:rsidRPr="008D38F6">
        <w:rPr>
          <w:rFonts w:ascii="Tahoma" w:hAnsi="Tahoma" w:cs="Tahoma"/>
          <w:sz w:val="18"/>
          <w:szCs w:val="18"/>
          <w:lang w:val="pt-BR"/>
        </w:rPr>
        <w:t xml:space="preserve"> </w:t>
      </w:r>
      <w:r w:rsidRPr="008D38F6">
        <w:rPr>
          <w:rFonts w:ascii="Tahoma" w:hAnsi="Tahoma" w:cs="Tahoma"/>
          <w:sz w:val="18"/>
          <w:szCs w:val="18"/>
          <w:lang w:val="pt-BR"/>
        </w:rPr>
        <w:t>A tabela a seguir mostra os equivalentes monetários aproximados para</w:t>
      </w:r>
      <w:r w:rsidR="00B85BEE" w:rsidRPr="008D38F6">
        <w:rPr>
          <w:rFonts w:ascii="Tahoma" w:hAnsi="Tahoma" w:cs="Tahoma"/>
          <w:sz w:val="18"/>
          <w:szCs w:val="18"/>
          <w:lang w:val="pt-BR"/>
        </w:rPr>
        <w:t> </w:t>
      </w:r>
      <w:r w:rsidRPr="008D38F6">
        <w:rPr>
          <w:rFonts w:ascii="Tahoma" w:hAnsi="Tahoma" w:cs="Tahoma"/>
          <w:sz w:val="18"/>
          <w:szCs w:val="18"/>
          <w:lang w:val="pt-BR"/>
        </w:rPr>
        <w:t>prêmios com base em gastos de SA de contratos com base em moedas que não sejam o USD.</w:t>
      </w:r>
      <w:r w:rsidR="00FB5496" w:rsidRPr="008D38F6">
        <w:rPr>
          <w:rFonts w:ascii="Tahoma" w:hAnsi="Tahoma" w:cs="Tahoma"/>
          <w:sz w:val="18"/>
          <w:szCs w:val="18"/>
          <w:lang w:val="pt-BR"/>
        </w:rPr>
        <w:t xml:space="preserve"> </w:t>
      </w:r>
      <w:r w:rsidRPr="008D38F6">
        <w:rPr>
          <w:rFonts w:ascii="Tahoma" w:hAnsi="Tahoma" w:cs="Tahoma"/>
          <w:sz w:val="18"/>
          <w:szCs w:val="18"/>
          <w:lang w:val="pt-BR"/>
        </w:rPr>
        <w:t>Devido à</w:t>
      </w:r>
      <w:r w:rsidR="00B85BEE" w:rsidRPr="008D38F6">
        <w:rPr>
          <w:rFonts w:ascii="Tahoma" w:hAnsi="Tahoma" w:cs="Tahoma"/>
          <w:sz w:val="18"/>
          <w:szCs w:val="18"/>
          <w:lang w:val="pt-BR"/>
        </w:rPr>
        <w:t> </w:t>
      </w:r>
      <w:r w:rsidRPr="008D38F6">
        <w:rPr>
          <w:rFonts w:ascii="Tahoma" w:hAnsi="Tahoma" w:cs="Tahoma"/>
          <w:sz w:val="18"/>
          <w:szCs w:val="18"/>
          <w:lang w:val="pt-BR"/>
        </w:rPr>
        <w:t>flutuação das taxas de câmbio, essa tabela está sujeita a alterações.</w:t>
      </w:r>
    </w:p>
    <w:p w:rsidR="00023FE7" w:rsidRPr="008D38F6" w:rsidRDefault="00023FE7" w:rsidP="00F42FB8">
      <w:pPr>
        <w:pStyle w:val="AppendixBodyText"/>
        <w:spacing w:after="0"/>
        <w:rPr>
          <w:lang w:val="pt-BR"/>
        </w:rPr>
      </w:pPr>
    </w:p>
    <w:p w:rsidR="00023FE7" w:rsidRPr="008D38F6" w:rsidRDefault="00023FE7" w:rsidP="00F42FB8">
      <w:pPr>
        <w:pStyle w:val="AppendixBodyText"/>
        <w:spacing w:after="0"/>
        <w:rPr>
          <w:lang w:val="pt-BR"/>
        </w:rPr>
      </w:pPr>
      <w:r w:rsidRPr="008D38F6">
        <w:rPr>
          <w:rFonts w:ascii="Tahoma" w:hAnsi="Tahoma" w:cs="Tahoma"/>
          <w:sz w:val="18"/>
          <w:szCs w:val="18"/>
          <w:lang w:val="pt-BR"/>
        </w:rPr>
        <w:t>Os incidentes são alocados sobre o prazo da cobertura do Software Assurance com base na forma de pagamento.</w:t>
      </w:r>
      <w:r w:rsidR="00FB5496" w:rsidRPr="008D38F6">
        <w:rPr>
          <w:rFonts w:ascii="Tahoma" w:hAnsi="Tahoma" w:cs="Tahoma"/>
          <w:sz w:val="18"/>
          <w:szCs w:val="18"/>
          <w:lang w:val="pt-BR"/>
        </w:rPr>
        <w:t xml:space="preserve"> </w:t>
      </w:r>
      <w:r w:rsidRPr="008D38F6">
        <w:rPr>
          <w:rFonts w:ascii="Tahoma" w:hAnsi="Tahoma" w:cs="Tahoma"/>
          <w:sz w:val="18"/>
          <w:szCs w:val="18"/>
          <w:lang w:val="pt-BR"/>
        </w:rPr>
        <w:t>Os</w:t>
      </w:r>
      <w:r w:rsidR="00B85BEE" w:rsidRPr="008D38F6">
        <w:rPr>
          <w:rFonts w:ascii="Tahoma" w:hAnsi="Tahoma" w:cs="Tahoma"/>
          <w:sz w:val="18"/>
          <w:szCs w:val="18"/>
          <w:lang w:val="pt-BR"/>
        </w:rPr>
        <w:t> </w:t>
      </w:r>
      <w:r w:rsidRPr="008D38F6">
        <w:rPr>
          <w:rFonts w:ascii="Tahoma" w:hAnsi="Tahoma" w:cs="Tahoma"/>
          <w:sz w:val="18"/>
          <w:szCs w:val="18"/>
          <w:lang w:val="pt-BR"/>
        </w:rPr>
        <w:t>contratos que refletem pagamentos em parcelas levarão a incidentes concedidos durante o prazo. Os contratos que refletem pagamentos únicos serão premiados de maneira adiantada.</w:t>
      </w:r>
      <w:r w:rsidR="00FB5496" w:rsidRPr="008D38F6">
        <w:rPr>
          <w:rFonts w:ascii="Tahoma" w:hAnsi="Tahoma" w:cs="Tahoma"/>
          <w:sz w:val="18"/>
          <w:szCs w:val="18"/>
          <w:lang w:val="pt-BR"/>
        </w:rPr>
        <w:t xml:space="preserve"> </w:t>
      </w:r>
      <w:r w:rsidRPr="008D38F6">
        <w:rPr>
          <w:rFonts w:ascii="Tahoma" w:hAnsi="Tahoma" w:cs="Tahoma"/>
          <w:sz w:val="18"/>
          <w:szCs w:val="18"/>
          <w:lang w:val="pt-BR"/>
        </w:rPr>
        <w:t>As compras feitas após o pedido inicial levarão a um novo cálculo dos incidentes concedidos e da alocação anual.</w:t>
      </w:r>
      <w:r w:rsidR="00FB5496" w:rsidRPr="008D38F6">
        <w:rPr>
          <w:rFonts w:ascii="Tahoma" w:hAnsi="Tahoma" w:cs="Tahoma"/>
          <w:sz w:val="18"/>
          <w:szCs w:val="18"/>
          <w:lang w:val="pt-BR"/>
        </w:rPr>
        <w:t xml:space="preserve"> </w:t>
      </w:r>
      <w:r w:rsidRPr="008D38F6">
        <w:rPr>
          <w:rFonts w:ascii="Tahoma" w:hAnsi="Tahoma" w:cs="Tahoma"/>
          <w:sz w:val="18"/>
          <w:szCs w:val="18"/>
          <w:lang w:val="pt-BR"/>
        </w:rPr>
        <w:t>Os Incidentes de Suporte por Telefone que</w:t>
      </w:r>
      <w:r w:rsidR="00B85BEE" w:rsidRPr="008D38F6">
        <w:rPr>
          <w:rFonts w:ascii="Tahoma" w:hAnsi="Tahoma" w:cs="Tahoma"/>
          <w:sz w:val="18"/>
          <w:szCs w:val="18"/>
          <w:lang w:val="pt-BR"/>
        </w:rPr>
        <w:t> </w:t>
      </w:r>
      <w:r w:rsidRPr="008D38F6">
        <w:rPr>
          <w:rFonts w:ascii="Tahoma" w:hAnsi="Tahoma" w:cs="Tahoma"/>
          <w:sz w:val="18"/>
          <w:szCs w:val="18"/>
          <w:lang w:val="pt-BR"/>
        </w:rPr>
        <w:t>não forem usados expirarão no término da cobertura do Software Assurance.</w:t>
      </w:r>
      <w:r w:rsidR="00FB5496" w:rsidRPr="008D38F6">
        <w:rPr>
          <w:rFonts w:ascii="Tahoma" w:hAnsi="Tahoma" w:cs="Tahoma"/>
          <w:sz w:val="18"/>
          <w:szCs w:val="18"/>
          <w:lang w:val="pt-BR"/>
        </w:rPr>
        <w:t xml:space="preserve"> </w:t>
      </w:r>
      <w:r w:rsidRPr="008D38F6">
        <w:rPr>
          <w:rFonts w:ascii="Tahoma" w:hAnsi="Tahoma" w:cs="Tahoma"/>
          <w:sz w:val="18"/>
          <w:szCs w:val="18"/>
          <w:lang w:val="pt-BR"/>
        </w:rPr>
        <w:t>Os Incidentes de Suporte por Telefone não podem ser transferidos entre registros ou contratos.</w:t>
      </w:r>
    </w:p>
    <w:p w:rsidR="00023FE7" w:rsidRPr="008D38F6" w:rsidRDefault="00023FE7" w:rsidP="00F42FB8">
      <w:pPr>
        <w:pStyle w:val="AppendixBodyText"/>
        <w:spacing w:after="0"/>
        <w:rPr>
          <w:lang w:val="pt-BR"/>
        </w:rPr>
      </w:pPr>
    </w:p>
    <w:p w:rsidR="00023FE7" w:rsidRPr="008D38F6" w:rsidRDefault="00023FE7" w:rsidP="00F42FB8">
      <w:pPr>
        <w:pStyle w:val="AppendixBodyText"/>
        <w:spacing w:after="0"/>
        <w:rPr>
          <w:lang w:val="pt-BR"/>
        </w:rPr>
      </w:pPr>
      <w:r w:rsidRPr="008D38F6">
        <w:rPr>
          <w:rFonts w:ascii="Tahoma" w:hAnsi="Tahoma" w:cs="Tahoma"/>
          <w:sz w:val="18"/>
          <w:szCs w:val="18"/>
          <w:lang w:val="pt-BR"/>
        </w:rPr>
        <w:t>O acesso ao suporte por telefone local está disponível durante o horário comercial*</w:t>
      </w:r>
      <w:r w:rsidRPr="008D38F6">
        <w:rPr>
          <w:rFonts w:ascii="Tahoma" w:hAnsi="Tahoma" w:cs="Tahoma"/>
          <w:sz w:val="18"/>
          <w:szCs w:val="18"/>
          <w:vertAlign w:val="superscript"/>
          <w:lang w:val="pt-BR"/>
        </w:rPr>
        <w:t>(1)</w:t>
      </w:r>
      <w:r w:rsidRPr="008D38F6">
        <w:rPr>
          <w:rFonts w:ascii="Tahoma" w:hAnsi="Tahoma" w:cs="Tahoma"/>
          <w:sz w:val="18"/>
          <w:szCs w:val="18"/>
          <w:lang w:val="pt-BR"/>
        </w:rPr>
        <w:t>.</w:t>
      </w:r>
      <w:r w:rsidR="00FB5496" w:rsidRPr="008D38F6">
        <w:rPr>
          <w:rFonts w:ascii="Tahoma" w:hAnsi="Tahoma" w:cs="Tahoma"/>
          <w:sz w:val="18"/>
          <w:szCs w:val="18"/>
          <w:lang w:val="pt-BR"/>
        </w:rPr>
        <w:t xml:space="preserve"> </w:t>
      </w:r>
      <w:r w:rsidRPr="008D38F6">
        <w:rPr>
          <w:rFonts w:ascii="Tahoma" w:hAnsi="Tahoma" w:cs="Tahoma"/>
          <w:sz w:val="18"/>
          <w:szCs w:val="18"/>
          <w:lang w:val="pt-BR"/>
        </w:rPr>
        <w:t>O suporte por telefone fora do</w:t>
      </w:r>
      <w:r w:rsidR="00B85BEE" w:rsidRPr="008D38F6">
        <w:rPr>
          <w:rFonts w:ascii="Tahoma" w:hAnsi="Tahoma" w:cs="Tahoma"/>
          <w:sz w:val="18"/>
          <w:szCs w:val="18"/>
          <w:lang w:val="pt-BR"/>
        </w:rPr>
        <w:t> </w:t>
      </w:r>
      <w:r w:rsidRPr="008D38F6">
        <w:rPr>
          <w:rFonts w:ascii="Tahoma" w:hAnsi="Tahoma" w:cs="Tahoma"/>
          <w:sz w:val="18"/>
          <w:szCs w:val="18"/>
          <w:lang w:val="pt-BR"/>
        </w:rPr>
        <w:t>horário comercial pode ser fornecido por meio de centros de suporte regionais e internacionais.</w:t>
      </w:r>
      <w:r w:rsidR="00FB5496" w:rsidRPr="008D38F6">
        <w:rPr>
          <w:rFonts w:ascii="Tahoma" w:hAnsi="Tahoma" w:cs="Tahoma"/>
          <w:sz w:val="18"/>
          <w:szCs w:val="18"/>
          <w:lang w:val="pt-BR"/>
        </w:rPr>
        <w:t xml:space="preserve"> </w:t>
      </w:r>
      <w:r w:rsidRPr="008D38F6">
        <w:rPr>
          <w:rFonts w:ascii="Tahoma" w:hAnsi="Tahoma" w:cs="Tahoma"/>
          <w:sz w:val="18"/>
          <w:szCs w:val="18"/>
          <w:lang w:val="pt-BR"/>
        </w:rPr>
        <w:t>O suporte por telefone fora do horário comercial pode ser usada apenas para iniciar solicitações de suporte essenciais aos negócios.</w:t>
      </w:r>
      <w:r w:rsidR="00FB5496" w:rsidRPr="008D38F6">
        <w:rPr>
          <w:rFonts w:ascii="Tahoma" w:hAnsi="Tahoma" w:cs="Tahoma"/>
          <w:sz w:val="18"/>
          <w:szCs w:val="18"/>
          <w:lang w:val="pt-BR"/>
        </w:rPr>
        <w:t xml:space="preserve"> </w:t>
      </w:r>
      <w:r w:rsidRPr="008D38F6">
        <w:rPr>
          <w:rFonts w:ascii="Tahoma" w:hAnsi="Tahoma" w:cs="Tahoma"/>
          <w:sz w:val="18"/>
          <w:szCs w:val="18"/>
          <w:lang w:val="pt-BR"/>
        </w:rPr>
        <w:t>O horário comercial é determinado de acordo com a região. Os representantes da Microsoft do cliente podem indicar o horário comercial definido na região ou no país do cliente.</w:t>
      </w:r>
      <w:r w:rsidR="00FB5496" w:rsidRPr="008D38F6">
        <w:rPr>
          <w:rFonts w:ascii="Tahoma" w:hAnsi="Tahoma" w:cs="Tahoma"/>
          <w:sz w:val="18"/>
          <w:szCs w:val="18"/>
          <w:lang w:val="pt-BR"/>
        </w:rPr>
        <w:t xml:space="preserve"> </w:t>
      </w:r>
      <w:r w:rsidRPr="008D38F6">
        <w:rPr>
          <w:rFonts w:ascii="Tahoma" w:hAnsi="Tahoma" w:cs="Tahoma"/>
          <w:sz w:val="18"/>
          <w:szCs w:val="18"/>
          <w:lang w:val="pt-BR"/>
        </w:rPr>
        <w:t>A assistência de suporte por telefone não está disponível em todos os i</w:t>
      </w:r>
      <w:r w:rsidR="00EF73D1" w:rsidRPr="008D38F6">
        <w:rPr>
          <w:rFonts w:ascii="Tahoma" w:hAnsi="Tahoma" w:cs="Tahoma"/>
          <w:sz w:val="18"/>
          <w:szCs w:val="18"/>
          <w:lang w:val="pt-BR"/>
        </w:rPr>
        <w:t>diomas nem em todas as regiões.</w:t>
      </w:r>
    </w:p>
    <w:p w:rsidR="00023FE7" w:rsidRPr="008D38F6" w:rsidRDefault="00023FE7" w:rsidP="00077CE5">
      <w:pPr>
        <w:pStyle w:val="AppendixBodyText"/>
        <w:spacing w:after="0"/>
        <w:rPr>
          <w:lang w:val="pt-B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311"/>
      </w:tblGrid>
      <w:tr w:rsidR="00023FE7" w:rsidRPr="00B06414" w:rsidTr="00212FA0">
        <w:trPr>
          <w:cantSplit/>
          <w:trHeight w:val="20"/>
        </w:trPr>
        <w:tc>
          <w:tcPr>
            <w:tcW w:w="59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D38F6" w:rsidRDefault="00023FE7">
            <w:pPr>
              <w:pStyle w:val="AppendixBodyText"/>
              <w:rPr>
                <w:rFonts w:ascii="Tahoma" w:hAnsi="Tahoma" w:cs="Tahoma"/>
                <w:b/>
                <w:bCs/>
                <w:vertAlign w:val="superscript"/>
                <w:lang w:val="pt-BR"/>
              </w:rPr>
            </w:pPr>
            <w:r w:rsidRPr="008D38F6">
              <w:rPr>
                <w:rFonts w:ascii="Tahoma" w:hAnsi="Tahoma" w:cs="Tahoma"/>
                <w:b/>
                <w:bCs/>
                <w:lang w:val="pt-BR"/>
              </w:rPr>
              <w:t>*(1) Variações de Horário Comercial por Região</w:t>
            </w:r>
          </w:p>
        </w:tc>
      </w:tr>
      <w:tr w:rsidR="00023FE7" w:rsidRPr="00B06414" w:rsidTr="00212FA0">
        <w:trPr>
          <w:cantSplit/>
          <w:trHeight w:val="20"/>
        </w:trPr>
        <w:tc>
          <w:tcPr>
            <w:tcW w:w="2629" w:type="dxa"/>
            <w:tcBorders>
              <w:top w:val="single" w:sz="8" w:space="0" w:color="auto"/>
            </w:tcBorders>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Américas</w:t>
            </w:r>
          </w:p>
        </w:tc>
        <w:tc>
          <w:tcPr>
            <w:tcW w:w="3311" w:type="dxa"/>
            <w:tcBorders>
              <w:top w:val="single" w:sz="8" w:space="0" w:color="auto"/>
            </w:tcBorders>
          </w:tcPr>
          <w:p w:rsidR="00023FE7" w:rsidRPr="008D38F6" w:rsidRDefault="00023FE7">
            <w:pPr>
              <w:pStyle w:val="AppendixBodyText"/>
              <w:rPr>
                <w:rFonts w:ascii="Tahoma" w:hAnsi="Tahoma" w:cs="Tahoma"/>
                <w:sz w:val="18"/>
                <w:szCs w:val="18"/>
                <w:lang w:val="pt-BR"/>
              </w:rPr>
            </w:pPr>
            <w:r w:rsidRPr="008D38F6">
              <w:rPr>
                <w:rFonts w:ascii="Tahoma" w:hAnsi="Tahoma" w:cs="Tahoma"/>
                <w:sz w:val="18"/>
                <w:szCs w:val="18"/>
                <w:lang w:val="pt-BR"/>
              </w:rPr>
              <w:t>Segunda à sexta, das 6h às 18h (PST)</w:t>
            </w:r>
          </w:p>
        </w:tc>
      </w:tr>
      <w:tr w:rsidR="00023FE7" w:rsidRPr="00B06414" w:rsidTr="00212FA0">
        <w:trPr>
          <w:cantSplit/>
          <w:trHeight w:val="20"/>
        </w:trPr>
        <w:tc>
          <w:tcPr>
            <w:tcW w:w="2629" w:type="dxa"/>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EMEA</w:t>
            </w:r>
          </w:p>
        </w:tc>
        <w:tc>
          <w:tcPr>
            <w:tcW w:w="3311" w:type="dxa"/>
          </w:tcPr>
          <w:p w:rsidR="00023FE7" w:rsidRPr="008D38F6" w:rsidRDefault="00023FE7">
            <w:pPr>
              <w:pStyle w:val="AppendixBodyText"/>
              <w:rPr>
                <w:rFonts w:ascii="Tahoma" w:hAnsi="Tahoma" w:cs="Tahoma"/>
                <w:sz w:val="18"/>
                <w:szCs w:val="18"/>
                <w:lang w:val="pt-BR"/>
              </w:rPr>
            </w:pPr>
            <w:r w:rsidRPr="008D38F6">
              <w:rPr>
                <w:rFonts w:ascii="Tahoma" w:hAnsi="Tahoma" w:cs="Tahoma"/>
                <w:sz w:val="18"/>
                <w:szCs w:val="18"/>
                <w:lang w:val="pt-BR"/>
              </w:rPr>
              <w:t>Segunda à sexta, das 6h às 18h (GMT)</w:t>
            </w:r>
          </w:p>
        </w:tc>
      </w:tr>
      <w:tr w:rsidR="00023FE7" w:rsidRPr="00B06414" w:rsidTr="00212FA0">
        <w:trPr>
          <w:cantSplit/>
          <w:trHeight w:val="20"/>
        </w:trPr>
        <w:tc>
          <w:tcPr>
            <w:tcW w:w="2629" w:type="dxa"/>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Austrália/Nova Zelândia</w:t>
            </w:r>
          </w:p>
        </w:tc>
        <w:tc>
          <w:tcPr>
            <w:tcW w:w="3311" w:type="dxa"/>
          </w:tcPr>
          <w:p w:rsidR="00023FE7" w:rsidRPr="008D38F6" w:rsidRDefault="00023FE7">
            <w:pPr>
              <w:pStyle w:val="AppendixBodyText"/>
              <w:rPr>
                <w:rFonts w:ascii="Tahoma" w:hAnsi="Tahoma" w:cs="Tahoma"/>
                <w:sz w:val="18"/>
                <w:szCs w:val="18"/>
                <w:lang w:val="pt-BR"/>
              </w:rPr>
            </w:pPr>
            <w:r w:rsidRPr="008D38F6">
              <w:rPr>
                <w:rFonts w:ascii="Tahoma" w:hAnsi="Tahoma" w:cs="Tahoma"/>
                <w:sz w:val="18"/>
                <w:szCs w:val="18"/>
                <w:lang w:val="pt-BR"/>
              </w:rPr>
              <w:t>Segunda à sexta, das 7h às 18h</w:t>
            </w:r>
          </w:p>
        </w:tc>
      </w:tr>
      <w:tr w:rsidR="00023FE7" w:rsidRPr="00B06414" w:rsidTr="00212FA0">
        <w:trPr>
          <w:cantSplit/>
          <w:trHeight w:val="20"/>
        </w:trPr>
        <w:tc>
          <w:tcPr>
            <w:tcW w:w="2629" w:type="dxa"/>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Japão</w:t>
            </w:r>
          </w:p>
        </w:tc>
        <w:tc>
          <w:tcPr>
            <w:tcW w:w="3311" w:type="dxa"/>
          </w:tcPr>
          <w:p w:rsidR="00023FE7" w:rsidRPr="008D38F6" w:rsidRDefault="00023FE7">
            <w:pPr>
              <w:pStyle w:val="AppendixBodyText"/>
              <w:rPr>
                <w:rFonts w:ascii="Tahoma" w:hAnsi="Tahoma" w:cs="Tahoma"/>
                <w:sz w:val="18"/>
                <w:szCs w:val="18"/>
                <w:lang w:val="pt-BR"/>
              </w:rPr>
            </w:pPr>
            <w:r w:rsidRPr="008D38F6">
              <w:rPr>
                <w:rFonts w:ascii="Tahoma" w:hAnsi="Tahoma" w:cs="Tahoma"/>
                <w:sz w:val="18"/>
                <w:szCs w:val="18"/>
                <w:lang w:val="pt-BR"/>
              </w:rPr>
              <w:t>Segunda à sexta, das 9h30 às 19h</w:t>
            </w:r>
          </w:p>
        </w:tc>
      </w:tr>
      <w:tr w:rsidR="00023FE7" w:rsidRPr="00B06414" w:rsidTr="00212FA0">
        <w:trPr>
          <w:cantSplit/>
          <w:trHeight w:val="20"/>
        </w:trPr>
        <w:tc>
          <w:tcPr>
            <w:tcW w:w="2629" w:type="dxa"/>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Ásia</w:t>
            </w:r>
          </w:p>
        </w:tc>
        <w:tc>
          <w:tcPr>
            <w:tcW w:w="3311" w:type="dxa"/>
          </w:tcPr>
          <w:p w:rsidR="00023FE7" w:rsidRPr="008D38F6" w:rsidRDefault="00023FE7">
            <w:pPr>
              <w:pStyle w:val="AppendixBodyText"/>
              <w:rPr>
                <w:rFonts w:ascii="Tahoma" w:hAnsi="Tahoma" w:cs="Tahoma"/>
                <w:sz w:val="18"/>
                <w:szCs w:val="18"/>
                <w:lang w:val="pt-BR"/>
              </w:rPr>
            </w:pPr>
            <w:r w:rsidRPr="008D38F6">
              <w:rPr>
                <w:rFonts w:ascii="Tahoma" w:hAnsi="Tahoma" w:cs="Tahoma"/>
                <w:sz w:val="18"/>
                <w:szCs w:val="18"/>
                <w:lang w:val="pt-BR"/>
              </w:rPr>
              <w:t>Segunda à sexta, das 9h às 18h</w:t>
            </w:r>
          </w:p>
        </w:tc>
      </w:tr>
    </w:tbl>
    <w:p w:rsidR="0034219A" w:rsidRPr="008D38F6" w:rsidRDefault="0034219A" w:rsidP="00F42FB8">
      <w:pPr>
        <w:rPr>
          <w:lang w:val="pt-BR"/>
        </w:rPr>
      </w:pPr>
      <w:bookmarkStart w:id="792" w:name="_Toc240899164"/>
    </w:p>
    <w:p w:rsidR="00023FE7" w:rsidRPr="008D38F6" w:rsidRDefault="00023FE7" w:rsidP="00DA2788">
      <w:pPr>
        <w:spacing w:after="60"/>
        <w:rPr>
          <w:lang w:val="pt-BR"/>
        </w:rPr>
      </w:pPr>
      <w:r w:rsidRPr="008D38F6">
        <w:rPr>
          <w:rFonts w:cs="Tahoma"/>
          <w:b/>
          <w:szCs w:val="20"/>
          <w:lang w:val="pt-BR"/>
        </w:rPr>
        <w:t>Incidentes com base na Web</w:t>
      </w:r>
      <w:bookmarkEnd w:id="792"/>
    </w:p>
    <w:p w:rsidR="00023FE7" w:rsidRPr="008D38F6" w:rsidRDefault="00023FE7" w:rsidP="00F42FB8">
      <w:pPr>
        <w:pStyle w:val="AppendixBodyText"/>
        <w:spacing w:after="0"/>
        <w:rPr>
          <w:lang w:val="pt-BR"/>
        </w:rPr>
      </w:pPr>
      <w:r w:rsidRPr="008D38F6">
        <w:rPr>
          <w:rFonts w:ascii="Tahoma" w:hAnsi="Tahoma" w:cs="Tahoma"/>
          <w:sz w:val="18"/>
          <w:szCs w:val="18"/>
          <w:lang w:val="pt-BR"/>
        </w:rPr>
        <w:t>Os clientes (que não forem de Licença Academic Select, Select Plus para Academic, Licença Academic Open, Contrato</w:t>
      </w:r>
      <w:r w:rsidR="00B85BEE" w:rsidRPr="008D38F6">
        <w:rPr>
          <w:rFonts w:ascii="Tahoma" w:hAnsi="Tahoma" w:cs="Tahoma"/>
          <w:sz w:val="18"/>
          <w:szCs w:val="18"/>
          <w:lang w:val="pt-BR"/>
        </w:rPr>
        <w:t> </w:t>
      </w:r>
      <w:r w:rsidRPr="008D38F6">
        <w:rPr>
          <w:rFonts w:ascii="Tahoma" w:hAnsi="Tahoma" w:cs="Tahoma"/>
          <w:sz w:val="18"/>
          <w:szCs w:val="18"/>
          <w:lang w:val="pt-BR"/>
        </w:rPr>
        <w:t>para Campus e Contrato School, Open Value Subscription – Soluções Educacionais e Licença Open) com</w:t>
      </w:r>
      <w:r w:rsidR="00B85BEE" w:rsidRPr="008D38F6">
        <w:rPr>
          <w:rFonts w:ascii="Tahoma" w:hAnsi="Tahoma" w:cs="Tahoma"/>
          <w:sz w:val="18"/>
          <w:szCs w:val="18"/>
          <w:lang w:val="pt-BR"/>
        </w:rPr>
        <w:t> </w:t>
      </w:r>
      <w:r w:rsidRPr="008D38F6">
        <w:rPr>
          <w:rFonts w:ascii="Tahoma" w:hAnsi="Tahoma" w:cs="Tahoma"/>
          <w:sz w:val="18"/>
          <w:szCs w:val="18"/>
          <w:lang w:val="pt-BR"/>
        </w:rPr>
        <w:t>edições Standard e Enterprise de produtos de software de servidor com cobertura do Software Assurance têm</w:t>
      </w:r>
      <w:r w:rsidR="00B85BEE" w:rsidRPr="008D38F6">
        <w:rPr>
          <w:rFonts w:ascii="Tahoma" w:hAnsi="Tahoma" w:cs="Tahoma"/>
          <w:sz w:val="18"/>
          <w:szCs w:val="18"/>
          <w:lang w:val="pt-BR"/>
        </w:rPr>
        <w:t> </w:t>
      </w:r>
      <w:r w:rsidRPr="008D38F6">
        <w:rPr>
          <w:rFonts w:ascii="Tahoma" w:hAnsi="Tahoma" w:cs="Tahoma"/>
          <w:sz w:val="18"/>
          <w:szCs w:val="18"/>
          <w:lang w:val="pt-BR"/>
        </w:rPr>
        <w:t>acesso a serviços de Suporte para Resolução de Problemas com base na Web conforme necessário.</w:t>
      </w:r>
      <w:r w:rsidR="00FB5496" w:rsidRPr="008D38F6">
        <w:rPr>
          <w:rFonts w:ascii="Tahoma" w:hAnsi="Tahoma" w:cs="Tahoma"/>
          <w:sz w:val="18"/>
          <w:szCs w:val="18"/>
          <w:lang w:val="pt-BR"/>
        </w:rPr>
        <w:t xml:space="preserve"> </w:t>
      </w:r>
      <w:r w:rsidRPr="008D38F6">
        <w:rPr>
          <w:rFonts w:ascii="Tahoma" w:hAnsi="Tahoma" w:cs="Tahoma"/>
          <w:sz w:val="18"/>
          <w:szCs w:val="18"/>
          <w:lang w:val="pt-BR"/>
        </w:rPr>
        <w:t>O acesso a</w:t>
      </w:r>
      <w:r w:rsidR="00B85BEE" w:rsidRPr="008D38F6">
        <w:rPr>
          <w:rFonts w:ascii="Tahoma" w:hAnsi="Tahoma" w:cs="Tahoma"/>
          <w:sz w:val="18"/>
          <w:szCs w:val="18"/>
          <w:lang w:val="pt-BR"/>
        </w:rPr>
        <w:t> </w:t>
      </w:r>
      <w:r w:rsidRPr="008D38F6">
        <w:rPr>
          <w:rFonts w:ascii="Tahoma" w:hAnsi="Tahoma" w:cs="Tahoma"/>
          <w:sz w:val="18"/>
          <w:szCs w:val="18"/>
          <w:lang w:val="pt-BR"/>
        </w:rPr>
        <w:t>sites de suporte eletrônico está disponível 24 horas por dia, 7 dias por semana, embora as respostas ocorram durante o Horário Comercial.</w:t>
      </w:r>
      <w:r w:rsidR="00FB5496" w:rsidRPr="008D38F6">
        <w:rPr>
          <w:rFonts w:ascii="Tahoma" w:hAnsi="Tahoma" w:cs="Tahoma"/>
          <w:sz w:val="18"/>
          <w:szCs w:val="18"/>
          <w:lang w:val="pt-BR"/>
        </w:rPr>
        <w:t xml:space="preserve"> </w:t>
      </w:r>
      <w:r w:rsidRPr="008D38F6">
        <w:rPr>
          <w:rFonts w:ascii="Tahoma" w:hAnsi="Tahoma" w:cs="Tahoma"/>
          <w:sz w:val="18"/>
          <w:szCs w:val="18"/>
          <w:lang w:val="pt-BR"/>
        </w:rPr>
        <w:t>Dessa maneira, os Incidentes com base na Web não devem ser iniciados no caso de</w:t>
      </w:r>
      <w:r w:rsidR="00B85BEE" w:rsidRPr="008D38F6">
        <w:rPr>
          <w:rFonts w:ascii="Tahoma" w:hAnsi="Tahoma" w:cs="Tahoma"/>
          <w:sz w:val="18"/>
          <w:szCs w:val="18"/>
          <w:lang w:val="pt-BR"/>
        </w:rPr>
        <w:t> </w:t>
      </w:r>
      <w:r w:rsidRPr="008D38F6">
        <w:rPr>
          <w:rFonts w:ascii="Tahoma" w:hAnsi="Tahoma" w:cs="Tahoma"/>
          <w:sz w:val="18"/>
          <w:szCs w:val="18"/>
          <w:lang w:val="pt-BR"/>
        </w:rPr>
        <w:t>situações críticas para os negócios que exijam uma assistência mais imediata. Consulte Variações de Horário Comercial por Região na seção “Prêmios de Incidentes de Suporte pelo Telefone” acima.</w:t>
      </w:r>
    </w:p>
    <w:p w:rsidR="00023FE7" w:rsidRPr="008D38F6" w:rsidRDefault="00023FE7" w:rsidP="00F42FB8">
      <w:pPr>
        <w:pStyle w:val="AppendixBodyText"/>
        <w:spacing w:after="0"/>
        <w:rPr>
          <w:lang w:val="pt-BR"/>
        </w:rPr>
      </w:pPr>
    </w:p>
    <w:p w:rsidR="00023FE7" w:rsidRPr="008D38F6" w:rsidRDefault="00023FE7" w:rsidP="00F42FB8">
      <w:pPr>
        <w:pStyle w:val="AppendixBodyText"/>
        <w:spacing w:after="0"/>
        <w:rPr>
          <w:lang w:val="pt-BR"/>
        </w:rPr>
      </w:pPr>
      <w:r w:rsidRPr="008D38F6">
        <w:rPr>
          <w:rFonts w:ascii="Tahoma" w:hAnsi="Tahoma" w:cs="Tahoma"/>
          <w:sz w:val="18"/>
          <w:szCs w:val="18"/>
          <w:lang w:val="pt-BR"/>
        </w:rPr>
        <w:t>Os incidentes iniciados via Telefone são descontados do saldo de incidentes por telefone disponíveis no momento da</w:t>
      </w:r>
      <w:r w:rsidR="00B85BEE" w:rsidRPr="008D38F6">
        <w:rPr>
          <w:rFonts w:ascii="Tahoma" w:hAnsi="Tahoma" w:cs="Tahoma"/>
          <w:sz w:val="18"/>
          <w:szCs w:val="18"/>
          <w:lang w:val="pt-BR"/>
        </w:rPr>
        <w:t> </w:t>
      </w:r>
      <w:r w:rsidRPr="008D38F6">
        <w:rPr>
          <w:rFonts w:ascii="Tahoma" w:hAnsi="Tahoma" w:cs="Tahoma"/>
          <w:sz w:val="18"/>
          <w:szCs w:val="18"/>
          <w:lang w:val="pt-BR"/>
        </w:rPr>
        <w:t>resolução.</w:t>
      </w:r>
      <w:r w:rsidR="00FB5496" w:rsidRPr="008D38F6">
        <w:rPr>
          <w:rFonts w:ascii="Tahoma" w:hAnsi="Tahoma" w:cs="Tahoma"/>
          <w:sz w:val="18"/>
          <w:szCs w:val="18"/>
          <w:lang w:val="pt-BR"/>
        </w:rPr>
        <w:t xml:space="preserve"> </w:t>
      </w:r>
      <w:r w:rsidRPr="008D38F6">
        <w:rPr>
          <w:rFonts w:ascii="Tahoma" w:hAnsi="Tahoma" w:cs="Tahoma"/>
          <w:sz w:val="18"/>
          <w:szCs w:val="18"/>
          <w:lang w:val="pt-BR"/>
        </w:rPr>
        <w:t>Os incidentes iniciados via Web tem como base a necessidade e serão conduzidos via Web, email e</w:t>
      </w:r>
      <w:r w:rsidR="00B85BEE" w:rsidRPr="008D38F6">
        <w:rPr>
          <w:rFonts w:ascii="Tahoma" w:hAnsi="Tahoma" w:cs="Tahoma"/>
          <w:sz w:val="18"/>
          <w:szCs w:val="18"/>
          <w:lang w:val="pt-BR"/>
        </w:rPr>
        <w:t> </w:t>
      </w:r>
      <w:r w:rsidRPr="008D38F6">
        <w:rPr>
          <w:rFonts w:ascii="Tahoma" w:hAnsi="Tahoma" w:cs="Tahoma"/>
          <w:sz w:val="18"/>
          <w:szCs w:val="18"/>
          <w:lang w:val="pt-BR"/>
        </w:rPr>
        <w:t>outros meios eletrônicos.</w:t>
      </w:r>
      <w:r w:rsidR="00FB5496" w:rsidRPr="008D38F6">
        <w:rPr>
          <w:rFonts w:ascii="Tahoma" w:hAnsi="Tahoma" w:cs="Tahoma"/>
          <w:sz w:val="18"/>
          <w:szCs w:val="18"/>
          <w:lang w:val="pt-BR"/>
        </w:rPr>
        <w:t xml:space="preserve"> </w:t>
      </w:r>
      <w:r w:rsidRPr="008D38F6">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00FB5496" w:rsidRPr="008D38F6">
        <w:rPr>
          <w:rFonts w:ascii="Tahoma" w:hAnsi="Tahoma" w:cs="Tahoma"/>
          <w:sz w:val="18"/>
          <w:szCs w:val="18"/>
          <w:lang w:val="pt-BR"/>
        </w:rPr>
        <w:t xml:space="preserve"> </w:t>
      </w:r>
      <w:r w:rsidRPr="008D38F6">
        <w:rPr>
          <w:rFonts w:ascii="Tahoma" w:hAnsi="Tahoma" w:cs="Tahoma"/>
          <w:sz w:val="18"/>
          <w:szCs w:val="18"/>
          <w:lang w:val="pt-BR"/>
        </w:rPr>
        <w:t>Os</w:t>
      </w:r>
      <w:r w:rsidR="00B85BEE" w:rsidRPr="008D38F6">
        <w:rPr>
          <w:rFonts w:ascii="Tahoma" w:hAnsi="Tahoma" w:cs="Tahoma"/>
          <w:sz w:val="18"/>
          <w:szCs w:val="18"/>
          <w:lang w:val="pt-BR"/>
        </w:rPr>
        <w:t> </w:t>
      </w:r>
      <w:r w:rsidRPr="008D38F6">
        <w:rPr>
          <w:rFonts w:ascii="Tahoma" w:hAnsi="Tahoma" w:cs="Tahoma"/>
          <w:sz w:val="18"/>
          <w:szCs w:val="18"/>
          <w:lang w:val="pt-BR"/>
        </w:rPr>
        <w:t>incidentes iniciados via Web e acompanhados por telefone pela Microsoft não serão descontados do saldo de incidentes por telefone disponíveis se a resolução continuar via Web, email e outros meios eletrônicos.</w:t>
      </w:r>
    </w:p>
    <w:p w:rsidR="00023FE7" w:rsidRPr="008D38F6" w:rsidRDefault="00023FE7" w:rsidP="00F42FB8">
      <w:pPr>
        <w:pStyle w:val="AppendixBodyText"/>
        <w:spacing w:after="0"/>
        <w:rPr>
          <w:lang w:val="pt-BR"/>
        </w:rPr>
      </w:pPr>
    </w:p>
    <w:p w:rsidR="00023FE7" w:rsidRPr="008D38F6" w:rsidRDefault="00023FE7" w:rsidP="00F42FB8">
      <w:pPr>
        <w:pStyle w:val="AppendixBodyText"/>
        <w:spacing w:after="0"/>
        <w:rPr>
          <w:lang w:val="pt-BR"/>
        </w:rPr>
      </w:pPr>
      <w:r w:rsidRPr="008D38F6">
        <w:rPr>
          <w:rFonts w:ascii="Tahoma" w:hAnsi="Tahoma" w:cs="Tahoma"/>
          <w:sz w:val="18"/>
          <w:szCs w:val="18"/>
          <w:lang w:val="pt-BR"/>
        </w:rPr>
        <w:t>O Software Assurance é necessário para o software de servidor e as CALs relacionadas para incidentes de Suporte</w:t>
      </w:r>
      <w:r w:rsidR="00B85BEE" w:rsidRPr="008D38F6">
        <w:rPr>
          <w:rFonts w:ascii="Tahoma" w:hAnsi="Tahoma" w:cs="Tahoma"/>
          <w:sz w:val="18"/>
          <w:szCs w:val="18"/>
          <w:lang w:val="pt-BR"/>
        </w:rPr>
        <w:t> </w:t>
      </w:r>
      <w:r w:rsidRPr="008D38F6">
        <w:rPr>
          <w:rFonts w:ascii="Tahoma" w:hAnsi="Tahoma" w:cs="Tahoma"/>
          <w:sz w:val="18"/>
          <w:szCs w:val="18"/>
          <w:lang w:val="pt-BR"/>
        </w:rPr>
        <w:t>pela Web. Os clientes podem enviar apenas solicitações de Suporte para Resolução de Problemas com</w:t>
      </w:r>
      <w:r w:rsidR="00B85BEE" w:rsidRPr="008D38F6">
        <w:rPr>
          <w:rFonts w:ascii="Tahoma" w:hAnsi="Tahoma" w:cs="Tahoma"/>
          <w:sz w:val="18"/>
          <w:szCs w:val="18"/>
          <w:lang w:val="pt-BR"/>
        </w:rPr>
        <w:t> </w:t>
      </w:r>
      <w:r w:rsidRPr="008D38F6">
        <w:rPr>
          <w:rFonts w:ascii="Tahoma" w:hAnsi="Tahoma" w:cs="Tahoma"/>
          <w:sz w:val="18"/>
          <w:szCs w:val="18"/>
          <w:lang w:val="pt-BR"/>
        </w:rPr>
        <w:t>base</w:t>
      </w:r>
      <w:r w:rsidR="00B85BEE" w:rsidRPr="008D38F6">
        <w:rPr>
          <w:rFonts w:ascii="Tahoma" w:hAnsi="Tahoma" w:cs="Tahoma"/>
          <w:sz w:val="18"/>
          <w:szCs w:val="18"/>
          <w:lang w:val="pt-BR"/>
        </w:rPr>
        <w:t> </w:t>
      </w:r>
      <w:r w:rsidRPr="008D38F6">
        <w:rPr>
          <w:rFonts w:ascii="Tahoma" w:hAnsi="Tahoma" w:cs="Tahoma"/>
          <w:sz w:val="18"/>
          <w:szCs w:val="18"/>
          <w:lang w:val="pt-BR"/>
        </w:rPr>
        <w:t>na Web relacionadas às cópias licenciadas do software de servidor coberto pelo Software Assurance.</w:t>
      </w:r>
    </w:p>
    <w:p w:rsidR="00023FE7" w:rsidRPr="008D38F6" w:rsidRDefault="00023FE7" w:rsidP="00F42FB8">
      <w:pPr>
        <w:pStyle w:val="AppendixBodyText"/>
        <w:spacing w:after="0"/>
        <w:rPr>
          <w:lang w:val="pt-BR"/>
        </w:rPr>
      </w:pPr>
    </w:p>
    <w:p w:rsidR="00023FE7" w:rsidRPr="008D38F6" w:rsidRDefault="00023FE7" w:rsidP="00F42FB8">
      <w:pPr>
        <w:pStyle w:val="AppendixBodyText"/>
        <w:spacing w:after="0"/>
        <w:rPr>
          <w:lang w:val="pt-BR"/>
        </w:rPr>
      </w:pPr>
      <w:r w:rsidRPr="008D38F6">
        <w:rPr>
          <w:rFonts w:ascii="Tahoma" w:hAnsi="Tahoma" w:cs="Tahoma"/>
          <w:sz w:val="18"/>
          <w:szCs w:val="18"/>
          <w:lang w:val="pt-BR"/>
        </w:rPr>
        <w:t>Os incidentes de Suporte pela Web não podem ser transferidos entre licenças.</w:t>
      </w:r>
      <w:r w:rsidR="00FB5496" w:rsidRPr="008D38F6">
        <w:rPr>
          <w:rFonts w:ascii="Tahoma" w:hAnsi="Tahoma" w:cs="Tahoma"/>
          <w:sz w:val="18"/>
          <w:szCs w:val="18"/>
          <w:lang w:val="pt-BR"/>
        </w:rPr>
        <w:t xml:space="preserve"> </w:t>
      </w:r>
      <w:r w:rsidRPr="008D38F6">
        <w:rPr>
          <w:rFonts w:ascii="Tahoma" w:hAnsi="Tahoma" w:cs="Tahoma"/>
          <w:sz w:val="18"/>
          <w:szCs w:val="18"/>
          <w:lang w:val="pt-BR"/>
        </w:rPr>
        <w:t>Consulte os direitos de uso do produto para obter mais detalhes sobre como atribuir ou reatribuir licenças a servidores físicos.</w:t>
      </w:r>
    </w:p>
    <w:p w:rsidR="00697E59" w:rsidRPr="008D38F6" w:rsidRDefault="00697E59" w:rsidP="00F42FB8">
      <w:pPr>
        <w:rPr>
          <w:lang w:val="pt-BR"/>
        </w:rPr>
      </w:pPr>
      <w:bookmarkStart w:id="793" w:name="_Toc240899165"/>
    </w:p>
    <w:p w:rsidR="00212FA0" w:rsidRPr="008D38F6" w:rsidRDefault="00212FA0" w:rsidP="00F42FB8">
      <w:pPr>
        <w:rPr>
          <w:lang w:val="pt-BR"/>
        </w:rPr>
      </w:pPr>
    </w:p>
    <w:p w:rsidR="00212FA0" w:rsidRPr="008D38F6" w:rsidRDefault="00212FA0" w:rsidP="00F42FB8">
      <w:pPr>
        <w:rPr>
          <w:lang w:val="pt-BR"/>
        </w:rPr>
      </w:pPr>
    </w:p>
    <w:p w:rsidR="00212FA0" w:rsidRPr="008D38F6" w:rsidRDefault="00212FA0" w:rsidP="00F42FB8">
      <w:pPr>
        <w:rPr>
          <w:lang w:val="pt-BR"/>
        </w:rPr>
      </w:pPr>
    </w:p>
    <w:p w:rsidR="00023FE7" w:rsidRPr="008D38F6" w:rsidRDefault="00023FE7" w:rsidP="00F93617">
      <w:pPr>
        <w:spacing w:after="60"/>
        <w:rPr>
          <w:lang w:val="pt-BR"/>
        </w:rPr>
      </w:pPr>
      <w:r w:rsidRPr="008D38F6">
        <w:rPr>
          <w:rFonts w:cs="Tahoma"/>
          <w:b/>
          <w:szCs w:val="20"/>
          <w:lang w:val="pt-BR"/>
        </w:rPr>
        <w:lastRenderedPageBreak/>
        <w:t>Contatos de Suporte</w:t>
      </w:r>
      <w:bookmarkEnd w:id="793"/>
    </w:p>
    <w:p w:rsidR="00023FE7" w:rsidRPr="008D38F6" w:rsidRDefault="00023FE7" w:rsidP="00F42FB8">
      <w:pPr>
        <w:pStyle w:val="AppendixBodyText"/>
        <w:spacing w:after="0"/>
        <w:rPr>
          <w:lang w:val="pt-BR"/>
        </w:rPr>
      </w:pPr>
      <w:r w:rsidRPr="008D38F6">
        <w:rPr>
          <w:rFonts w:ascii="Tahoma" w:hAnsi="Tahoma" w:cs="Tahoma"/>
          <w:sz w:val="18"/>
          <w:szCs w:val="18"/>
          <w:lang w:val="pt-BR"/>
        </w:rPr>
        <w:t>O número de contatos de suporte permitidos varia de acordo com o programa de Licenciamento por Volume e o</w:t>
      </w:r>
      <w:r w:rsidR="00B85BEE" w:rsidRPr="008D38F6">
        <w:rPr>
          <w:rFonts w:ascii="Tahoma" w:hAnsi="Tahoma" w:cs="Tahoma"/>
          <w:sz w:val="18"/>
          <w:szCs w:val="18"/>
          <w:lang w:val="pt-BR"/>
        </w:rPr>
        <w:t> </w:t>
      </w:r>
      <w:r w:rsidRPr="008D38F6">
        <w:rPr>
          <w:rFonts w:ascii="Tahoma" w:hAnsi="Tahoma" w:cs="Tahoma"/>
          <w:sz w:val="18"/>
          <w:szCs w:val="18"/>
          <w:lang w:val="pt-BR"/>
        </w:rPr>
        <w:t>número de licenças cobertas pelo Software Assurance, conforme mostrado a seguir.</w:t>
      </w:r>
      <w:r w:rsidR="00FB5496" w:rsidRPr="008D38F6">
        <w:rPr>
          <w:rFonts w:ascii="Tahoma" w:hAnsi="Tahoma" w:cs="Tahoma"/>
          <w:sz w:val="18"/>
          <w:szCs w:val="18"/>
          <w:lang w:val="pt-BR"/>
        </w:rPr>
        <w:t xml:space="preserve"> </w:t>
      </w:r>
      <w:r w:rsidRPr="008D38F6">
        <w:rPr>
          <w:rFonts w:ascii="Tahoma" w:hAnsi="Tahoma" w:cs="Tahoma"/>
          <w:sz w:val="18"/>
          <w:szCs w:val="18"/>
          <w:lang w:val="pt-BR"/>
        </w:rPr>
        <w:t>Os contatos devem ser indivíduos nomeados e podem incluir indivíduos de fora da organização do cliente.</w:t>
      </w:r>
      <w:r w:rsidR="00FB5496" w:rsidRPr="008D38F6">
        <w:rPr>
          <w:rFonts w:ascii="Tahoma" w:hAnsi="Tahoma" w:cs="Tahoma"/>
          <w:sz w:val="18"/>
          <w:szCs w:val="18"/>
          <w:lang w:val="pt-BR"/>
        </w:rPr>
        <w:t xml:space="preserve"> </w:t>
      </w:r>
      <w:r w:rsidRPr="008D38F6">
        <w:rPr>
          <w:rFonts w:ascii="Tahoma" w:hAnsi="Tahoma" w:cs="Tahoma"/>
          <w:sz w:val="18"/>
          <w:szCs w:val="18"/>
          <w:lang w:val="pt-BR"/>
        </w:rPr>
        <w:t>Entretanto, o nome de uma organização, um departamento ou um grupo não pode ser listado como um contato.</w:t>
      </w:r>
    </w:p>
    <w:p w:rsidR="00077CE5" w:rsidRPr="008D38F6" w:rsidRDefault="00077CE5" w:rsidP="00F93617">
      <w:pPr>
        <w:pStyle w:val="AppendixBodyText"/>
        <w:spacing w:after="0"/>
        <w:rPr>
          <w:rFonts w:ascii="Tahoma" w:hAnsi="Tahoma" w:cs="Tahoma"/>
          <w:sz w:val="18"/>
          <w:szCs w:val="18"/>
          <w:lang w:val="pt-BR"/>
        </w:rPr>
      </w:pPr>
    </w:p>
    <w:p w:rsidR="002A5CC2" w:rsidRPr="008D38F6" w:rsidRDefault="002A5CC2">
      <w:pPr>
        <w:pStyle w:val="AppendixBodyText"/>
        <w:rPr>
          <w:rFonts w:ascii="Tahoma" w:hAnsi="Tahoma" w:cs="Tahoma"/>
          <w:sz w:val="18"/>
          <w:szCs w:val="18"/>
          <w:lang w:val="pt-BR"/>
        </w:rPr>
      </w:pPr>
    </w:p>
    <w:tbl>
      <w:tblPr>
        <w:tblW w:w="963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080"/>
        <w:gridCol w:w="1080"/>
        <w:gridCol w:w="1260"/>
        <w:gridCol w:w="1260"/>
        <w:gridCol w:w="1260"/>
        <w:gridCol w:w="1260"/>
      </w:tblGrid>
      <w:tr w:rsidR="00023FE7" w:rsidRPr="00B06414" w:rsidTr="00B85BEE">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070" w:rsidRDefault="00023FE7">
            <w:pPr>
              <w:pStyle w:val="AppendixBodyText"/>
              <w:rPr>
                <w:rFonts w:ascii="Tahoma" w:hAnsi="Tahoma" w:cs="Tahoma"/>
                <w:b/>
                <w:bCs/>
              </w:rPr>
            </w:pPr>
            <w:r w:rsidRPr="00416070">
              <w:rPr>
                <w:rFonts w:ascii="Tahoma" w:hAnsi="Tahoma" w:cs="Tahoma"/>
                <w:b/>
                <w:bCs/>
              </w:rPr>
              <w:t>Benefícios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070" w:rsidRDefault="00023FE7">
            <w:pPr>
              <w:pStyle w:val="AppendixBodyText"/>
              <w:rPr>
                <w:rFonts w:ascii="Tahoma" w:hAnsi="Tahoma" w:cs="Tahoma"/>
                <w:b/>
                <w:bCs/>
              </w:rPr>
            </w:pPr>
            <w:r w:rsidRPr="00416070">
              <w:rPr>
                <w:rFonts w:ascii="Tahoma" w:hAnsi="Tahoma" w:cs="Tahoma"/>
                <w:b/>
                <w:bCs/>
              </w:rPr>
              <w:t>Licença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070" w:rsidRDefault="00023FE7" w:rsidP="007E466C">
            <w:pPr>
              <w:pStyle w:val="AppendixBodyText"/>
              <w:spacing w:before="120" w:after="120"/>
              <w:rPr>
                <w:rFonts w:ascii="Tahoma" w:hAnsi="Tahoma" w:cs="Tahoma"/>
                <w:b/>
              </w:rPr>
            </w:pPr>
            <w:r w:rsidRPr="00416070">
              <w:rPr>
                <w:rFonts w:ascii="Tahoma" w:hAnsi="Tahoma" w:cs="Tahoma"/>
                <w:b/>
                <w:bCs/>
              </w:rPr>
              <w:t>Open Value(1)</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D38F6" w:rsidRDefault="00023FE7">
            <w:pPr>
              <w:pStyle w:val="AppendixBodyText"/>
              <w:rPr>
                <w:lang w:val="pt-BR"/>
              </w:rPr>
            </w:pPr>
            <w:r w:rsidRPr="008D38F6">
              <w:rPr>
                <w:rFonts w:ascii="Tahoma" w:hAnsi="Tahoma" w:cs="Tahoma"/>
                <w:b/>
                <w:bCs/>
                <w:lang w:val="pt-BR"/>
              </w:rPr>
              <w:t>Licença Select/</w:t>
            </w:r>
            <w:r w:rsidR="00B85BEE" w:rsidRPr="008D38F6">
              <w:rPr>
                <w:rFonts w:ascii="Tahoma" w:hAnsi="Tahoma" w:cs="Tahoma"/>
                <w:b/>
                <w:bCs/>
                <w:lang w:val="pt-BR"/>
              </w:rPr>
              <w:br/>
            </w:r>
            <w:r w:rsidRPr="008D38F6">
              <w:rPr>
                <w:rFonts w:ascii="Tahoma" w:hAnsi="Tahoma" w:cs="Tahoma"/>
                <w:b/>
                <w:bCs/>
                <w:lang w:val="pt-BR"/>
              </w:rPr>
              <w:t>Select Plus/</w:t>
            </w:r>
            <w:r w:rsidR="00B85BEE" w:rsidRPr="008D38F6">
              <w:rPr>
                <w:rFonts w:ascii="Tahoma" w:hAnsi="Tahoma" w:cs="Tahoma"/>
                <w:b/>
                <w:bCs/>
                <w:lang w:val="pt-BR"/>
              </w:rPr>
              <w:br/>
            </w:r>
            <w:r w:rsidRPr="008D38F6">
              <w:rPr>
                <w:rFonts w:ascii="Tahoma" w:hAnsi="Tahoma" w:cs="Tahoma"/>
                <w:b/>
                <w:bCs/>
                <w:lang w:val="pt-BR"/>
              </w:rPr>
              <w:t>Contrato Enterprise</w:t>
            </w:r>
          </w:p>
          <w:p w:rsidR="00023FE7" w:rsidRPr="008D38F6" w:rsidRDefault="00023FE7">
            <w:pPr>
              <w:pStyle w:val="AppendixBodyText"/>
              <w:rPr>
                <w:rFonts w:ascii="Tahoma" w:hAnsi="Tahoma" w:cs="Tahoma"/>
                <w:b/>
                <w:bCs/>
                <w:lang w:val="pt-BR"/>
              </w:rPr>
            </w:pPr>
            <w:r w:rsidRPr="008D38F6">
              <w:rPr>
                <w:rFonts w:ascii="Tahoma" w:hAnsi="Tahoma" w:cs="Tahoma"/>
                <w:b/>
                <w:bCs/>
                <w:lang w:val="pt-BR"/>
              </w:rPr>
              <w:t>Nível 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D38F6" w:rsidRDefault="00023FE7">
            <w:pPr>
              <w:pStyle w:val="AppendixBodyText"/>
              <w:rPr>
                <w:lang w:val="pt-BR"/>
              </w:rPr>
            </w:pPr>
            <w:r w:rsidRPr="008D38F6">
              <w:rPr>
                <w:rFonts w:ascii="Tahoma" w:hAnsi="Tahoma" w:cs="Tahoma"/>
                <w:b/>
                <w:bCs/>
                <w:lang w:val="pt-BR"/>
              </w:rPr>
              <w:t>Licença Select/</w:t>
            </w:r>
            <w:r w:rsidR="00B85BEE" w:rsidRPr="008D38F6">
              <w:rPr>
                <w:rFonts w:ascii="Tahoma" w:hAnsi="Tahoma" w:cs="Tahoma"/>
                <w:b/>
                <w:bCs/>
                <w:lang w:val="pt-BR"/>
              </w:rPr>
              <w:br/>
            </w:r>
            <w:r w:rsidRPr="008D38F6">
              <w:rPr>
                <w:rFonts w:ascii="Tahoma" w:hAnsi="Tahoma" w:cs="Tahoma"/>
                <w:b/>
                <w:bCs/>
                <w:lang w:val="pt-BR"/>
              </w:rPr>
              <w:t>Select Plus/</w:t>
            </w:r>
            <w:r w:rsidR="00B85BEE" w:rsidRPr="008D38F6">
              <w:rPr>
                <w:rFonts w:ascii="Tahoma" w:hAnsi="Tahoma" w:cs="Tahoma"/>
                <w:b/>
                <w:bCs/>
                <w:lang w:val="pt-BR"/>
              </w:rPr>
              <w:br/>
            </w:r>
            <w:r w:rsidRPr="008D38F6">
              <w:rPr>
                <w:rFonts w:ascii="Tahoma" w:hAnsi="Tahoma" w:cs="Tahoma"/>
                <w:b/>
                <w:bCs/>
                <w:lang w:val="pt-BR"/>
              </w:rPr>
              <w:t>Contrato Enterprise</w:t>
            </w:r>
          </w:p>
          <w:p w:rsidR="00023FE7" w:rsidRPr="008D38F6" w:rsidRDefault="00023FE7">
            <w:pPr>
              <w:pStyle w:val="AppendixBodyText"/>
              <w:rPr>
                <w:rFonts w:ascii="Tahoma" w:hAnsi="Tahoma" w:cs="Tahoma"/>
                <w:b/>
                <w:bCs/>
                <w:lang w:val="pt-BR"/>
              </w:rPr>
            </w:pPr>
            <w:r w:rsidRPr="008D38F6">
              <w:rPr>
                <w:rFonts w:ascii="Tahoma" w:hAnsi="Tahoma" w:cs="Tahoma"/>
                <w:b/>
                <w:bCs/>
                <w:lang w:val="pt-BR"/>
              </w:rPr>
              <w:t>Nível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D38F6" w:rsidRDefault="00023FE7">
            <w:pPr>
              <w:pStyle w:val="AppendixBodyText"/>
              <w:rPr>
                <w:lang w:val="pt-BR"/>
              </w:rPr>
            </w:pPr>
            <w:r w:rsidRPr="008D38F6">
              <w:rPr>
                <w:rFonts w:ascii="Tahoma" w:hAnsi="Tahoma" w:cs="Tahoma"/>
                <w:b/>
                <w:bCs/>
                <w:lang w:val="pt-BR"/>
              </w:rPr>
              <w:t>Licença Select/</w:t>
            </w:r>
            <w:r w:rsidR="00B85BEE" w:rsidRPr="008D38F6">
              <w:rPr>
                <w:rFonts w:ascii="Tahoma" w:hAnsi="Tahoma" w:cs="Tahoma"/>
                <w:b/>
                <w:bCs/>
                <w:lang w:val="pt-BR"/>
              </w:rPr>
              <w:br/>
            </w:r>
            <w:r w:rsidRPr="008D38F6">
              <w:rPr>
                <w:rFonts w:ascii="Tahoma" w:hAnsi="Tahoma" w:cs="Tahoma"/>
                <w:b/>
                <w:bCs/>
                <w:lang w:val="pt-BR"/>
              </w:rPr>
              <w:t>Select Plus/</w:t>
            </w:r>
            <w:r w:rsidR="00B85BEE" w:rsidRPr="008D38F6">
              <w:rPr>
                <w:rFonts w:ascii="Tahoma" w:hAnsi="Tahoma" w:cs="Tahoma"/>
                <w:b/>
                <w:bCs/>
                <w:lang w:val="pt-BR"/>
              </w:rPr>
              <w:br/>
            </w:r>
            <w:r w:rsidRPr="008D38F6">
              <w:rPr>
                <w:rFonts w:ascii="Tahoma" w:hAnsi="Tahoma" w:cs="Tahoma"/>
                <w:b/>
                <w:bCs/>
                <w:lang w:val="pt-BR"/>
              </w:rPr>
              <w:t>Contrato Enterprise</w:t>
            </w:r>
          </w:p>
          <w:p w:rsidR="00023FE7" w:rsidRPr="008D38F6" w:rsidRDefault="00023FE7">
            <w:pPr>
              <w:pStyle w:val="AppendixBodyText"/>
              <w:rPr>
                <w:rFonts w:ascii="Tahoma" w:hAnsi="Tahoma" w:cs="Tahoma"/>
                <w:b/>
                <w:bCs/>
                <w:lang w:val="pt-BR"/>
              </w:rPr>
            </w:pPr>
            <w:r w:rsidRPr="008D38F6">
              <w:rPr>
                <w:rFonts w:ascii="Tahoma" w:hAnsi="Tahoma" w:cs="Tahoma"/>
                <w:b/>
                <w:bCs/>
                <w:lang w:val="pt-BR"/>
              </w:rPr>
              <w:t>Nível C</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8D38F6" w:rsidRDefault="00023FE7">
            <w:pPr>
              <w:pStyle w:val="AppendixBodyText"/>
              <w:rPr>
                <w:lang w:val="pt-BR"/>
              </w:rPr>
            </w:pPr>
            <w:r w:rsidRPr="008D38F6">
              <w:rPr>
                <w:rFonts w:ascii="Tahoma" w:hAnsi="Tahoma" w:cs="Tahoma"/>
                <w:b/>
                <w:bCs/>
                <w:lang w:val="pt-BR"/>
              </w:rPr>
              <w:t>Licença Select/</w:t>
            </w:r>
            <w:r w:rsidR="00B85BEE" w:rsidRPr="008D38F6">
              <w:rPr>
                <w:rFonts w:ascii="Tahoma" w:hAnsi="Tahoma" w:cs="Tahoma"/>
                <w:b/>
                <w:bCs/>
                <w:lang w:val="pt-BR"/>
              </w:rPr>
              <w:br/>
            </w:r>
            <w:r w:rsidRPr="008D38F6">
              <w:rPr>
                <w:rFonts w:ascii="Tahoma" w:hAnsi="Tahoma" w:cs="Tahoma"/>
                <w:b/>
                <w:bCs/>
                <w:lang w:val="pt-BR"/>
              </w:rPr>
              <w:t>Select Plus/</w:t>
            </w:r>
            <w:r w:rsidR="00B85BEE" w:rsidRPr="008D38F6">
              <w:rPr>
                <w:rFonts w:ascii="Tahoma" w:hAnsi="Tahoma" w:cs="Tahoma"/>
                <w:b/>
                <w:bCs/>
                <w:lang w:val="pt-BR"/>
              </w:rPr>
              <w:br/>
            </w:r>
            <w:r w:rsidRPr="008D38F6">
              <w:rPr>
                <w:rFonts w:ascii="Tahoma" w:hAnsi="Tahoma" w:cs="Tahoma"/>
                <w:b/>
                <w:bCs/>
                <w:lang w:val="pt-BR"/>
              </w:rPr>
              <w:t>Contrato Enterprise</w:t>
            </w:r>
          </w:p>
          <w:p w:rsidR="00023FE7" w:rsidRPr="008D38F6" w:rsidRDefault="00023FE7">
            <w:pPr>
              <w:pStyle w:val="AppendixBodyText"/>
              <w:rPr>
                <w:rFonts w:ascii="Tahoma" w:hAnsi="Tahoma" w:cs="Tahoma"/>
                <w:b/>
                <w:bCs/>
                <w:lang w:val="pt-BR"/>
              </w:rPr>
            </w:pPr>
            <w:r w:rsidRPr="008D38F6">
              <w:rPr>
                <w:rFonts w:ascii="Tahoma" w:hAnsi="Tahoma" w:cs="Tahoma"/>
                <w:b/>
                <w:bCs/>
                <w:lang w:val="pt-BR"/>
              </w:rPr>
              <w:t>Nível D</w:t>
            </w:r>
          </w:p>
        </w:tc>
      </w:tr>
      <w:tr w:rsidR="00023FE7" w:rsidRPr="00416070" w:rsidTr="00B85BEE">
        <w:trPr>
          <w:trHeight w:val="236"/>
        </w:trPr>
        <w:tc>
          <w:tcPr>
            <w:tcW w:w="2430" w:type="dxa"/>
            <w:vAlign w:val="center"/>
          </w:tcPr>
          <w:p w:rsidR="00023FE7" w:rsidRPr="008D38F6" w:rsidRDefault="00023FE7">
            <w:pPr>
              <w:pStyle w:val="AppendixBodyText"/>
              <w:rPr>
                <w:rFonts w:ascii="Tahoma" w:hAnsi="Tahoma" w:cs="Tahoma"/>
                <w:sz w:val="18"/>
                <w:szCs w:val="18"/>
                <w:lang w:val="pt-BR"/>
              </w:rPr>
            </w:pPr>
            <w:r w:rsidRPr="008D38F6">
              <w:rPr>
                <w:rFonts w:ascii="Tahoma" w:hAnsi="Tahoma" w:cs="Tahoma"/>
                <w:sz w:val="18"/>
                <w:szCs w:val="18"/>
                <w:lang w:val="pt-BR"/>
              </w:rPr>
              <w:t>Nº de Contatos de Suporte por Telefone para Resolução de Problemas</w:t>
            </w:r>
          </w:p>
        </w:tc>
        <w:tc>
          <w:tcPr>
            <w:tcW w:w="1080" w:type="dxa"/>
            <w:vAlign w:val="center"/>
          </w:tcPr>
          <w:p w:rsidR="00023FE7" w:rsidRPr="00416070" w:rsidRDefault="00620185">
            <w:pPr>
              <w:pStyle w:val="AppendixBodyText"/>
              <w:rPr>
                <w:rFonts w:ascii="Tahoma" w:hAnsi="Tahoma" w:cs="Tahoma"/>
                <w:sz w:val="18"/>
                <w:szCs w:val="18"/>
              </w:rPr>
            </w:pPr>
            <w:r w:rsidRPr="00416070">
              <w:rPr>
                <w:rFonts w:ascii="Tahoma" w:hAnsi="Tahoma" w:cs="Tahoma"/>
                <w:sz w:val="18"/>
                <w:szCs w:val="18"/>
              </w:rPr>
              <w:t>Conforme Necessário</w:t>
            </w:r>
          </w:p>
        </w:tc>
        <w:tc>
          <w:tcPr>
            <w:tcW w:w="108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Conforme Necessário</w:t>
            </w:r>
          </w:p>
        </w:tc>
        <w:tc>
          <w:tcPr>
            <w:tcW w:w="126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Conforme Necessário</w:t>
            </w:r>
          </w:p>
        </w:tc>
        <w:tc>
          <w:tcPr>
            <w:tcW w:w="126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Conforme Necessário</w:t>
            </w:r>
          </w:p>
        </w:tc>
        <w:tc>
          <w:tcPr>
            <w:tcW w:w="126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Conforme Necessário</w:t>
            </w:r>
          </w:p>
        </w:tc>
        <w:tc>
          <w:tcPr>
            <w:tcW w:w="126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Conforme Necessário</w:t>
            </w:r>
          </w:p>
        </w:tc>
      </w:tr>
      <w:tr w:rsidR="00023FE7" w:rsidRPr="00416070" w:rsidTr="00B85BEE">
        <w:trPr>
          <w:trHeight w:val="236"/>
        </w:trPr>
        <w:tc>
          <w:tcPr>
            <w:tcW w:w="2430" w:type="dxa"/>
            <w:vAlign w:val="center"/>
          </w:tcPr>
          <w:p w:rsidR="00023FE7" w:rsidRPr="008D38F6" w:rsidRDefault="00023FE7">
            <w:pPr>
              <w:pStyle w:val="AppendixBodyText"/>
              <w:rPr>
                <w:rFonts w:ascii="Tahoma" w:hAnsi="Tahoma" w:cs="Tahoma"/>
                <w:sz w:val="18"/>
                <w:szCs w:val="18"/>
                <w:lang w:val="pt-BR"/>
              </w:rPr>
            </w:pPr>
            <w:r w:rsidRPr="008D38F6">
              <w:rPr>
                <w:rFonts w:ascii="Tahoma" w:hAnsi="Tahoma" w:cs="Tahoma"/>
                <w:sz w:val="18"/>
                <w:szCs w:val="18"/>
                <w:lang w:val="pt-BR"/>
              </w:rPr>
              <w:t>Nº de Contatos de Suporte pela Web Autorizados</w:t>
            </w:r>
          </w:p>
        </w:tc>
        <w:tc>
          <w:tcPr>
            <w:tcW w:w="108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N/D</w:t>
            </w:r>
          </w:p>
        </w:tc>
        <w:tc>
          <w:tcPr>
            <w:tcW w:w="108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1</w:t>
            </w:r>
          </w:p>
        </w:tc>
        <w:tc>
          <w:tcPr>
            <w:tcW w:w="126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2</w:t>
            </w:r>
          </w:p>
        </w:tc>
        <w:tc>
          <w:tcPr>
            <w:tcW w:w="126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4</w:t>
            </w:r>
          </w:p>
        </w:tc>
        <w:tc>
          <w:tcPr>
            <w:tcW w:w="126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8</w:t>
            </w:r>
          </w:p>
        </w:tc>
        <w:tc>
          <w:tcPr>
            <w:tcW w:w="1260" w:type="dxa"/>
            <w:vAlign w:val="center"/>
          </w:tcPr>
          <w:p w:rsidR="00023FE7" w:rsidRPr="00416070" w:rsidRDefault="00023FE7">
            <w:pPr>
              <w:pStyle w:val="AppendixBodyText"/>
              <w:rPr>
                <w:rFonts w:ascii="Tahoma" w:hAnsi="Tahoma" w:cs="Tahoma"/>
                <w:sz w:val="18"/>
                <w:szCs w:val="18"/>
              </w:rPr>
            </w:pPr>
            <w:r w:rsidRPr="00416070">
              <w:rPr>
                <w:rFonts w:ascii="Tahoma" w:hAnsi="Tahoma" w:cs="Tahoma"/>
                <w:sz w:val="18"/>
                <w:szCs w:val="18"/>
              </w:rPr>
              <w:t>16</w:t>
            </w:r>
          </w:p>
        </w:tc>
      </w:tr>
    </w:tbl>
    <w:p w:rsidR="00023FE7" w:rsidRPr="00416070" w:rsidRDefault="00023FE7" w:rsidP="00F42FB8">
      <w:pPr>
        <w:pStyle w:val="AppendixBodyText"/>
        <w:spacing w:after="0"/>
        <w:rPr>
          <w:rFonts w:ascii="Tahoma" w:hAnsi="Tahoma" w:cs="Tahoma"/>
          <w:sz w:val="18"/>
          <w:szCs w:val="18"/>
        </w:rPr>
      </w:pPr>
    </w:p>
    <w:p w:rsidR="001C20C9" w:rsidRPr="008D38F6" w:rsidRDefault="00023FE7" w:rsidP="00F93617">
      <w:pPr>
        <w:spacing w:after="60"/>
        <w:rPr>
          <w:lang w:val="pt-BR"/>
        </w:rPr>
      </w:pPr>
      <w:bookmarkStart w:id="794" w:name="_Toc240899166"/>
      <w:r w:rsidRPr="008D38F6">
        <w:rPr>
          <w:rFonts w:cs="Tahoma"/>
          <w:b/>
          <w:szCs w:val="20"/>
          <w:lang w:val="pt-BR"/>
        </w:rPr>
        <w:t>Nível de Serviço para Clientes do Software Assurance</w:t>
      </w:r>
      <w:bookmarkEnd w:id="794"/>
    </w:p>
    <w:p w:rsidR="00023FE7" w:rsidRPr="008D38F6" w:rsidRDefault="00023FE7" w:rsidP="00F42FB8">
      <w:pPr>
        <w:pStyle w:val="AppendixBodyText"/>
        <w:spacing w:after="0"/>
        <w:rPr>
          <w:rFonts w:ascii="Tahoma" w:hAnsi="Tahoma" w:cs="Tahoma"/>
          <w:sz w:val="18"/>
          <w:szCs w:val="18"/>
          <w:lang w:val="pt-BR"/>
        </w:rPr>
      </w:pPr>
    </w:p>
    <w:p w:rsidR="00023FE7" w:rsidRPr="008D38F6" w:rsidRDefault="00023FE7" w:rsidP="00F93617">
      <w:pPr>
        <w:pStyle w:val="AppendixBodyText"/>
        <w:spacing w:after="0"/>
        <w:rPr>
          <w:lang w:val="pt-BR"/>
        </w:rPr>
      </w:pPr>
      <w:r w:rsidRPr="008D38F6">
        <w:rPr>
          <w:rFonts w:ascii="Tahoma" w:hAnsi="Tahoma" w:cs="Tahoma"/>
          <w:sz w:val="18"/>
          <w:szCs w:val="18"/>
          <w:lang w:val="pt-BR"/>
        </w:rPr>
        <w:t>As solicitações de suporte podem ser realizadas por telefone ou eletronicamente por meio de contatos designados de</w:t>
      </w:r>
      <w:r w:rsidR="00B85BEE" w:rsidRPr="008D38F6">
        <w:rPr>
          <w:rFonts w:ascii="Tahoma" w:hAnsi="Tahoma" w:cs="Tahoma"/>
          <w:sz w:val="18"/>
          <w:szCs w:val="18"/>
          <w:lang w:val="pt-BR"/>
        </w:rPr>
        <w:t> </w:t>
      </w:r>
      <w:r w:rsidRPr="008D38F6">
        <w:rPr>
          <w:rFonts w:ascii="Tahoma" w:hAnsi="Tahoma" w:cs="Tahoma"/>
          <w:sz w:val="18"/>
          <w:szCs w:val="18"/>
          <w:lang w:val="pt-BR"/>
        </w:rPr>
        <w:t>um cliente, exceto para Severidade A e B, que devem ser solicitadas por telefo</w:t>
      </w:r>
      <w:r w:rsidR="007E2720" w:rsidRPr="008D38F6">
        <w:rPr>
          <w:rFonts w:ascii="Tahoma" w:hAnsi="Tahoma" w:cs="Tahoma"/>
          <w:sz w:val="18"/>
          <w:szCs w:val="18"/>
          <w:lang w:val="pt-BR"/>
        </w:rPr>
        <w:t>ne, conforme definido a seguir.</w:t>
      </w:r>
    </w:p>
    <w:p w:rsidR="00023FE7" w:rsidRPr="008D38F6" w:rsidRDefault="00023FE7" w:rsidP="00F42FB8">
      <w:pPr>
        <w:pStyle w:val="AppendixBodyText"/>
        <w:spacing w:after="0"/>
        <w:rPr>
          <w:rFonts w:ascii="Tahoma" w:hAnsi="Tahoma" w:cs="Tahoma"/>
          <w:sz w:val="18"/>
          <w:szCs w:val="18"/>
          <w:lang w:val="pt-BR"/>
        </w:rPr>
      </w:pPr>
    </w:p>
    <w:p w:rsidR="00023FE7" w:rsidRPr="008D38F6" w:rsidRDefault="00023FE7" w:rsidP="00F93617">
      <w:pPr>
        <w:pStyle w:val="AppendixBodyText"/>
        <w:spacing w:after="0"/>
        <w:rPr>
          <w:lang w:val="pt-BR"/>
        </w:rPr>
      </w:pPr>
      <w:r w:rsidRPr="008D38F6">
        <w:rPr>
          <w:rFonts w:ascii="Tahoma" w:hAnsi="Tahoma" w:cs="Tahoma"/>
          <w:sz w:val="18"/>
          <w:szCs w:val="18"/>
          <w:lang w:val="pt-BR"/>
        </w:rPr>
        <w:t>Os clientes são responsáveis pela definição do nível inicial de severidade ao nos consultar e podem solicitar uma alteração no nível de severidade a qualquer momento.</w:t>
      </w:r>
      <w:r w:rsidR="00FB5496" w:rsidRPr="008D38F6">
        <w:rPr>
          <w:rFonts w:ascii="Tahoma" w:hAnsi="Tahoma" w:cs="Tahoma"/>
          <w:sz w:val="18"/>
          <w:szCs w:val="18"/>
          <w:lang w:val="pt-BR"/>
        </w:rPr>
        <w:t xml:space="preserve"> </w:t>
      </w:r>
      <w:r w:rsidRPr="008D38F6">
        <w:rPr>
          <w:rFonts w:ascii="Tahoma" w:hAnsi="Tahoma" w:cs="Tahoma"/>
          <w:sz w:val="18"/>
          <w:szCs w:val="18"/>
          <w:lang w:val="pt-BR"/>
        </w:rPr>
        <w:t>A severidade do incidente determinará os níveis de resposta na Microsoft e o tempo estimado de resposta. As responsabilidades dos clientes são definidas na tabela a seguir:</w:t>
      </w:r>
    </w:p>
    <w:p w:rsidR="00023FE7" w:rsidRPr="008D38F6" w:rsidRDefault="00023FE7">
      <w:pPr>
        <w:pStyle w:val="AppendixBodyText"/>
        <w:rPr>
          <w:rFonts w:ascii="Tahoma" w:hAnsi="Tahoma" w:cs="Tahoma"/>
          <w:sz w:val="18"/>
          <w:szCs w:val="18"/>
          <w:lang w:val="pt-BR"/>
        </w:rPr>
      </w:pPr>
    </w:p>
    <w:tbl>
      <w:tblPr>
        <w:tblW w:w="9360" w:type="dxa"/>
        <w:tblInd w:w="108" w:type="dxa"/>
        <w:tblLayout w:type="fixed"/>
        <w:tblCellMar>
          <w:left w:w="0" w:type="dxa"/>
          <w:right w:w="0" w:type="dxa"/>
        </w:tblCellMar>
        <w:tblLook w:val="0000" w:firstRow="0" w:lastRow="0" w:firstColumn="0" w:lastColumn="0" w:noHBand="0" w:noVBand="0"/>
      </w:tblPr>
      <w:tblGrid>
        <w:gridCol w:w="1350"/>
        <w:gridCol w:w="2790"/>
        <w:gridCol w:w="2790"/>
        <w:gridCol w:w="2430"/>
      </w:tblGrid>
      <w:tr w:rsidR="00023FE7" w:rsidRPr="00416070" w:rsidTr="00FE2B0B">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6070" w:rsidRDefault="00023FE7">
            <w:pPr>
              <w:pStyle w:val="AppendixBodyText"/>
              <w:spacing w:after="0"/>
              <w:jc w:val="center"/>
              <w:rPr>
                <w:rFonts w:ascii="Tahoma" w:hAnsi="Tahoma" w:cs="Tahoma"/>
                <w:b/>
                <w:bCs/>
              </w:rPr>
            </w:pPr>
            <w:r w:rsidRPr="00416070">
              <w:rPr>
                <w:rFonts w:ascii="Tahoma" w:hAnsi="Tahoma" w:cs="Tahoma"/>
                <w:b/>
                <w:bCs/>
              </w:rPr>
              <w:t>Severidade</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6070" w:rsidRDefault="00023FE7">
            <w:pPr>
              <w:pStyle w:val="AppendixBodyText"/>
              <w:spacing w:after="0"/>
              <w:jc w:val="center"/>
              <w:rPr>
                <w:rFonts w:ascii="Tahoma" w:hAnsi="Tahoma" w:cs="Tahoma"/>
                <w:b/>
                <w:bCs/>
              </w:rPr>
            </w:pPr>
            <w:r w:rsidRPr="00416070">
              <w:rPr>
                <w:rFonts w:ascii="Tahoma" w:hAnsi="Tahoma" w:cs="Tahoma"/>
                <w:b/>
                <w:bCs/>
              </w:rPr>
              <w:t>Situação</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6070" w:rsidRDefault="00023FE7">
            <w:pPr>
              <w:pStyle w:val="AppendixBodyText"/>
              <w:spacing w:after="0"/>
              <w:jc w:val="center"/>
              <w:rPr>
                <w:rFonts w:ascii="Tahoma" w:hAnsi="Tahoma" w:cs="Tahoma"/>
                <w:b/>
                <w:bCs/>
              </w:rPr>
            </w:pPr>
            <w:r w:rsidRPr="00416070">
              <w:rPr>
                <w:rFonts w:ascii="Tahoma" w:hAnsi="Tahoma" w:cs="Tahoma"/>
                <w:b/>
                <w:bCs/>
              </w:rPr>
              <w:t>Nossa Resposta Esperada</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6070" w:rsidRDefault="00023FE7" w:rsidP="00554B85">
            <w:pPr>
              <w:pStyle w:val="AppendixBodyText"/>
              <w:spacing w:after="0"/>
              <w:jc w:val="center"/>
              <w:rPr>
                <w:rFonts w:ascii="Tahoma" w:hAnsi="Tahoma" w:cs="Tahoma"/>
                <w:b/>
                <w:bCs/>
              </w:rPr>
            </w:pPr>
            <w:r w:rsidRPr="00416070">
              <w:rPr>
                <w:rFonts w:ascii="Tahoma" w:hAnsi="Tahoma" w:cs="Tahoma"/>
                <w:b/>
                <w:bCs/>
              </w:rPr>
              <w:t>Resposta Esperada do</w:t>
            </w:r>
            <w:r w:rsidR="00554B85" w:rsidRPr="00416070">
              <w:rPr>
                <w:rFonts w:ascii="Tahoma" w:hAnsi="Tahoma" w:cs="Tahoma"/>
                <w:b/>
                <w:bCs/>
              </w:rPr>
              <w:t> </w:t>
            </w:r>
            <w:r w:rsidRPr="00416070">
              <w:rPr>
                <w:rFonts w:ascii="Tahoma" w:hAnsi="Tahoma" w:cs="Tahoma"/>
                <w:b/>
                <w:bCs/>
              </w:rPr>
              <w:t>Cliente</w:t>
            </w:r>
          </w:p>
        </w:tc>
      </w:tr>
      <w:tr w:rsidR="00023FE7" w:rsidRPr="00416070" w:rsidTr="00FE2B0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7E2720" w:rsidRDefault="00023FE7">
            <w:pPr>
              <w:pStyle w:val="AppendixBodyText"/>
              <w:rPr>
                <w:rFonts w:ascii="Tahoma" w:hAnsi="Tahoma" w:cs="Tahoma"/>
                <w:sz w:val="18"/>
                <w:szCs w:val="18"/>
              </w:rPr>
            </w:pPr>
            <w:r w:rsidRPr="007E2720">
              <w:rPr>
                <w:rFonts w:ascii="Tahoma" w:hAnsi="Tahoma" w:cs="Tahoma"/>
                <w:sz w:val="18"/>
                <w:szCs w:val="18"/>
              </w:rPr>
              <w:t xml:space="preserve">A </w:t>
            </w:r>
            <w:r w:rsidR="00FE2B0B" w:rsidRPr="007E2720">
              <w:rPr>
                <w:rFonts w:ascii="Tahoma" w:hAnsi="Tahoma" w:cs="Tahoma"/>
                <w:sz w:val="18"/>
                <w:szCs w:val="18"/>
              </w:rPr>
              <w:br/>
            </w:r>
            <w:r w:rsidRPr="007E2720">
              <w:rPr>
                <w:rFonts w:ascii="Tahoma" w:hAnsi="Tahoma" w:cs="Tahoma"/>
                <w:sz w:val="18"/>
                <w:szCs w:val="18"/>
              </w:rPr>
              <w:t xml:space="preserve">Solicitação por telefone </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7E2720" w:rsidRDefault="00023FE7" w:rsidP="0027028A">
            <w:pPr>
              <w:pStyle w:val="AppendixBodyText"/>
              <w:numPr>
                <w:ilvl w:val="0"/>
                <w:numId w:val="2"/>
              </w:numPr>
              <w:tabs>
                <w:tab w:val="clear" w:pos="1440"/>
                <w:tab w:val="num" w:pos="612"/>
              </w:tabs>
              <w:ind w:left="612"/>
              <w:rPr>
                <w:sz w:val="18"/>
                <w:szCs w:val="18"/>
              </w:rPr>
            </w:pPr>
            <w:r w:rsidRPr="007E2720">
              <w:rPr>
                <w:rFonts w:ascii="Tahoma" w:hAnsi="Tahoma" w:cs="Tahoma"/>
                <w:sz w:val="18"/>
                <w:szCs w:val="18"/>
              </w:rPr>
              <w:t xml:space="preserve">Impacto crítico nos negócios: </w:t>
            </w:r>
          </w:p>
          <w:p w:rsidR="00023FE7" w:rsidRPr="008D38F6"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8D38F6">
              <w:rPr>
                <w:rFonts w:ascii="Tahoma" w:hAnsi="Tahoma" w:cs="Tahoma"/>
                <w:sz w:val="18"/>
                <w:szCs w:val="18"/>
                <w:lang w:val="pt-BR"/>
              </w:rPr>
              <w:t>A empresa do cliente tem uma perda ou degradação significativa de serviços.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8D38F6" w:rsidRDefault="00023FE7" w:rsidP="0027028A">
            <w:pPr>
              <w:pStyle w:val="AppendixBodyText"/>
              <w:numPr>
                <w:ilvl w:val="0"/>
                <w:numId w:val="2"/>
              </w:numPr>
              <w:tabs>
                <w:tab w:val="clear" w:pos="1440"/>
                <w:tab w:val="num" w:pos="522"/>
              </w:tabs>
              <w:ind w:left="522"/>
              <w:rPr>
                <w:sz w:val="18"/>
                <w:szCs w:val="18"/>
                <w:lang w:val="pt-BR"/>
              </w:rPr>
            </w:pPr>
            <w:r w:rsidRPr="008D38F6">
              <w:rPr>
                <w:rFonts w:ascii="Tahoma" w:hAnsi="Tahoma" w:cs="Tahoma"/>
                <w:sz w:val="18"/>
                <w:szCs w:val="18"/>
                <w:lang w:val="pt-BR"/>
              </w:rPr>
              <w:t>Resposta à 1</w:t>
            </w:r>
            <w:r w:rsidRPr="008D38F6">
              <w:rPr>
                <w:rFonts w:ascii="Tahoma" w:hAnsi="Tahoma" w:cs="Tahoma"/>
                <w:sz w:val="18"/>
                <w:szCs w:val="18"/>
                <w:vertAlign w:val="superscript"/>
                <w:lang w:val="pt-BR"/>
              </w:rPr>
              <w:t>a</w:t>
            </w:r>
            <w:r w:rsidRPr="008D38F6">
              <w:rPr>
                <w:rFonts w:ascii="Tahoma" w:hAnsi="Tahoma" w:cs="Tahoma"/>
                <w:sz w:val="18"/>
                <w:szCs w:val="18"/>
                <w:lang w:val="pt-BR"/>
              </w:rPr>
              <w:t xml:space="preserve"> chamada em 2 horas ou menos, com base na oferta de suporte</w:t>
            </w:r>
          </w:p>
          <w:p w:rsidR="00023FE7" w:rsidRPr="008D38F6" w:rsidRDefault="00023FE7" w:rsidP="0027028A">
            <w:pPr>
              <w:pStyle w:val="AppendixBodyText"/>
              <w:numPr>
                <w:ilvl w:val="0"/>
                <w:numId w:val="2"/>
              </w:numPr>
              <w:tabs>
                <w:tab w:val="clear" w:pos="1440"/>
                <w:tab w:val="num" w:pos="522"/>
              </w:tabs>
              <w:ind w:left="522"/>
              <w:rPr>
                <w:sz w:val="18"/>
                <w:szCs w:val="18"/>
                <w:lang w:val="pt-BR"/>
              </w:rPr>
            </w:pPr>
            <w:r w:rsidRPr="008D38F6">
              <w:rPr>
                <w:rFonts w:ascii="Tahoma" w:hAnsi="Tahoma" w:cs="Tahoma"/>
                <w:sz w:val="18"/>
                <w:szCs w:val="18"/>
                <w:lang w:val="pt-BR"/>
              </w:rPr>
              <w:t>Recursos da Microsoft encaminhados ao local do</w:t>
            </w:r>
            <w:r w:rsidR="00B85BEE" w:rsidRPr="008D38F6">
              <w:rPr>
                <w:rFonts w:ascii="Tahoma" w:hAnsi="Tahoma" w:cs="Tahoma"/>
                <w:sz w:val="18"/>
                <w:szCs w:val="18"/>
                <w:lang w:val="pt-BR"/>
              </w:rPr>
              <w:t> </w:t>
            </w:r>
            <w:r w:rsidRPr="008D38F6">
              <w:rPr>
                <w:rFonts w:ascii="Tahoma" w:hAnsi="Tahoma" w:cs="Tahoma"/>
                <w:sz w:val="18"/>
                <w:szCs w:val="18"/>
                <w:lang w:val="pt-BR"/>
              </w:rPr>
              <w:t>cliente, conforme a necessidade</w:t>
            </w:r>
          </w:p>
          <w:p w:rsidR="00023FE7" w:rsidRPr="007E2720" w:rsidRDefault="00023FE7" w:rsidP="0027028A">
            <w:pPr>
              <w:pStyle w:val="AppendixBodyText"/>
              <w:numPr>
                <w:ilvl w:val="0"/>
                <w:numId w:val="2"/>
              </w:numPr>
              <w:tabs>
                <w:tab w:val="clear" w:pos="1440"/>
                <w:tab w:val="num" w:pos="522"/>
              </w:tabs>
              <w:ind w:left="522"/>
              <w:rPr>
                <w:sz w:val="18"/>
                <w:szCs w:val="18"/>
              </w:rPr>
            </w:pPr>
            <w:r w:rsidRPr="007E2720">
              <w:rPr>
                <w:rFonts w:ascii="Tahoma" w:hAnsi="Tahoma" w:cs="Tahoma"/>
                <w:sz w:val="18"/>
                <w:szCs w:val="18"/>
              </w:rPr>
              <w:t>Esforço contínuo 24x7</w:t>
            </w:r>
          </w:p>
          <w:p w:rsidR="00023FE7" w:rsidRPr="008D38F6" w:rsidRDefault="00023FE7" w:rsidP="0027028A">
            <w:pPr>
              <w:pStyle w:val="AppendixBodyText"/>
              <w:numPr>
                <w:ilvl w:val="0"/>
                <w:numId w:val="2"/>
              </w:numPr>
              <w:tabs>
                <w:tab w:val="clear" w:pos="1440"/>
                <w:tab w:val="num" w:pos="522"/>
              </w:tabs>
              <w:ind w:left="522"/>
              <w:rPr>
                <w:rFonts w:ascii="Tahoma" w:hAnsi="Tahoma" w:cs="Tahoma"/>
                <w:sz w:val="18"/>
                <w:szCs w:val="18"/>
                <w:lang w:val="pt-BR"/>
              </w:rPr>
            </w:pPr>
            <w:r w:rsidRPr="008D38F6">
              <w:rPr>
                <w:rFonts w:ascii="Tahoma" w:hAnsi="Tahoma" w:cs="Tahoma"/>
                <w:sz w:val="18"/>
                <w:szCs w:val="18"/>
                <w:lang w:val="pt-BR"/>
              </w:rPr>
              <w:t>Notificação de Gerentes Sênior na Microsoft com base na oferta de suporte</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23FE7" w:rsidRPr="008D38F6" w:rsidRDefault="00023FE7" w:rsidP="0027028A">
            <w:pPr>
              <w:pStyle w:val="AppendixBodyText"/>
              <w:numPr>
                <w:ilvl w:val="0"/>
                <w:numId w:val="2"/>
              </w:numPr>
              <w:tabs>
                <w:tab w:val="clear" w:pos="1440"/>
              </w:tabs>
              <w:ind w:left="432"/>
              <w:rPr>
                <w:sz w:val="18"/>
                <w:szCs w:val="18"/>
                <w:lang w:val="pt-BR"/>
              </w:rPr>
            </w:pPr>
            <w:r w:rsidRPr="008D38F6">
              <w:rPr>
                <w:rFonts w:ascii="Tahoma" w:hAnsi="Tahoma" w:cs="Tahoma"/>
                <w:sz w:val="18"/>
                <w:szCs w:val="18"/>
                <w:lang w:val="pt-BR"/>
              </w:rPr>
              <w:t>Alocação de recursos adequados para manter os esforços contínuos em uma base 24x7</w:t>
            </w:r>
            <w:r w:rsidRPr="008D38F6">
              <w:rPr>
                <w:rFonts w:ascii="Tahoma" w:hAnsi="Tahoma" w:cs="Tahoma"/>
                <w:sz w:val="18"/>
                <w:szCs w:val="18"/>
                <w:vertAlign w:val="superscript"/>
                <w:lang w:val="pt-BR"/>
              </w:rPr>
              <w:t>2</w:t>
            </w:r>
          </w:p>
          <w:p w:rsidR="00023FE7" w:rsidRPr="008D38F6" w:rsidRDefault="00023FE7" w:rsidP="0027028A">
            <w:pPr>
              <w:pStyle w:val="AppendixBodyText"/>
              <w:numPr>
                <w:ilvl w:val="0"/>
                <w:numId w:val="2"/>
              </w:numPr>
              <w:tabs>
                <w:tab w:val="clear" w:pos="1440"/>
              </w:tabs>
              <w:ind w:left="432"/>
              <w:rPr>
                <w:sz w:val="18"/>
                <w:szCs w:val="18"/>
                <w:lang w:val="pt-BR"/>
              </w:rPr>
            </w:pPr>
            <w:r w:rsidRPr="008D38F6">
              <w:rPr>
                <w:rFonts w:ascii="Tahoma" w:hAnsi="Tahoma" w:cs="Tahoma"/>
                <w:sz w:val="18"/>
                <w:szCs w:val="18"/>
                <w:lang w:val="pt-BR"/>
              </w:rPr>
              <w:t>Acesso e resposta rápidos da autoridade de controle de alterações</w:t>
            </w:r>
          </w:p>
          <w:p w:rsidR="00023FE7" w:rsidRPr="007E2720" w:rsidRDefault="00023FE7" w:rsidP="0027028A">
            <w:pPr>
              <w:pStyle w:val="AppendixBodyText"/>
              <w:numPr>
                <w:ilvl w:val="0"/>
                <w:numId w:val="2"/>
              </w:numPr>
              <w:tabs>
                <w:tab w:val="clear" w:pos="1440"/>
              </w:tabs>
              <w:ind w:left="432"/>
              <w:rPr>
                <w:rFonts w:ascii="Tahoma" w:hAnsi="Tahoma" w:cs="Tahoma"/>
                <w:sz w:val="18"/>
                <w:szCs w:val="18"/>
              </w:rPr>
            </w:pPr>
            <w:r w:rsidRPr="007E2720">
              <w:rPr>
                <w:rFonts w:ascii="Tahoma" w:hAnsi="Tahoma" w:cs="Tahoma"/>
                <w:sz w:val="18"/>
                <w:szCs w:val="18"/>
              </w:rPr>
              <w:t>Notificação à gerência</w:t>
            </w:r>
          </w:p>
        </w:tc>
      </w:tr>
      <w:tr w:rsidR="00023FE7" w:rsidRPr="00B06414" w:rsidTr="00FE2B0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7E2720" w:rsidRDefault="00023FE7">
            <w:pPr>
              <w:pStyle w:val="AppendixBodyText"/>
              <w:rPr>
                <w:rFonts w:ascii="Tahoma" w:hAnsi="Tahoma" w:cs="Tahoma"/>
                <w:sz w:val="18"/>
                <w:szCs w:val="18"/>
              </w:rPr>
            </w:pPr>
            <w:r w:rsidRPr="007E2720">
              <w:rPr>
                <w:rFonts w:ascii="Tahoma" w:hAnsi="Tahoma" w:cs="Tahoma"/>
                <w:sz w:val="18"/>
                <w:szCs w:val="18"/>
              </w:rPr>
              <w:t xml:space="preserve">B </w:t>
            </w:r>
            <w:r w:rsidR="00FE2B0B" w:rsidRPr="007E2720">
              <w:rPr>
                <w:rFonts w:ascii="Tahoma" w:hAnsi="Tahoma" w:cs="Tahoma"/>
                <w:sz w:val="18"/>
                <w:szCs w:val="18"/>
              </w:rPr>
              <w:br/>
            </w:r>
            <w:r w:rsidRPr="007E2720">
              <w:rPr>
                <w:rFonts w:ascii="Tahoma" w:hAnsi="Tahoma" w:cs="Tahoma"/>
                <w:sz w:val="18"/>
                <w:szCs w:val="18"/>
              </w:rPr>
              <w:t xml:space="preserve">Solicitação por telefone </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7E2720" w:rsidRDefault="00023FE7" w:rsidP="0027028A">
            <w:pPr>
              <w:pStyle w:val="AppendixBodyText"/>
              <w:numPr>
                <w:ilvl w:val="0"/>
                <w:numId w:val="2"/>
              </w:numPr>
              <w:tabs>
                <w:tab w:val="clear" w:pos="1440"/>
                <w:tab w:val="num" w:pos="612"/>
              </w:tabs>
              <w:ind w:left="612"/>
              <w:rPr>
                <w:sz w:val="18"/>
                <w:szCs w:val="18"/>
              </w:rPr>
            </w:pPr>
            <w:r w:rsidRPr="007E2720">
              <w:rPr>
                <w:rFonts w:ascii="Tahoma" w:hAnsi="Tahoma" w:cs="Tahoma"/>
                <w:sz w:val="18"/>
                <w:szCs w:val="18"/>
              </w:rPr>
              <w:t xml:space="preserve">Impacto moderado nos negócios: </w:t>
            </w:r>
          </w:p>
          <w:p w:rsidR="00023FE7" w:rsidRPr="008D38F6"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8D38F6">
              <w:rPr>
                <w:rFonts w:ascii="Tahoma" w:hAnsi="Tahoma" w:cs="Tahoma"/>
                <w:sz w:val="18"/>
                <w:szCs w:val="18"/>
                <w:lang w:val="pt-BR"/>
              </w:rPr>
              <w:t>A empresa do cliente tem uma perda ou degradação moderada dos serviços, mas o trabalho pode razoavelmente continuar, mesmo que de maneira prejudicada.</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8D38F6" w:rsidRDefault="00023FE7" w:rsidP="0027028A">
            <w:pPr>
              <w:pStyle w:val="AppendixBodyText"/>
              <w:numPr>
                <w:ilvl w:val="0"/>
                <w:numId w:val="2"/>
              </w:numPr>
              <w:tabs>
                <w:tab w:val="num" w:pos="522"/>
              </w:tabs>
              <w:ind w:left="522"/>
              <w:rPr>
                <w:sz w:val="18"/>
                <w:szCs w:val="18"/>
                <w:lang w:val="pt-BR"/>
              </w:rPr>
            </w:pPr>
            <w:r w:rsidRPr="008D38F6">
              <w:rPr>
                <w:rFonts w:ascii="Tahoma" w:hAnsi="Tahoma" w:cs="Tahoma"/>
                <w:sz w:val="18"/>
                <w:szCs w:val="18"/>
                <w:lang w:val="pt-BR"/>
              </w:rPr>
              <w:t>Resposta à 1</w:t>
            </w:r>
            <w:r w:rsidRPr="008D38F6">
              <w:rPr>
                <w:rFonts w:ascii="Tahoma" w:hAnsi="Tahoma" w:cs="Tahoma"/>
                <w:sz w:val="18"/>
                <w:szCs w:val="18"/>
                <w:vertAlign w:val="superscript"/>
                <w:lang w:val="pt-BR"/>
              </w:rPr>
              <w:t>a</w:t>
            </w:r>
            <w:r w:rsidRPr="008D38F6">
              <w:rPr>
                <w:rFonts w:ascii="Tahoma" w:hAnsi="Tahoma" w:cs="Tahoma"/>
                <w:sz w:val="18"/>
                <w:szCs w:val="18"/>
                <w:lang w:val="pt-BR"/>
              </w:rPr>
              <w:t xml:space="preserve"> chamada em 4 horas ou menos, com base na oferta de suporte</w:t>
            </w:r>
          </w:p>
          <w:p w:rsidR="00023FE7" w:rsidRPr="008D38F6" w:rsidRDefault="00023FE7" w:rsidP="0027028A">
            <w:pPr>
              <w:pStyle w:val="AppendixBodyText"/>
              <w:numPr>
                <w:ilvl w:val="0"/>
                <w:numId w:val="2"/>
              </w:numPr>
              <w:tabs>
                <w:tab w:val="num" w:pos="522"/>
              </w:tabs>
              <w:ind w:left="522"/>
              <w:rPr>
                <w:sz w:val="18"/>
                <w:szCs w:val="18"/>
                <w:lang w:val="pt-BR"/>
              </w:rPr>
            </w:pPr>
            <w:r w:rsidRPr="008D38F6">
              <w:rPr>
                <w:rFonts w:ascii="Tahoma" w:hAnsi="Tahoma" w:cs="Tahoma"/>
                <w:sz w:val="18"/>
                <w:szCs w:val="18"/>
                <w:lang w:val="pt-BR"/>
              </w:rPr>
              <w:t xml:space="preserve">Esforço apenas durante </w:t>
            </w:r>
            <w:r w:rsidRPr="008D38F6">
              <w:rPr>
                <w:rFonts w:ascii="Tahoma" w:hAnsi="Tahoma" w:cs="Tahoma"/>
                <w:bCs/>
                <w:sz w:val="18"/>
                <w:szCs w:val="18"/>
                <w:lang w:val="pt-BR"/>
              </w:rPr>
              <w:t>o</w:t>
            </w:r>
            <w:r w:rsidR="00554B85" w:rsidRPr="008D38F6">
              <w:rPr>
                <w:rFonts w:ascii="Tahoma" w:hAnsi="Tahoma" w:cs="Tahoma"/>
                <w:bCs/>
                <w:sz w:val="18"/>
                <w:szCs w:val="18"/>
                <w:lang w:val="pt-BR"/>
              </w:rPr>
              <w:t> </w:t>
            </w:r>
            <w:r w:rsidRPr="008D38F6">
              <w:rPr>
                <w:rFonts w:ascii="Tahoma" w:hAnsi="Tahoma" w:cs="Tahoma"/>
                <w:bCs/>
                <w:sz w:val="18"/>
                <w:szCs w:val="18"/>
                <w:lang w:val="pt-BR"/>
              </w:rPr>
              <w:t>Horário Comercial</w:t>
            </w:r>
            <w:r w:rsidRPr="008D38F6">
              <w:rPr>
                <w:rFonts w:ascii="Tahoma" w:hAnsi="Tahoma" w:cs="Tahoma"/>
                <w:sz w:val="18"/>
                <w:szCs w:val="18"/>
                <w:vertAlign w:val="superscript"/>
                <w:lang w:val="pt-BR"/>
              </w:rPr>
              <w:t>1</w:t>
            </w:r>
            <w:r w:rsidRPr="008D38F6">
              <w:rPr>
                <w:rFonts w:ascii="Tahoma" w:hAnsi="Tahoma" w:cs="Tahoma"/>
                <w:bCs/>
                <w:sz w:val="18"/>
                <w:szCs w:val="18"/>
                <w:lang w:val="pt-BR"/>
              </w:rPr>
              <w:t xml:space="preserve"> </w:t>
            </w:r>
          </w:p>
          <w:p w:rsidR="00023FE7" w:rsidRPr="008D38F6" w:rsidRDefault="00023FE7">
            <w:pPr>
              <w:pStyle w:val="AppendixBodyText"/>
              <w:tabs>
                <w:tab w:val="num" w:pos="522"/>
              </w:tabs>
              <w:ind w:left="522" w:hanging="360"/>
              <w:rPr>
                <w:rFonts w:ascii="Tahoma" w:hAnsi="Tahoma" w:cs="Tahoma"/>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23FE7" w:rsidRPr="008D38F6" w:rsidRDefault="00023FE7" w:rsidP="0027028A">
            <w:pPr>
              <w:pStyle w:val="AppendixBodyText"/>
              <w:numPr>
                <w:ilvl w:val="0"/>
                <w:numId w:val="2"/>
              </w:numPr>
              <w:tabs>
                <w:tab w:val="clear" w:pos="1440"/>
                <w:tab w:val="num" w:pos="432"/>
              </w:tabs>
              <w:ind w:left="432" w:hanging="270"/>
              <w:rPr>
                <w:sz w:val="18"/>
                <w:szCs w:val="18"/>
                <w:lang w:val="pt-BR"/>
              </w:rPr>
            </w:pPr>
            <w:r w:rsidRPr="008D38F6">
              <w:rPr>
                <w:rFonts w:ascii="Tahoma" w:hAnsi="Tahoma" w:cs="Tahoma"/>
                <w:sz w:val="18"/>
                <w:szCs w:val="18"/>
                <w:lang w:val="pt-BR"/>
              </w:rPr>
              <w:t>Alocação de recursos adequados para manter esforços contínuos no</w:t>
            </w:r>
            <w:r w:rsidR="00FB5496" w:rsidRPr="008D38F6">
              <w:rPr>
                <w:rFonts w:ascii="Tahoma" w:hAnsi="Tahoma" w:cs="Tahoma"/>
                <w:sz w:val="18"/>
                <w:szCs w:val="18"/>
                <w:lang w:val="pt-BR"/>
              </w:rPr>
              <w:t xml:space="preserve"> </w:t>
            </w:r>
            <w:r w:rsidRPr="008D38F6">
              <w:rPr>
                <w:rFonts w:ascii="Tahoma" w:hAnsi="Tahoma" w:cs="Tahoma"/>
                <w:sz w:val="18"/>
                <w:szCs w:val="18"/>
                <w:lang w:val="pt-BR"/>
              </w:rPr>
              <w:t>Horário Comercial</w:t>
            </w:r>
          </w:p>
          <w:p w:rsidR="00023FE7" w:rsidRPr="008D38F6" w:rsidRDefault="00023FE7" w:rsidP="007E2720">
            <w:pPr>
              <w:pStyle w:val="AppendixBodyText"/>
              <w:numPr>
                <w:ilvl w:val="0"/>
                <w:numId w:val="2"/>
              </w:numPr>
              <w:tabs>
                <w:tab w:val="clear" w:pos="1440"/>
                <w:tab w:val="num" w:pos="432"/>
              </w:tabs>
              <w:ind w:left="432" w:hanging="270"/>
              <w:rPr>
                <w:rFonts w:ascii="Tahoma" w:hAnsi="Tahoma" w:cs="Tahoma"/>
                <w:sz w:val="18"/>
                <w:szCs w:val="18"/>
                <w:lang w:val="pt-BR"/>
              </w:rPr>
            </w:pPr>
            <w:r w:rsidRPr="008D38F6">
              <w:rPr>
                <w:rFonts w:ascii="Tahoma" w:hAnsi="Tahoma" w:cs="Tahoma"/>
                <w:sz w:val="18"/>
                <w:szCs w:val="18"/>
                <w:lang w:val="pt-BR"/>
              </w:rPr>
              <w:t>Acesso e resposta da</w:t>
            </w:r>
            <w:r w:rsidR="007E2720" w:rsidRPr="008D38F6">
              <w:rPr>
                <w:rFonts w:ascii="Tahoma" w:hAnsi="Tahoma" w:cs="Tahoma"/>
                <w:sz w:val="18"/>
                <w:szCs w:val="18"/>
                <w:lang w:val="pt-BR"/>
              </w:rPr>
              <w:t> </w:t>
            </w:r>
            <w:r w:rsidRPr="008D38F6">
              <w:rPr>
                <w:rFonts w:ascii="Tahoma" w:hAnsi="Tahoma" w:cs="Tahoma"/>
                <w:sz w:val="18"/>
                <w:szCs w:val="18"/>
                <w:lang w:val="pt-BR"/>
              </w:rPr>
              <w:t>autoridade de controle de</w:t>
            </w:r>
            <w:r w:rsidR="00554B85" w:rsidRPr="008D38F6">
              <w:rPr>
                <w:rFonts w:ascii="Tahoma" w:hAnsi="Tahoma" w:cs="Tahoma"/>
                <w:sz w:val="18"/>
                <w:szCs w:val="18"/>
                <w:lang w:val="pt-BR"/>
              </w:rPr>
              <w:t> </w:t>
            </w:r>
            <w:r w:rsidRPr="008D38F6">
              <w:rPr>
                <w:rFonts w:ascii="Tahoma" w:hAnsi="Tahoma" w:cs="Tahoma"/>
                <w:sz w:val="18"/>
                <w:szCs w:val="18"/>
                <w:lang w:val="pt-BR"/>
              </w:rPr>
              <w:t>alterações dentro de 4</w:t>
            </w:r>
            <w:r w:rsidR="00554B85" w:rsidRPr="008D38F6">
              <w:rPr>
                <w:rFonts w:ascii="Tahoma" w:hAnsi="Tahoma" w:cs="Tahoma"/>
                <w:sz w:val="18"/>
                <w:szCs w:val="18"/>
                <w:lang w:val="pt-BR"/>
              </w:rPr>
              <w:t> </w:t>
            </w:r>
            <w:r w:rsidRPr="008D38F6">
              <w:rPr>
                <w:rFonts w:ascii="Tahoma" w:hAnsi="Tahoma" w:cs="Tahoma"/>
                <w:sz w:val="18"/>
                <w:szCs w:val="18"/>
                <w:lang w:val="pt-BR"/>
              </w:rPr>
              <w:t>Horas Comerciais</w:t>
            </w:r>
          </w:p>
        </w:tc>
      </w:tr>
      <w:tr w:rsidR="00023FE7" w:rsidRPr="00B06414" w:rsidTr="00FE2B0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8D38F6" w:rsidRDefault="00023FE7">
            <w:pPr>
              <w:pStyle w:val="AppendixBodyText"/>
              <w:rPr>
                <w:rFonts w:ascii="Tahoma" w:hAnsi="Tahoma" w:cs="Tahoma"/>
                <w:sz w:val="18"/>
                <w:szCs w:val="18"/>
                <w:lang w:val="pt-BR"/>
              </w:rPr>
            </w:pPr>
            <w:r w:rsidRPr="008D38F6">
              <w:rPr>
                <w:rFonts w:ascii="Tahoma" w:hAnsi="Tahoma" w:cs="Tahoma"/>
                <w:sz w:val="18"/>
                <w:szCs w:val="18"/>
                <w:lang w:val="pt-BR"/>
              </w:rPr>
              <w:lastRenderedPageBreak/>
              <w:t xml:space="preserve">C </w:t>
            </w:r>
            <w:r w:rsidR="00FE2B0B" w:rsidRPr="008D38F6">
              <w:rPr>
                <w:rFonts w:ascii="Tahoma" w:hAnsi="Tahoma" w:cs="Tahoma"/>
                <w:sz w:val="18"/>
                <w:szCs w:val="18"/>
                <w:lang w:val="pt-BR"/>
              </w:rPr>
              <w:br/>
            </w:r>
            <w:r w:rsidRPr="008D38F6">
              <w:rPr>
                <w:rFonts w:ascii="Tahoma" w:hAnsi="Tahoma" w:cs="Tahoma"/>
                <w:sz w:val="18"/>
                <w:szCs w:val="18"/>
                <w:lang w:val="pt-BR"/>
              </w:rPr>
              <w:t>Solicitação por telefone ou pela Web</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416070" w:rsidRDefault="00023FE7" w:rsidP="0027028A">
            <w:pPr>
              <w:pStyle w:val="AppendixBodyText"/>
              <w:numPr>
                <w:ilvl w:val="0"/>
                <w:numId w:val="2"/>
              </w:numPr>
              <w:tabs>
                <w:tab w:val="clear" w:pos="1440"/>
                <w:tab w:val="num" w:pos="612"/>
              </w:tabs>
              <w:ind w:left="612"/>
            </w:pPr>
            <w:r w:rsidRPr="00416070">
              <w:rPr>
                <w:rFonts w:ascii="Tahoma" w:hAnsi="Tahoma" w:cs="Tahoma"/>
                <w:sz w:val="18"/>
                <w:szCs w:val="18"/>
              </w:rPr>
              <w:t xml:space="preserve">Impacto mínimo nos negócios: </w:t>
            </w:r>
          </w:p>
          <w:p w:rsidR="00023FE7" w:rsidRPr="008D38F6" w:rsidRDefault="00023FE7" w:rsidP="00B85BEE">
            <w:pPr>
              <w:pStyle w:val="AppendixBodyText"/>
              <w:numPr>
                <w:ilvl w:val="0"/>
                <w:numId w:val="2"/>
              </w:numPr>
              <w:tabs>
                <w:tab w:val="clear" w:pos="1440"/>
                <w:tab w:val="num" w:pos="612"/>
              </w:tabs>
              <w:ind w:left="612"/>
              <w:rPr>
                <w:rFonts w:ascii="Tahoma" w:hAnsi="Tahoma" w:cs="Tahoma"/>
                <w:sz w:val="18"/>
                <w:szCs w:val="18"/>
                <w:lang w:val="pt-BR"/>
              </w:rPr>
            </w:pPr>
            <w:r w:rsidRPr="008D38F6">
              <w:rPr>
                <w:rFonts w:ascii="Tahoma" w:hAnsi="Tahoma" w:cs="Tahoma"/>
                <w:sz w:val="18"/>
                <w:szCs w:val="18"/>
                <w:lang w:val="pt-BR"/>
              </w:rPr>
              <w:t>A empresa do cliente está funcionando de forma substancial, com poucos ou nenhum impedimento dos</w:t>
            </w:r>
            <w:r w:rsidR="00B85BEE" w:rsidRPr="008D38F6">
              <w:rPr>
                <w:rFonts w:ascii="Tahoma" w:hAnsi="Tahoma" w:cs="Tahoma"/>
                <w:sz w:val="18"/>
                <w:szCs w:val="18"/>
                <w:lang w:val="pt-BR"/>
              </w:rPr>
              <w:t> </w:t>
            </w:r>
            <w:r w:rsidRPr="008D38F6">
              <w:rPr>
                <w:rFonts w:ascii="Tahoma" w:hAnsi="Tahoma" w:cs="Tahoma"/>
                <w:sz w:val="18"/>
                <w:szCs w:val="18"/>
                <w:lang w:val="pt-BR"/>
              </w:rPr>
              <w:t>serviços.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8D38F6" w:rsidRDefault="00023FE7" w:rsidP="0027028A">
            <w:pPr>
              <w:pStyle w:val="AppendixBodyText"/>
              <w:numPr>
                <w:ilvl w:val="0"/>
                <w:numId w:val="2"/>
              </w:numPr>
              <w:tabs>
                <w:tab w:val="num" w:pos="522"/>
              </w:tabs>
              <w:ind w:left="522"/>
              <w:rPr>
                <w:lang w:val="pt-BR"/>
              </w:rPr>
            </w:pPr>
            <w:r w:rsidRPr="008D38F6">
              <w:rPr>
                <w:rFonts w:ascii="Tahoma" w:hAnsi="Tahoma" w:cs="Tahoma"/>
                <w:sz w:val="18"/>
                <w:szCs w:val="18"/>
                <w:lang w:val="pt-BR"/>
              </w:rPr>
              <w:t>1</w:t>
            </w:r>
            <w:r w:rsidRPr="008D38F6">
              <w:rPr>
                <w:rFonts w:ascii="Tahoma" w:hAnsi="Tahoma" w:cs="Tahoma"/>
                <w:sz w:val="18"/>
                <w:szCs w:val="18"/>
                <w:vertAlign w:val="superscript"/>
                <w:lang w:val="pt-BR"/>
              </w:rPr>
              <w:t>ª</w:t>
            </w:r>
            <w:r w:rsidRPr="008D38F6">
              <w:rPr>
                <w:rFonts w:ascii="Tahoma" w:hAnsi="Tahoma" w:cs="Tahoma"/>
                <w:sz w:val="18"/>
                <w:szCs w:val="18"/>
                <w:lang w:val="pt-BR"/>
              </w:rPr>
              <w:t xml:space="preserve"> resposta em 1 dia útil ou menos, com base na oferta de suporte</w:t>
            </w:r>
          </w:p>
          <w:p w:rsidR="00023FE7" w:rsidRPr="008D38F6" w:rsidRDefault="00023FE7" w:rsidP="0027028A">
            <w:pPr>
              <w:pStyle w:val="AppendixBodyText"/>
              <w:numPr>
                <w:ilvl w:val="0"/>
                <w:numId w:val="2"/>
              </w:numPr>
              <w:tabs>
                <w:tab w:val="num" w:pos="522"/>
              </w:tabs>
              <w:ind w:left="522"/>
              <w:rPr>
                <w:lang w:val="pt-BR"/>
              </w:rPr>
            </w:pPr>
            <w:r w:rsidRPr="008D38F6">
              <w:rPr>
                <w:rFonts w:ascii="Tahoma" w:hAnsi="Tahoma" w:cs="Tahoma"/>
                <w:sz w:val="18"/>
                <w:szCs w:val="18"/>
                <w:lang w:val="pt-BR"/>
              </w:rPr>
              <w:t>Esforço apenas durante</w:t>
            </w:r>
            <w:r w:rsidRPr="008D38F6">
              <w:rPr>
                <w:rFonts w:ascii="Tahoma" w:hAnsi="Tahoma" w:cs="Tahoma"/>
                <w:bCs/>
                <w:sz w:val="18"/>
                <w:szCs w:val="18"/>
                <w:lang w:val="pt-BR"/>
              </w:rPr>
              <w:t xml:space="preserve"> o</w:t>
            </w:r>
            <w:r w:rsidR="00554B85" w:rsidRPr="008D38F6">
              <w:rPr>
                <w:rFonts w:ascii="Tahoma" w:hAnsi="Tahoma" w:cs="Tahoma"/>
                <w:bCs/>
                <w:sz w:val="18"/>
                <w:szCs w:val="18"/>
                <w:lang w:val="pt-BR"/>
              </w:rPr>
              <w:t> </w:t>
            </w:r>
            <w:r w:rsidRPr="008D38F6">
              <w:rPr>
                <w:rFonts w:ascii="Tahoma" w:hAnsi="Tahoma" w:cs="Tahoma"/>
                <w:bCs/>
                <w:sz w:val="18"/>
                <w:szCs w:val="18"/>
                <w:lang w:val="pt-BR"/>
              </w:rPr>
              <w:t>Horário Comercial</w:t>
            </w:r>
          </w:p>
          <w:p w:rsidR="00023FE7" w:rsidRPr="008D38F6" w:rsidRDefault="00023FE7">
            <w:pPr>
              <w:pStyle w:val="AppendixBodyText"/>
              <w:tabs>
                <w:tab w:val="num" w:pos="522"/>
              </w:tabs>
              <w:ind w:left="522" w:hanging="360"/>
              <w:rPr>
                <w:rFonts w:ascii="Tahoma" w:hAnsi="Tahoma" w:cs="Tahoma"/>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023FE7" w:rsidRPr="008D38F6" w:rsidRDefault="00023FE7" w:rsidP="0027028A">
            <w:pPr>
              <w:pStyle w:val="AppendixBodyText"/>
              <w:numPr>
                <w:ilvl w:val="0"/>
                <w:numId w:val="2"/>
              </w:numPr>
              <w:tabs>
                <w:tab w:val="clear" w:pos="1440"/>
                <w:tab w:val="num" w:pos="432"/>
              </w:tabs>
              <w:ind w:left="432"/>
              <w:rPr>
                <w:lang w:val="pt-BR"/>
              </w:rPr>
            </w:pPr>
            <w:r w:rsidRPr="008D38F6">
              <w:rPr>
                <w:rFonts w:ascii="Tahoma" w:hAnsi="Tahoma" w:cs="Tahoma"/>
                <w:sz w:val="18"/>
                <w:szCs w:val="18"/>
                <w:lang w:val="pt-BR"/>
              </w:rPr>
              <w:t>Informações de contato precisas sobre o proprietário do caso</w:t>
            </w:r>
          </w:p>
          <w:p w:rsidR="00023FE7" w:rsidRPr="008D38F6" w:rsidRDefault="00023FE7" w:rsidP="00B85BEE">
            <w:pPr>
              <w:pStyle w:val="AppendixBodyText"/>
              <w:numPr>
                <w:ilvl w:val="0"/>
                <w:numId w:val="2"/>
              </w:numPr>
              <w:tabs>
                <w:tab w:val="clear" w:pos="1440"/>
                <w:tab w:val="num" w:pos="432"/>
              </w:tabs>
              <w:ind w:left="432"/>
              <w:rPr>
                <w:rFonts w:ascii="Tahoma" w:hAnsi="Tahoma" w:cs="Tahoma"/>
                <w:sz w:val="18"/>
                <w:szCs w:val="18"/>
                <w:lang w:val="pt-BR"/>
              </w:rPr>
            </w:pPr>
            <w:r w:rsidRPr="008D38F6">
              <w:rPr>
                <w:rFonts w:ascii="Tahoma" w:hAnsi="Tahoma" w:cs="Tahoma"/>
                <w:sz w:val="18"/>
                <w:szCs w:val="18"/>
                <w:lang w:val="pt-BR"/>
              </w:rPr>
              <w:t>Resposta dentro de 1</w:t>
            </w:r>
            <w:r w:rsidR="00B85BEE" w:rsidRPr="008D38F6">
              <w:rPr>
                <w:rFonts w:ascii="Tahoma" w:hAnsi="Tahoma" w:cs="Tahoma"/>
                <w:sz w:val="18"/>
                <w:szCs w:val="18"/>
                <w:lang w:val="pt-BR"/>
              </w:rPr>
              <w:t> </w:t>
            </w:r>
            <w:r w:rsidRPr="008D38F6">
              <w:rPr>
                <w:rFonts w:ascii="Tahoma" w:hAnsi="Tahoma" w:cs="Tahoma"/>
                <w:sz w:val="18"/>
                <w:szCs w:val="18"/>
                <w:lang w:val="pt-BR"/>
              </w:rPr>
              <w:t>dia</w:t>
            </w:r>
            <w:r w:rsidR="00B85BEE" w:rsidRPr="008D38F6">
              <w:rPr>
                <w:rFonts w:ascii="Tahoma" w:hAnsi="Tahoma" w:cs="Tahoma"/>
                <w:sz w:val="18"/>
                <w:szCs w:val="18"/>
                <w:lang w:val="pt-BR"/>
              </w:rPr>
              <w:t> </w:t>
            </w:r>
            <w:r w:rsidRPr="008D38F6">
              <w:rPr>
                <w:rFonts w:ascii="Tahoma" w:hAnsi="Tahoma" w:cs="Tahoma"/>
                <w:sz w:val="18"/>
                <w:szCs w:val="18"/>
                <w:lang w:val="pt-BR"/>
              </w:rPr>
              <w:t>útil</w:t>
            </w:r>
          </w:p>
        </w:tc>
      </w:tr>
    </w:tbl>
    <w:p w:rsidR="00023FE7" w:rsidRPr="008D38F6" w:rsidRDefault="00023FE7">
      <w:pPr>
        <w:pStyle w:val="AppendixBodyText"/>
        <w:ind w:left="90" w:right="2160"/>
        <w:rPr>
          <w:lang w:val="pt-BR"/>
        </w:rPr>
      </w:pPr>
      <w:r w:rsidRPr="008D38F6">
        <w:rPr>
          <w:rFonts w:ascii="Tahoma" w:hAnsi="Tahoma" w:cs="Tahoma"/>
          <w:i/>
          <w:sz w:val="16"/>
          <w:szCs w:val="16"/>
          <w:vertAlign w:val="superscript"/>
          <w:lang w:val="pt-BR"/>
        </w:rPr>
        <w:t>1</w:t>
      </w:r>
      <w:r w:rsidRPr="008D38F6">
        <w:rPr>
          <w:rFonts w:ascii="Tahoma" w:hAnsi="Tahoma" w:cs="Tahoma"/>
          <w:i/>
          <w:sz w:val="16"/>
          <w:szCs w:val="16"/>
          <w:lang w:val="pt-BR"/>
        </w:rPr>
        <w:t xml:space="preserve"> Contate um representante da Microsoft para verificar o horário comercial local.</w:t>
      </w:r>
    </w:p>
    <w:p w:rsidR="00023FE7" w:rsidRPr="008D38F6" w:rsidRDefault="00023FE7">
      <w:pPr>
        <w:pStyle w:val="AppendixBodyText"/>
        <w:ind w:left="90" w:right="2160"/>
        <w:rPr>
          <w:lang w:val="pt-BR"/>
        </w:rPr>
      </w:pPr>
      <w:r w:rsidRPr="008D38F6">
        <w:rPr>
          <w:rFonts w:ascii="Tahoma" w:hAnsi="Tahoma" w:cs="Tahoma"/>
          <w:i/>
          <w:sz w:val="16"/>
          <w:szCs w:val="16"/>
          <w:vertAlign w:val="superscript"/>
          <w:lang w:val="pt-BR"/>
        </w:rPr>
        <w:t>2</w:t>
      </w:r>
      <w:r w:rsidRPr="008D38F6">
        <w:rPr>
          <w:rFonts w:ascii="Tahoma" w:hAnsi="Tahoma" w:cs="Tahoma"/>
          <w:i/>
          <w:sz w:val="16"/>
          <w:szCs w:val="16"/>
          <w:lang w:val="pt-BR"/>
        </w:rPr>
        <w:t xml:space="preserve"> Pode ser necessário reduzir o nível de severidade se o cliente não puder fornecer os recursos ou as respostas adequadas para darmos continuidade aos esforços de resolução do problema.</w:t>
      </w:r>
    </w:p>
    <w:p w:rsidR="00023FE7" w:rsidRPr="008D38F6" w:rsidRDefault="00023FE7" w:rsidP="00F42FB8">
      <w:pPr>
        <w:pStyle w:val="AppendixBodyText"/>
        <w:spacing w:after="0"/>
        <w:ind w:right="2160"/>
        <w:rPr>
          <w:rFonts w:ascii="Tahoma" w:hAnsi="Tahoma" w:cs="Tahoma"/>
          <w:sz w:val="18"/>
          <w:szCs w:val="18"/>
          <w:lang w:val="pt-BR"/>
        </w:rPr>
      </w:pPr>
    </w:p>
    <w:p w:rsidR="00023FE7" w:rsidRPr="008D38F6" w:rsidRDefault="00023FE7" w:rsidP="00F42FB8">
      <w:pPr>
        <w:pStyle w:val="AppendixBodyText"/>
        <w:spacing w:after="0"/>
        <w:rPr>
          <w:lang w:val="pt-BR"/>
        </w:rPr>
      </w:pPr>
      <w:r w:rsidRPr="008D38F6">
        <w:rPr>
          <w:rFonts w:ascii="Tahoma" w:hAnsi="Tahoma" w:cs="Tahoma"/>
          <w:bCs/>
          <w:sz w:val="18"/>
          <w:szCs w:val="18"/>
          <w:lang w:val="pt-BR"/>
        </w:rPr>
        <w:t>Os clientes podem ser solicitados a executar atividades de determinação e resolução do problema, conforme solicitado por nós.</w:t>
      </w:r>
      <w:r w:rsidR="00FB5496" w:rsidRPr="008D38F6">
        <w:rPr>
          <w:rFonts w:ascii="Tahoma" w:hAnsi="Tahoma" w:cs="Tahoma"/>
          <w:bCs/>
          <w:sz w:val="18"/>
          <w:szCs w:val="18"/>
          <w:lang w:val="pt-BR"/>
        </w:rPr>
        <w:t xml:space="preserve"> </w:t>
      </w:r>
      <w:r w:rsidRPr="008D38F6">
        <w:rPr>
          <w:rFonts w:ascii="Tahoma" w:hAnsi="Tahoma" w:cs="Tahoma"/>
          <w:bCs/>
          <w:sz w:val="18"/>
          <w:szCs w:val="18"/>
          <w:lang w:val="pt-BR"/>
        </w:rPr>
        <w:t>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w:t>
      </w:r>
      <w:r w:rsidR="00B85BEE" w:rsidRPr="008D38F6">
        <w:rPr>
          <w:rFonts w:ascii="Tahoma" w:hAnsi="Tahoma" w:cs="Tahoma"/>
          <w:bCs/>
          <w:sz w:val="18"/>
          <w:szCs w:val="18"/>
          <w:lang w:val="pt-BR"/>
        </w:rPr>
        <w:t> </w:t>
      </w:r>
      <w:r w:rsidR="007E2720" w:rsidRPr="008D38F6">
        <w:rPr>
          <w:rFonts w:ascii="Tahoma" w:hAnsi="Tahoma" w:cs="Tahoma"/>
          <w:bCs/>
          <w:sz w:val="18"/>
          <w:szCs w:val="18"/>
          <w:lang w:val="pt-BR"/>
        </w:rPr>
        <w:t>processos.</w:t>
      </w:r>
    </w:p>
    <w:p w:rsidR="00077CE5" w:rsidRPr="008D38F6" w:rsidRDefault="00077CE5" w:rsidP="00F42FB8">
      <w:pPr>
        <w:pStyle w:val="AppendixBodyText"/>
        <w:spacing w:after="0"/>
        <w:rPr>
          <w:rFonts w:ascii="Tahoma" w:hAnsi="Tahoma" w:cs="Tahoma"/>
          <w:sz w:val="18"/>
          <w:szCs w:val="18"/>
          <w:lang w:val="pt-BR"/>
        </w:rPr>
      </w:pPr>
    </w:p>
    <w:p w:rsidR="00023FE7" w:rsidRPr="008D38F6" w:rsidRDefault="00023FE7" w:rsidP="00F42FB8">
      <w:pPr>
        <w:pStyle w:val="AppendixBodyText"/>
        <w:spacing w:after="0"/>
        <w:rPr>
          <w:lang w:val="pt-BR"/>
        </w:rPr>
      </w:pPr>
      <w:r w:rsidRPr="008D38F6">
        <w:rPr>
          <w:rFonts w:ascii="Tahoma" w:hAnsi="Tahoma" w:cs="Tahoma"/>
          <w:bCs/>
          <w:sz w:val="18"/>
          <w:szCs w:val="18"/>
          <w:lang w:val="pt-BR"/>
        </w:rPr>
        <w:t>Os clientes são responsáveis pela implementação de procedimentos necessários para proteger a integridade e</w:t>
      </w:r>
      <w:r w:rsidR="00B85BEE" w:rsidRPr="008D38F6">
        <w:rPr>
          <w:rFonts w:ascii="Tahoma" w:hAnsi="Tahoma" w:cs="Tahoma"/>
          <w:bCs/>
          <w:sz w:val="18"/>
          <w:szCs w:val="18"/>
          <w:lang w:val="pt-BR"/>
        </w:rPr>
        <w:t> </w:t>
      </w:r>
      <w:r w:rsidRPr="008D38F6">
        <w:rPr>
          <w:rFonts w:ascii="Tahoma" w:hAnsi="Tahoma" w:cs="Tahoma"/>
          <w:bCs/>
          <w:sz w:val="18"/>
          <w:szCs w:val="18"/>
          <w:lang w:val="pt-BR"/>
        </w:rPr>
        <w:t>a</w:t>
      </w:r>
      <w:r w:rsidR="00B85BEE" w:rsidRPr="008D38F6">
        <w:rPr>
          <w:rFonts w:ascii="Tahoma" w:hAnsi="Tahoma" w:cs="Tahoma"/>
          <w:bCs/>
          <w:sz w:val="18"/>
          <w:szCs w:val="18"/>
          <w:lang w:val="pt-BR"/>
        </w:rPr>
        <w:t> </w:t>
      </w:r>
      <w:r w:rsidRPr="008D38F6">
        <w:rPr>
          <w:rFonts w:ascii="Tahoma" w:hAnsi="Tahoma" w:cs="Tahoma"/>
          <w:bCs/>
          <w:sz w:val="18"/>
          <w:szCs w:val="18"/>
          <w:lang w:val="pt-BR"/>
        </w:rPr>
        <w:t>segurança de seu software e seus dados contra o acesso não autorizado e por reconstruir arquivos perdidos ou</w:t>
      </w:r>
      <w:r w:rsidR="00B85BEE" w:rsidRPr="008D38F6">
        <w:rPr>
          <w:rFonts w:ascii="Tahoma" w:hAnsi="Tahoma" w:cs="Tahoma"/>
          <w:bCs/>
          <w:sz w:val="18"/>
          <w:szCs w:val="18"/>
          <w:lang w:val="pt-BR"/>
        </w:rPr>
        <w:t> </w:t>
      </w:r>
      <w:r w:rsidRPr="008D38F6">
        <w:rPr>
          <w:rFonts w:ascii="Tahoma" w:hAnsi="Tahoma" w:cs="Tahoma"/>
          <w:bCs/>
          <w:sz w:val="18"/>
          <w:szCs w:val="18"/>
          <w:lang w:val="pt-BR"/>
        </w:rPr>
        <w:t>alterados em decorrência de falhas catastróficas.</w:t>
      </w:r>
    </w:p>
    <w:p w:rsidR="00077CE5" w:rsidRPr="008D38F6" w:rsidRDefault="00077CE5" w:rsidP="00F42FB8">
      <w:pPr>
        <w:pStyle w:val="AppendixBodyText"/>
        <w:spacing w:after="0"/>
        <w:rPr>
          <w:rFonts w:ascii="Tahoma" w:hAnsi="Tahoma" w:cs="Tahoma"/>
          <w:sz w:val="18"/>
          <w:szCs w:val="18"/>
          <w:lang w:val="pt-BR"/>
        </w:rPr>
      </w:pPr>
    </w:p>
    <w:p w:rsidR="00023FE7" w:rsidRPr="008D38F6" w:rsidRDefault="00023FE7" w:rsidP="007E2720">
      <w:pPr>
        <w:pStyle w:val="AppendixBodyText"/>
        <w:spacing w:after="0"/>
        <w:rPr>
          <w:lang w:val="pt-BR"/>
        </w:rPr>
      </w:pPr>
      <w:r w:rsidRPr="008D38F6">
        <w:rPr>
          <w:rFonts w:ascii="Tahoma" w:hAnsi="Tahoma" w:cs="Tahoma"/>
          <w:bCs/>
          <w:sz w:val="18"/>
          <w:szCs w:val="18"/>
          <w:lang w:val="pt-BR"/>
        </w:rPr>
        <w:t>Esse benefício de suporte está vinculado ao investimento de SA, e não à versão. Os clientes podem adquirir a versão</w:t>
      </w:r>
      <w:r w:rsidR="00B85BEE" w:rsidRPr="008D38F6">
        <w:rPr>
          <w:rFonts w:ascii="Tahoma" w:hAnsi="Tahoma" w:cs="Tahoma"/>
          <w:bCs/>
          <w:sz w:val="18"/>
          <w:szCs w:val="18"/>
          <w:lang w:val="pt-BR"/>
        </w:rPr>
        <w:t> </w:t>
      </w:r>
      <w:r w:rsidRPr="008D38F6">
        <w:rPr>
          <w:rFonts w:ascii="Tahoma" w:hAnsi="Tahoma" w:cs="Tahoma"/>
          <w:bCs/>
          <w:sz w:val="18"/>
          <w:szCs w:val="18"/>
          <w:lang w:val="pt-BR"/>
        </w:rPr>
        <w:t>mais recente a fim de usar uma versão mais antiga com direitos de downgrade, mas estarão qualificados para</w:t>
      </w:r>
      <w:r w:rsidR="00B85BEE" w:rsidRPr="008D38F6">
        <w:rPr>
          <w:rFonts w:ascii="Tahoma" w:hAnsi="Tahoma" w:cs="Tahoma"/>
          <w:bCs/>
          <w:sz w:val="18"/>
          <w:szCs w:val="18"/>
          <w:lang w:val="pt-BR"/>
        </w:rPr>
        <w:t> </w:t>
      </w:r>
      <w:r w:rsidRPr="008D38F6">
        <w:rPr>
          <w:rFonts w:ascii="Tahoma" w:hAnsi="Tahoma" w:cs="Tahoma"/>
          <w:bCs/>
          <w:sz w:val="18"/>
          <w:szCs w:val="18"/>
          <w:lang w:val="pt-BR"/>
        </w:rPr>
        <w:t>o suporte a esse produto apenas se ele estiver listado como um produto com suporte no site de ciclo de vida</w:t>
      </w:r>
      <w:r w:rsidR="007E2720" w:rsidRPr="008D38F6">
        <w:rPr>
          <w:rFonts w:ascii="Tahoma" w:hAnsi="Tahoma" w:cs="Tahoma"/>
          <w:bCs/>
          <w:sz w:val="18"/>
          <w:szCs w:val="18"/>
          <w:lang w:val="pt-BR"/>
        </w:rPr>
        <w:t> </w:t>
      </w:r>
      <w:r w:rsidRPr="008D38F6">
        <w:rPr>
          <w:rFonts w:ascii="Tahoma" w:hAnsi="Tahoma" w:cs="Tahoma"/>
          <w:bCs/>
          <w:sz w:val="18"/>
          <w:szCs w:val="18"/>
          <w:lang w:val="pt-BR"/>
        </w:rPr>
        <w:t>de</w:t>
      </w:r>
      <w:r w:rsidR="00B85BEE" w:rsidRPr="008D38F6">
        <w:rPr>
          <w:rFonts w:ascii="Tahoma" w:hAnsi="Tahoma" w:cs="Tahoma"/>
          <w:bCs/>
          <w:sz w:val="18"/>
          <w:szCs w:val="18"/>
          <w:lang w:val="pt-BR"/>
        </w:rPr>
        <w:t> </w:t>
      </w:r>
      <w:r w:rsidRPr="008D38F6">
        <w:rPr>
          <w:rFonts w:ascii="Tahoma" w:hAnsi="Tahoma" w:cs="Tahoma"/>
          <w:bCs/>
          <w:sz w:val="18"/>
          <w:szCs w:val="18"/>
          <w:lang w:val="pt-BR"/>
        </w:rPr>
        <w:t>produtos da Microsoft.</w:t>
      </w:r>
      <w:r w:rsidR="00FB5496" w:rsidRPr="008D38F6">
        <w:rPr>
          <w:rFonts w:ascii="Tahoma" w:hAnsi="Tahoma" w:cs="Tahoma"/>
          <w:bCs/>
          <w:sz w:val="18"/>
          <w:szCs w:val="18"/>
          <w:lang w:val="pt-BR"/>
        </w:rPr>
        <w:t xml:space="preserve"> </w:t>
      </w:r>
      <w:r w:rsidRPr="008D38F6">
        <w:rPr>
          <w:rFonts w:ascii="Tahoma" w:hAnsi="Tahoma" w:cs="Tahoma"/>
          <w:bCs/>
          <w:sz w:val="18"/>
          <w:szCs w:val="18"/>
          <w:lang w:val="pt-BR"/>
        </w:rPr>
        <w:t xml:space="preserve">O site atual de ciclo de vida de produtos da Microsoft é o seguinte </w:t>
      </w:r>
      <w:hyperlink r:id="rId31" w:history="1">
        <w:r w:rsidRPr="008D38F6">
          <w:rPr>
            <w:rStyle w:val="Hyperlink"/>
            <w:rFonts w:ascii="Tahoma" w:hAnsi="Tahoma" w:cs="Tahoma"/>
            <w:bCs/>
            <w:sz w:val="18"/>
            <w:szCs w:val="18"/>
            <w:lang w:val="pt-BR"/>
          </w:rPr>
          <w:t>http://support.microsoft.com/common/international.aspx?rdpath=dm;en-us;lifecycle</w:t>
        </w:r>
      </w:hyperlink>
      <w:r w:rsidR="007E2720" w:rsidRPr="008D38F6">
        <w:rPr>
          <w:rFonts w:ascii="Tahoma" w:hAnsi="Tahoma" w:cs="Tahoma"/>
          <w:bCs/>
          <w:sz w:val="18"/>
          <w:szCs w:val="18"/>
          <w:lang w:val="pt-BR"/>
        </w:rPr>
        <w:t>.</w:t>
      </w:r>
    </w:p>
    <w:p w:rsidR="00023FE7" w:rsidRPr="008D38F6" w:rsidRDefault="00023FE7" w:rsidP="00F42FB8">
      <w:pPr>
        <w:pStyle w:val="AppendixBodyText"/>
        <w:spacing w:after="0"/>
        <w:rPr>
          <w:rFonts w:ascii="Tahoma" w:hAnsi="Tahoma" w:cs="Tahoma"/>
          <w:sz w:val="18"/>
          <w:szCs w:val="18"/>
          <w:lang w:val="pt-BR"/>
        </w:rPr>
      </w:pPr>
    </w:p>
    <w:p w:rsidR="00077CE5" w:rsidRPr="008D38F6" w:rsidRDefault="00AF539A" w:rsidP="00DA2788">
      <w:pPr>
        <w:pStyle w:val="AppendixBodyText"/>
        <w:rPr>
          <w:lang w:val="pt-BR"/>
        </w:rPr>
      </w:pPr>
      <w:r w:rsidRPr="008D38F6">
        <w:rPr>
          <w:rFonts w:ascii="Tahoma" w:hAnsi="Tahoma" w:cs="Tahoma"/>
          <w:b/>
          <w:bCs/>
          <w:color w:val="000000"/>
          <w:sz w:val="18"/>
          <w:szCs w:val="18"/>
          <w:lang w:val="pt-BR"/>
        </w:rPr>
        <w:t>Conversão de Incidentes do Suporte para Resolução de Problemas 24x7 do Software Assurance em Serviços de Suporte Premier</w:t>
      </w:r>
    </w:p>
    <w:p w:rsidR="00077CE5" w:rsidRPr="008D38F6" w:rsidRDefault="00AF539A" w:rsidP="00DA2788">
      <w:pPr>
        <w:pStyle w:val="AppendixBodyText"/>
        <w:spacing w:after="0"/>
        <w:rPr>
          <w:lang w:val="pt-BR"/>
        </w:rPr>
      </w:pPr>
      <w:r w:rsidRPr="008D38F6">
        <w:rPr>
          <w:rFonts w:ascii="Tahoma" w:hAnsi="Tahoma" w:cs="Tahoma"/>
          <w:color w:val="000000"/>
          <w:sz w:val="18"/>
          <w:szCs w:val="18"/>
          <w:lang w:val="pt-BR"/>
        </w:rPr>
        <w:t>Os clientes podem optar por converter os Incidentes de Suporte para Resolução de Problemas 24x7 do Software Assurance (Incidentes de PRS do SA ou “SAB”) em:</w:t>
      </w:r>
    </w:p>
    <w:p w:rsidR="00077CE5" w:rsidRPr="008D38F6" w:rsidRDefault="00077CE5" w:rsidP="00DA2788">
      <w:pPr>
        <w:pStyle w:val="AppendixBodyText"/>
        <w:spacing w:after="0"/>
        <w:rPr>
          <w:rFonts w:ascii="Tahoma" w:hAnsi="Tahoma" w:cs="Tahoma"/>
          <w:sz w:val="18"/>
          <w:szCs w:val="18"/>
          <w:lang w:val="pt-BR"/>
        </w:rPr>
      </w:pPr>
    </w:p>
    <w:p w:rsidR="00AF539A" w:rsidRPr="008D38F6" w:rsidRDefault="00AF539A" w:rsidP="001C20C9">
      <w:pPr>
        <w:pStyle w:val="AppendixBodyText"/>
        <w:numPr>
          <w:ilvl w:val="0"/>
          <w:numId w:val="31"/>
        </w:numPr>
        <w:tabs>
          <w:tab w:val="left" w:pos="1440"/>
        </w:tabs>
        <w:ind w:left="1440"/>
        <w:rPr>
          <w:lang w:val="pt-BR"/>
        </w:rPr>
      </w:pPr>
      <w:r w:rsidRPr="008D38F6">
        <w:rPr>
          <w:rFonts w:ascii="Tahoma" w:hAnsi="Tahoma" w:cs="Tahoma"/>
          <w:color w:val="000000"/>
          <w:sz w:val="18"/>
          <w:szCs w:val="18"/>
          <w:lang w:val="pt-BR"/>
        </w:rPr>
        <w:t>Horas de Suporte para Resolução de Problemas (PRS) Premier</w:t>
      </w:r>
    </w:p>
    <w:p w:rsidR="00AF539A" w:rsidRPr="008D38F6" w:rsidRDefault="00AF539A" w:rsidP="001C20C9">
      <w:pPr>
        <w:pStyle w:val="AppendixBodyText"/>
        <w:numPr>
          <w:ilvl w:val="0"/>
          <w:numId w:val="31"/>
        </w:numPr>
        <w:tabs>
          <w:tab w:val="left" w:pos="1440"/>
        </w:tabs>
        <w:ind w:left="1440"/>
        <w:rPr>
          <w:lang w:val="pt-BR"/>
        </w:rPr>
      </w:pPr>
      <w:r w:rsidRPr="008D38F6">
        <w:rPr>
          <w:rFonts w:ascii="Tahoma" w:hAnsi="Tahoma" w:cs="Tahoma"/>
          <w:color w:val="000000"/>
          <w:sz w:val="18"/>
          <w:szCs w:val="18"/>
          <w:lang w:val="pt-BR"/>
        </w:rPr>
        <w:t>Horas de Engenheiro de Suporte Dedicado (DSE)</w:t>
      </w:r>
    </w:p>
    <w:p w:rsidR="00077CE5" w:rsidRPr="008D38F6" w:rsidRDefault="00077CE5" w:rsidP="00DA2788">
      <w:pPr>
        <w:pStyle w:val="AppendixBodyText"/>
        <w:tabs>
          <w:tab w:val="left" w:pos="1440"/>
        </w:tabs>
        <w:spacing w:after="0"/>
        <w:rPr>
          <w:rFonts w:ascii="Tahoma" w:hAnsi="Tahoma" w:cs="Tahoma"/>
          <w:sz w:val="18"/>
          <w:szCs w:val="18"/>
          <w:lang w:val="pt-BR"/>
        </w:rPr>
      </w:pPr>
    </w:p>
    <w:p w:rsidR="00AF539A" w:rsidRPr="008D38F6" w:rsidRDefault="00AF539A" w:rsidP="00F42FB8">
      <w:pPr>
        <w:rPr>
          <w:lang w:val="pt-BR"/>
        </w:rPr>
      </w:pPr>
      <w:r w:rsidRPr="008D38F6">
        <w:rPr>
          <w:rFonts w:cs="Tahoma"/>
          <w:color w:val="000000"/>
          <w:szCs w:val="18"/>
          <w:lang w:val="pt-BR"/>
        </w:rPr>
        <w:t>Esses serviços destinam-se ao uso consistente com seu plano de serviço Premier no momento da transferência. A</w:t>
      </w:r>
      <w:r w:rsidR="001D47EE" w:rsidRPr="008D38F6">
        <w:rPr>
          <w:rFonts w:cs="Tahoma"/>
          <w:color w:val="000000"/>
          <w:szCs w:val="18"/>
          <w:lang w:val="pt-BR"/>
        </w:rPr>
        <w:t> </w:t>
      </w:r>
      <w:r w:rsidRPr="008D38F6">
        <w:rPr>
          <w:rFonts w:cs="Tahoma"/>
          <w:color w:val="000000"/>
          <w:szCs w:val="18"/>
          <w:lang w:val="pt-BR"/>
        </w:rPr>
        <w:t>conversão baseia-se em um cálculo da taxa local que será fornecido pela Equipe de Contas Premier.</w:t>
      </w:r>
      <w:r w:rsidR="00FB5496" w:rsidRPr="008D38F6">
        <w:rPr>
          <w:rFonts w:cs="Tahoma"/>
          <w:color w:val="000000"/>
          <w:szCs w:val="18"/>
          <w:lang w:val="pt-BR"/>
        </w:rPr>
        <w:t xml:space="preserve"> </w:t>
      </w:r>
      <w:r w:rsidRPr="008D38F6">
        <w:rPr>
          <w:rFonts w:cs="Tahoma"/>
          <w:color w:val="000000"/>
          <w:szCs w:val="18"/>
          <w:lang w:val="pt-BR"/>
        </w:rPr>
        <w:t>Os clientes podem ser solicitados a comprar horas adicionais de Gerenciamento de Conta de Suporte antes de fazer a conversão dos incidentes de PRS do SA.</w:t>
      </w:r>
      <w:r w:rsidR="00FB5496" w:rsidRPr="008D38F6">
        <w:rPr>
          <w:rFonts w:cs="Tahoma"/>
          <w:color w:val="000000"/>
          <w:szCs w:val="18"/>
          <w:lang w:val="pt-BR"/>
        </w:rPr>
        <w:t xml:space="preserve"> </w:t>
      </w:r>
      <w:r w:rsidRPr="008D38F6">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00FB5496" w:rsidRPr="008D38F6">
        <w:rPr>
          <w:rFonts w:cs="Tahoma"/>
          <w:color w:val="000000"/>
          <w:szCs w:val="18"/>
          <w:lang w:val="pt-BR"/>
        </w:rPr>
        <w:t xml:space="preserve"> </w:t>
      </w:r>
      <w:r w:rsidRPr="008D38F6">
        <w:rPr>
          <w:rFonts w:cs="Tahoma"/>
          <w:color w:val="000000"/>
          <w:szCs w:val="18"/>
          <w:lang w:val="pt-BR"/>
        </w:rPr>
        <w:t>Uma vez convertidos, os incidentes não podem ser retornados ao benefício de SA de um cliente.</w:t>
      </w:r>
    </w:p>
    <w:p w:rsidR="00FE2B0B" w:rsidRPr="008D38F6" w:rsidRDefault="00FE2B0B" w:rsidP="00DA2788">
      <w:pPr>
        <w:pStyle w:val="AppendixBodyText"/>
        <w:rPr>
          <w:rFonts w:ascii="Tahoma" w:hAnsi="Tahoma" w:cs="Tahoma"/>
          <w:b/>
          <w:color w:val="000000"/>
          <w:sz w:val="18"/>
          <w:lang w:val="pt-BR"/>
        </w:rPr>
      </w:pPr>
    </w:p>
    <w:p w:rsidR="00077CE5" w:rsidRPr="008D38F6" w:rsidRDefault="00077CE5" w:rsidP="00DA2788">
      <w:pPr>
        <w:pStyle w:val="AppendixBodyText"/>
        <w:rPr>
          <w:lang w:val="pt-BR"/>
        </w:rPr>
      </w:pPr>
      <w:r w:rsidRPr="008D38F6">
        <w:rPr>
          <w:rFonts w:ascii="Tahoma" w:hAnsi="Tahoma" w:cs="Tahoma"/>
          <w:b/>
          <w:color w:val="000000"/>
          <w:sz w:val="18"/>
          <w:lang w:val="pt-BR"/>
        </w:rPr>
        <w:t>Provisões empresariais adicionais</w:t>
      </w:r>
    </w:p>
    <w:p w:rsidR="00023FE7" w:rsidRPr="008D38F6" w:rsidRDefault="00023FE7" w:rsidP="00F42FB8">
      <w:pPr>
        <w:pStyle w:val="AppendixBodyText"/>
        <w:spacing w:after="0"/>
        <w:rPr>
          <w:lang w:val="pt-BR"/>
        </w:rPr>
      </w:pPr>
      <w:r w:rsidRPr="008D38F6">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00FB5496" w:rsidRPr="008D38F6">
        <w:rPr>
          <w:rFonts w:ascii="Tahoma" w:hAnsi="Tahoma" w:cs="Tahoma"/>
          <w:sz w:val="18"/>
          <w:szCs w:val="18"/>
          <w:lang w:val="pt-BR"/>
        </w:rPr>
        <w:t xml:space="preserve"> </w:t>
      </w:r>
      <w:r w:rsidRPr="008D38F6">
        <w:rPr>
          <w:rFonts w:ascii="Tahoma" w:hAnsi="Tahoma" w:cs="Tahoma"/>
          <w:sz w:val="18"/>
          <w:szCs w:val="18"/>
          <w:lang w:val="pt-BR"/>
        </w:rPr>
        <w:t>Os gastos de cada registro ou contrato serão usados para determinar o prêmio do próprio registro ou contrato.</w:t>
      </w:r>
    </w:p>
    <w:p w:rsidR="00077CE5" w:rsidRPr="008D38F6" w:rsidRDefault="00077CE5" w:rsidP="00F42FB8">
      <w:pPr>
        <w:pStyle w:val="AppendixBodyText"/>
        <w:spacing w:after="0"/>
        <w:rPr>
          <w:rFonts w:ascii="Tahoma" w:hAnsi="Tahoma" w:cs="Tahoma"/>
          <w:sz w:val="18"/>
          <w:szCs w:val="18"/>
          <w:lang w:val="pt-BR"/>
        </w:rPr>
      </w:pPr>
    </w:p>
    <w:p w:rsidR="00023FE7" w:rsidRPr="008D38F6" w:rsidRDefault="00023FE7" w:rsidP="00F42FB8">
      <w:pPr>
        <w:pStyle w:val="AppendixBodyText"/>
        <w:tabs>
          <w:tab w:val="left" w:pos="1440"/>
        </w:tabs>
        <w:spacing w:after="0"/>
        <w:rPr>
          <w:lang w:val="pt-BR"/>
        </w:rPr>
      </w:pPr>
      <w:r w:rsidRPr="008D38F6">
        <w:rPr>
          <w:rFonts w:ascii="Tahoma" w:hAnsi="Tahoma" w:cs="Tahoma"/>
          <w:sz w:val="18"/>
          <w:szCs w:val="18"/>
          <w:lang w:val="pt-BR"/>
        </w:rPr>
        <w:t>A redução d</w:t>
      </w:r>
      <w:r w:rsidRPr="008D38F6">
        <w:rPr>
          <w:rFonts w:ascii="Tahoma" w:hAnsi="Tahoma" w:cs="Tahoma"/>
          <w:bCs/>
          <w:sz w:val="18"/>
          <w:szCs w:val="18"/>
          <w:lang w:val="pt-BR"/>
        </w:rPr>
        <w:t>e</w:t>
      </w:r>
      <w:r w:rsidRPr="008D38F6">
        <w:rPr>
          <w:rFonts w:ascii="Tahoma" w:hAnsi="Tahoma" w:cs="Tahoma"/>
          <w:sz w:val="18"/>
          <w:szCs w:val="18"/>
          <w:lang w:val="pt-BR"/>
        </w:rPr>
        <w:t xml:space="preserve"> Gastos de SA em decorrência de devoluções e outros ajustes de cobrança</w:t>
      </w:r>
      <w:r w:rsidRPr="008D38F6">
        <w:rPr>
          <w:rFonts w:ascii="Tahoma" w:hAnsi="Tahoma" w:cs="Tahoma"/>
          <w:bCs/>
          <w:sz w:val="18"/>
          <w:szCs w:val="18"/>
          <w:lang w:val="pt-BR"/>
        </w:rPr>
        <w:t>,</w:t>
      </w:r>
      <w:r w:rsidRPr="008D38F6">
        <w:rPr>
          <w:rFonts w:ascii="Tahoma" w:hAnsi="Tahoma" w:cs="Tahoma"/>
          <w:sz w:val="18"/>
          <w:szCs w:val="18"/>
          <w:lang w:val="pt-BR"/>
        </w:rPr>
        <w:t xml:space="preserve"> quando permitido, </w:t>
      </w:r>
      <w:r w:rsidRPr="008D38F6">
        <w:rPr>
          <w:rFonts w:ascii="Tahoma" w:hAnsi="Tahoma" w:cs="Tahoma"/>
          <w:bCs/>
          <w:sz w:val="18"/>
          <w:szCs w:val="18"/>
          <w:lang w:val="pt-BR"/>
        </w:rPr>
        <w:t>pode</w:t>
      </w:r>
      <w:r w:rsidRPr="008D38F6">
        <w:rPr>
          <w:rFonts w:ascii="Tahoma" w:hAnsi="Tahoma" w:cs="Tahoma"/>
          <w:sz w:val="18"/>
          <w:szCs w:val="18"/>
          <w:lang w:val="pt-BR"/>
        </w:rPr>
        <w:t xml:space="preserve"> resultar na perda de qualificação de Suporte ou de prêmios de incidentes por Telefone durante os períodos </w:t>
      </w:r>
      <w:r w:rsidR="007E2720" w:rsidRPr="008D38F6">
        <w:rPr>
          <w:rFonts w:ascii="Tahoma" w:hAnsi="Tahoma" w:cs="Tahoma"/>
          <w:sz w:val="18"/>
          <w:szCs w:val="18"/>
          <w:lang w:val="pt-BR"/>
        </w:rPr>
        <w:t>de premiação atuais ou futuros.</w:t>
      </w:r>
    </w:p>
    <w:p w:rsidR="0036654E" w:rsidRPr="008D38F6" w:rsidRDefault="0036654E" w:rsidP="00F42FB8">
      <w:pPr>
        <w:pStyle w:val="Heading3"/>
        <w:rPr>
          <w:rFonts w:ascii="Tahoma" w:hAnsi="Tahoma" w:cs="Tahoma"/>
          <w:b w:val="0"/>
          <w:sz w:val="18"/>
          <w:szCs w:val="18"/>
          <w:lang w:val="pt-BR"/>
        </w:rPr>
      </w:pPr>
    </w:p>
    <w:p w:rsidR="00FE2B0B" w:rsidRPr="008D38F6" w:rsidRDefault="00FE2B0B" w:rsidP="00FE2B0B">
      <w:pPr>
        <w:rPr>
          <w:lang w:val="pt-BR" w:eastAsia="x-none"/>
        </w:rPr>
      </w:pPr>
    </w:p>
    <w:p w:rsidR="00FE2B0B" w:rsidRPr="008D38F6" w:rsidRDefault="00FE2B0B" w:rsidP="00FE2B0B">
      <w:pPr>
        <w:rPr>
          <w:lang w:val="pt-BR" w:eastAsia="x-none"/>
        </w:rPr>
      </w:pPr>
    </w:p>
    <w:p w:rsidR="00613BBB" w:rsidRPr="00416070" w:rsidRDefault="00613BBB" w:rsidP="00F0652C">
      <w:pPr>
        <w:pStyle w:val="Heading3"/>
        <w:spacing w:after="60"/>
      </w:pPr>
      <w:bookmarkStart w:id="795" w:name="_Toc336338237"/>
      <w:bookmarkStart w:id="796" w:name="_Toc352234305"/>
      <w:r w:rsidRPr="00416070">
        <w:rPr>
          <w:rFonts w:ascii="Tahoma" w:hAnsi="Tahoma" w:cs="Tahoma"/>
          <w:sz w:val="18"/>
        </w:rPr>
        <w:lastRenderedPageBreak/>
        <w:t>Suporte para Resolução de Problemas 24x7 Ilimitado</w:t>
      </w:r>
      <w:bookmarkEnd w:id="795"/>
      <w:bookmarkEnd w:id="796"/>
    </w:p>
    <w:p w:rsidR="00A17E03" w:rsidRPr="008D38F6" w:rsidRDefault="00A17E03" w:rsidP="00F42FB8">
      <w:pPr>
        <w:jc w:val="both"/>
        <w:rPr>
          <w:lang w:val="pt-BR"/>
        </w:rPr>
      </w:pPr>
      <w:r w:rsidRPr="008D38F6">
        <w:rPr>
          <w:rFonts w:cs="Tahoma"/>
          <w:szCs w:val="18"/>
          <w:lang w:val="pt-BR"/>
        </w:rPr>
        <w:t>Este benefício está disponível somente por meio (1) do Enrollment for Application Platform (EAP) para um Contrato Enterprise e/ou (2) com a compra de licenças do Parallel Data Warehouse (PDW) por meio do EA, EAP, Select Plus ou Select.</w:t>
      </w:r>
    </w:p>
    <w:p w:rsidR="00A17E03" w:rsidRPr="008D38F6" w:rsidRDefault="00A17E03" w:rsidP="00F42FB8">
      <w:pPr>
        <w:jc w:val="both"/>
        <w:rPr>
          <w:lang w:val="pt-BR"/>
        </w:rPr>
      </w:pPr>
    </w:p>
    <w:p w:rsidR="00894563" w:rsidRPr="008D38F6" w:rsidRDefault="00A17E03" w:rsidP="00DA2788">
      <w:pPr>
        <w:spacing w:line="276" w:lineRule="auto"/>
        <w:jc w:val="both"/>
        <w:rPr>
          <w:lang w:val="pt-BR"/>
        </w:rPr>
      </w:pPr>
      <w:r w:rsidRPr="008D38F6">
        <w:rPr>
          <w:rFonts w:eastAsia="Calibri" w:cs="Tahoma"/>
          <w:szCs w:val="18"/>
          <w:lang w:val="pt-BR"/>
        </w:rPr>
        <w:t>Os clientes que possuem um EAP com uma média de gasto mínimo de SA anual de US$ 250.000 no total de produtos de Plataforma de Aplicativos qualificados e que possuem um Contrato de Serviços Premier estão qualificados para incidentes de Suporte para Resolução de Problemas (PRS) 24 horas por dia, 7 dias por semana Ilimitado. O</w:t>
      </w:r>
      <w:r w:rsidRPr="008D38F6">
        <w:rPr>
          <w:rFonts w:cs="Tahoma"/>
          <w:szCs w:val="18"/>
          <w:lang w:val="pt-BR"/>
        </w:rPr>
        <w:t>s</w:t>
      </w:r>
      <w:r w:rsidR="009B4C0C" w:rsidRPr="008D38F6">
        <w:rPr>
          <w:rFonts w:cs="Tahoma"/>
          <w:szCs w:val="18"/>
          <w:lang w:val="pt-BR"/>
        </w:rPr>
        <w:t> </w:t>
      </w:r>
      <w:r w:rsidRPr="008D38F6">
        <w:rPr>
          <w:rFonts w:cs="Tahoma"/>
          <w:szCs w:val="18"/>
          <w:lang w:val="pt-BR"/>
        </w:rPr>
        <w:t xml:space="preserve">produtos listados abaixo, que estão atualmente no Suporte Base ou Estendido, conforme estabelecido na </w:t>
      </w:r>
      <w:hyperlink r:id="rId32" w:history="1">
        <w:r w:rsidRPr="008D38F6">
          <w:rPr>
            <w:rStyle w:val="Hyperlink"/>
            <w:rFonts w:cs="Tahoma"/>
            <w:szCs w:val="18"/>
            <w:lang w:val="pt-BR"/>
          </w:rPr>
          <w:t>Política</w:t>
        </w:r>
        <w:r w:rsidR="00B718F6" w:rsidRPr="008D38F6">
          <w:rPr>
            <w:rStyle w:val="Hyperlink"/>
            <w:rFonts w:cs="Tahoma"/>
            <w:szCs w:val="18"/>
            <w:lang w:val="pt-BR"/>
          </w:rPr>
          <w:t> </w:t>
        </w:r>
        <w:r w:rsidRPr="008D38F6">
          <w:rPr>
            <w:rStyle w:val="Hyperlink"/>
            <w:rFonts w:cs="Tahoma"/>
            <w:szCs w:val="18"/>
            <w:lang w:val="pt-BR"/>
          </w:rPr>
          <w:t>de Ciclo de Vida de Suporte da Microsoft</w:t>
        </w:r>
      </w:hyperlink>
      <w:r w:rsidRPr="008D38F6">
        <w:rPr>
          <w:rFonts w:cs="Tahoma"/>
          <w:color w:val="000000"/>
          <w:szCs w:val="18"/>
          <w:lang w:val="pt-BR"/>
        </w:rPr>
        <w:t>, alinhados com um contrato Premier do cliente, estão incluídos neste benefício.</w:t>
      </w:r>
    </w:p>
    <w:p w:rsidR="00077CE5" w:rsidRPr="008D38F6" w:rsidRDefault="00077CE5" w:rsidP="00DA2788">
      <w:pPr>
        <w:spacing w:line="276" w:lineRule="auto"/>
        <w:jc w:val="both"/>
        <w:rPr>
          <w:lang w:val="pt-BR"/>
        </w:rPr>
      </w:pPr>
    </w:p>
    <w:p w:rsidR="00A17E03" w:rsidRPr="008D38F6" w:rsidRDefault="00A17E03" w:rsidP="00F42FB8">
      <w:pPr>
        <w:spacing w:line="276" w:lineRule="auto"/>
        <w:jc w:val="both"/>
        <w:rPr>
          <w:lang w:val="pt-BR"/>
        </w:rPr>
      </w:pPr>
      <w:r w:rsidRPr="008D38F6">
        <w:rPr>
          <w:rFonts w:eastAsia="Calibri" w:cs="Tahoma"/>
          <w:szCs w:val="18"/>
          <w:lang w:val="pt-BR"/>
        </w:rPr>
        <w:t>Os produtos de Plataforma de Aplicativos qualificados são os seguintes:</w:t>
      </w:r>
    </w:p>
    <w:p w:rsidR="00613BBB" w:rsidRPr="008D38F6" w:rsidRDefault="00613BBB" w:rsidP="00077CE5">
      <w:pPr>
        <w:rPr>
          <w:lang w:val="pt-BR"/>
        </w:rPr>
      </w:pPr>
    </w:p>
    <w:p w:rsidR="00613BBB" w:rsidRPr="00416070" w:rsidRDefault="00613BBB" w:rsidP="002C1048">
      <w:pPr>
        <w:numPr>
          <w:ilvl w:val="0"/>
          <w:numId w:val="91"/>
        </w:numPr>
        <w:spacing w:after="60"/>
      </w:pPr>
      <w:r w:rsidRPr="00416070">
        <w:rPr>
          <w:rFonts w:cs="Tahoma"/>
          <w:szCs w:val="18"/>
        </w:rPr>
        <w:t>CAL do SQL</w:t>
      </w:r>
    </w:p>
    <w:p w:rsidR="00613BBB" w:rsidRPr="00416070" w:rsidRDefault="00613BBB" w:rsidP="002C1048">
      <w:pPr>
        <w:numPr>
          <w:ilvl w:val="0"/>
          <w:numId w:val="91"/>
        </w:numPr>
        <w:spacing w:after="60"/>
      </w:pPr>
      <w:r w:rsidRPr="00416070">
        <w:rPr>
          <w:rFonts w:cs="Tahoma"/>
          <w:szCs w:val="18"/>
        </w:rPr>
        <w:t>SQL Server Standard</w:t>
      </w:r>
    </w:p>
    <w:p w:rsidR="00613BBB" w:rsidRPr="008D38F6" w:rsidRDefault="00613BBB" w:rsidP="002C1048">
      <w:pPr>
        <w:numPr>
          <w:ilvl w:val="0"/>
          <w:numId w:val="91"/>
        </w:numPr>
        <w:spacing w:after="60"/>
        <w:rPr>
          <w:lang w:val="pt-BR"/>
        </w:rPr>
      </w:pPr>
      <w:r w:rsidRPr="008D38F6">
        <w:rPr>
          <w:rFonts w:cs="Tahoma"/>
          <w:szCs w:val="18"/>
          <w:lang w:val="pt-BR"/>
        </w:rPr>
        <w:t>SQL Server Standard por Núcleo/Processador</w:t>
      </w:r>
    </w:p>
    <w:p w:rsidR="00613BBB" w:rsidRPr="00416070" w:rsidRDefault="00613BBB" w:rsidP="002C1048">
      <w:pPr>
        <w:numPr>
          <w:ilvl w:val="0"/>
          <w:numId w:val="91"/>
        </w:numPr>
        <w:spacing w:after="60"/>
      </w:pPr>
      <w:r w:rsidRPr="00416070">
        <w:rPr>
          <w:rFonts w:cs="Tahoma"/>
          <w:szCs w:val="18"/>
        </w:rPr>
        <w:t>SQL Server Enterprise</w:t>
      </w:r>
    </w:p>
    <w:p w:rsidR="00613BBB" w:rsidRPr="008D38F6" w:rsidRDefault="00613BBB" w:rsidP="002C1048">
      <w:pPr>
        <w:numPr>
          <w:ilvl w:val="0"/>
          <w:numId w:val="91"/>
        </w:numPr>
        <w:spacing w:after="60"/>
        <w:rPr>
          <w:lang w:val="pt-BR"/>
        </w:rPr>
      </w:pPr>
      <w:r w:rsidRPr="008D38F6">
        <w:rPr>
          <w:rFonts w:cs="Tahoma"/>
          <w:szCs w:val="18"/>
          <w:lang w:val="pt-BR"/>
        </w:rPr>
        <w:t>SQL Server Enterprise por Núcleo/Processador</w:t>
      </w:r>
    </w:p>
    <w:p w:rsidR="00894563" w:rsidRPr="00416070" w:rsidRDefault="00894563" w:rsidP="002C1048">
      <w:pPr>
        <w:numPr>
          <w:ilvl w:val="0"/>
          <w:numId w:val="91"/>
        </w:numPr>
        <w:spacing w:after="60"/>
      </w:pPr>
      <w:r w:rsidRPr="00416070">
        <w:rPr>
          <w:rFonts w:cs="Tahoma"/>
          <w:szCs w:val="18"/>
        </w:rPr>
        <w:t>SQL Server Business Intelligence</w:t>
      </w:r>
    </w:p>
    <w:p w:rsidR="00EB42F3" w:rsidRPr="00416070" w:rsidRDefault="00EB42F3" w:rsidP="002C1048">
      <w:pPr>
        <w:numPr>
          <w:ilvl w:val="0"/>
          <w:numId w:val="91"/>
        </w:numPr>
        <w:spacing w:after="60"/>
      </w:pPr>
      <w:r w:rsidRPr="00416070">
        <w:rPr>
          <w:rFonts w:cs="Tahoma"/>
          <w:szCs w:val="18"/>
        </w:rPr>
        <w:t>SQL Server Datacenter por Processador</w:t>
      </w:r>
    </w:p>
    <w:p w:rsidR="00613BBB" w:rsidRPr="00416070" w:rsidRDefault="00613BBB" w:rsidP="002C1048">
      <w:pPr>
        <w:numPr>
          <w:ilvl w:val="0"/>
          <w:numId w:val="91"/>
        </w:numPr>
        <w:spacing w:after="60"/>
      </w:pPr>
      <w:r w:rsidRPr="00416070">
        <w:rPr>
          <w:rFonts w:cs="Tahoma"/>
          <w:szCs w:val="18"/>
        </w:rPr>
        <w:t>BizTalk Server Standard por Processador</w:t>
      </w:r>
    </w:p>
    <w:p w:rsidR="00613BBB" w:rsidRPr="00416070" w:rsidRDefault="00613BBB" w:rsidP="002C1048">
      <w:pPr>
        <w:numPr>
          <w:ilvl w:val="0"/>
          <w:numId w:val="91"/>
        </w:numPr>
        <w:spacing w:after="60"/>
      </w:pPr>
      <w:r w:rsidRPr="00416070">
        <w:rPr>
          <w:rFonts w:cs="Tahoma"/>
          <w:szCs w:val="18"/>
        </w:rPr>
        <w:t>BizTalk Server Enterprise por Processador</w:t>
      </w:r>
    </w:p>
    <w:p w:rsidR="00613BBB" w:rsidRPr="00416070" w:rsidRDefault="00613BBB" w:rsidP="002C1048">
      <w:pPr>
        <w:numPr>
          <w:ilvl w:val="0"/>
          <w:numId w:val="91"/>
        </w:numPr>
        <w:spacing w:after="60"/>
      </w:pPr>
      <w:r w:rsidRPr="00416070">
        <w:rPr>
          <w:rFonts w:cs="Tahoma"/>
          <w:szCs w:val="18"/>
        </w:rPr>
        <w:t>BizTalk Server Branch por Processador</w:t>
      </w:r>
    </w:p>
    <w:p w:rsidR="00613BBB" w:rsidRPr="00416070" w:rsidRDefault="00613BBB" w:rsidP="002C1048">
      <w:pPr>
        <w:numPr>
          <w:ilvl w:val="0"/>
          <w:numId w:val="91"/>
        </w:numPr>
        <w:spacing w:after="60"/>
      </w:pPr>
      <w:r w:rsidRPr="00416070">
        <w:rPr>
          <w:rFonts w:cs="Tahoma"/>
          <w:szCs w:val="18"/>
        </w:rPr>
        <w:t>Office SharePoint Server</w:t>
      </w:r>
    </w:p>
    <w:p w:rsidR="00613BBB" w:rsidRPr="00416070" w:rsidRDefault="00613BBB" w:rsidP="002C1048">
      <w:pPr>
        <w:numPr>
          <w:ilvl w:val="0"/>
          <w:numId w:val="91"/>
        </w:numPr>
        <w:spacing w:after="60"/>
      </w:pPr>
      <w:r w:rsidRPr="00416070">
        <w:rPr>
          <w:rFonts w:cs="Tahoma"/>
          <w:szCs w:val="18"/>
        </w:rPr>
        <w:t>SharePoint Internet</w:t>
      </w:r>
    </w:p>
    <w:p w:rsidR="00894563" w:rsidRPr="00416070" w:rsidRDefault="00894563" w:rsidP="002C1048">
      <w:pPr>
        <w:numPr>
          <w:ilvl w:val="0"/>
          <w:numId w:val="91"/>
        </w:numPr>
        <w:spacing w:after="60"/>
      </w:pPr>
      <w:r w:rsidRPr="00416070">
        <w:rPr>
          <w:rFonts w:cs="Tahoma"/>
          <w:szCs w:val="18"/>
        </w:rPr>
        <w:t>FAST para SharePoint/SharePoint Internet</w:t>
      </w:r>
    </w:p>
    <w:p w:rsidR="00613BBB" w:rsidRPr="00416070" w:rsidRDefault="00613BBB" w:rsidP="00077CE5"/>
    <w:p w:rsidR="00613BBB" w:rsidRPr="008D38F6" w:rsidRDefault="00613BBB" w:rsidP="00FF1B2B">
      <w:pPr>
        <w:pStyle w:val="AppendixBodyText"/>
        <w:spacing w:after="0"/>
        <w:jc w:val="both"/>
        <w:rPr>
          <w:lang w:val="pt-BR"/>
        </w:rPr>
      </w:pPr>
      <w:r w:rsidRPr="008D38F6">
        <w:rPr>
          <w:rFonts w:ascii="Tahoma" w:hAnsi="Tahoma" w:cs="Tahoma"/>
          <w:sz w:val="18"/>
          <w:szCs w:val="18"/>
          <w:lang w:val="pt-BR"/>
        </w:rPr>
        <w:t>A tabela a seguir lista as conversões de limite de gastos de SA para contratos com base em moedas que não sejam o</w:t>
      </w:r>
      <w:r w:rsidR="009B4C0C" w:rsidRPr="008D38F6">
        <w:rPr>
          <w:rFonts w:ascii="Tahoma" w:hAnsi="Tahoma" w:cs="Tahoma"/>
          <w:sz w:val="18"/>
          <w:szCs w:val="18"/>
          <w:lang w:val="pt-BR"/>
        </w:rPr>
        <w:t> </w:t>
      </w:r>
      <w:r w:rsidRPr="008D38F6">
        <w:rPr>
          <w:rFonts w:ascii="Tahoma" w:hAnsi="Tahoma" w:cs="Tahoma"/>
          <w:sz w:val="18"/>
          <w:szCs w:val="18"/>
          <w:lang w:val="pt-BR"/>
        </w:rPr>
        <w:t>USD.</w:t>
      </w:r>
      <w:r w:rsidR="00FB5496" w:rsidRPr="008D38F6">
        <w:rPr>
          <w:rFonts w:ascii="Tahoma" w:hAnsi="Tahoma" w:cs="Tahoma"/>
          <w:sz w:val="18"/>
          <w:szCs w:val="18"/>
          <w:lang w:val="pt-BR"/>
        </w:rPr>
        <w:t xml:space="preserve"> </w:t>
      </w:r>
      <w:r w:rsidRPr="008D38F6">
        <w:rPr>
          <w:rFonts w:ascii="Tahoma" w:hAnsi="Tahoma" w:cs="Tahoma"/>
          <w:sz w:val="18"/>
          <w:szCs w:val="18"/>
          <w:lang w:val="pt-BR"/>
        </w:rPr>
        <w:t>Devido à flutuação das taxas de câmbio, essa tabela está sujeita a alterações sem aviso.</w:t>
      </w:r>
    </w:p>
    <w:p w:rsidR="00E74270" w:rsidRPr="008D38F6" w:rsidRDefault="00E74270" w:rsidP="00FF1B2B">
      <w:pPr>
        <w:pStyle w:val="AppendixBodyText"/>
        <w:spacing w:after="0"/>
        <w:jc w:val="both"/>
        <w:rPr>
          <w:rFonts w:ascii="Tahoma" w:hAnsi="Tahoma" w:cs="Tahoma"/>
          <w:sz w:val="18"/>
          <w:szCs w:val="18"/>
          <w:lang w:val="pt-BR"/>
        </w:rPr>
      </w:pPr>
    </w:p>
    <w:tbl>
      <w:tblPr>
        <w:tblW w:w="66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70"/>
        <w:gridCol w:w="1301"/>
        <w:gridCol w:w="3240"/>
      </w:tblGrid>
      <w:tr w:rsidR="00E74270" w:rsidRPr="00B06414" w:rsidTr="00FE2B0B">
        <w:trPr>
          <w:trHeight w:val="178"/>
          <w:tblHeader/>
          <w:jc w:val="center"/>
        </w:trPr>
        <w:tc>
          <w:tcPr>
            <w:tcW w:w="207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16070" w:rsidRDefault="00E74270" w:rsidP="00E74270">
            <w:pPr>
              <w:pStyle w:val="AppendixBodyText"/>
              <w:jc w:val="center"/>
              <w:rPr>
                <w:rFonts w:ascii="Tahoma" w:hAnsi="Tahoma" w:cs="Tahoma"/>
                <w:b/>
                <w:bCs/>
              </w:rPr>
            </w:pPr>
            <w:r w:rsidRPr="00416070">
              <w:rPr>
                <w:rFonts w:ascii="Tahoma" w:hAnsi="Tahoma" w:cs="Tahoma"/>
                <w:b/>
                <w:bCs/>
              </w:rPr>
              <w:t>Moeda</w:t>
            </w:r>
          </w:p>
        </w:tc>
        <w:tc>
          <w:tcPr>
            <w:tcW w:w="130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16070" w:rsidRDefault="00E74270" w:rsidP="00E74270">
            <w:pPr>
              <w:pStyle w:val="AppendixBodyText"/>
              <w:jc w:val="center"/>
              <w:rPr>
                <w:rFonts w:ascii="Tahoma" w:hAnsi="Tahoma" w:cs="Tahoma"/>
                <w:b/>
                <w:bCs/>
              </w:rPr>
            </w:pPr>
            <w:r w:rsidRPr="00416070">
              <w:rPr>
                <w:rFonts w:ascii="Tahoma" w:hAnsi="Tahoma" w:cs="Tahoma"/>
                <w:b/>
                <w:bCs/>
              </w:rPr>
              <w:t>Código da Moeda</w:t>
            </w:r>
          </w:p>
        </w:tc>
        <w:tc>
          <w:tcPr>
            <w:tcW w:w="324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8D38F6" w:rsidRDefault="00E74270" w:rsidP="00E74270">
            <w:pPr>
              <w:pStyle w:val="AppendixBodyText"/>
              <w:jc w:val="center"/>
              <w:rPr>
                <w:rFonts w:ascii="Tahoma" w:hAnsi="Tahoma" w:cs="Tahoma"/>
                <w:b/>
                <w:bCs/>
                <w:lang w:val="pt-BR"/>
              </w:rPr>
            </w:pPr>
            <w:r w:rsidRPr="008D38F6">
              <w:rPr>
                <w:rFonts w:ascii="Tahoma" w:hAnsi="Tahoma" w:cs="Tahoma"/>
                <w:b/>
                <w:bCs/>
                <w:lang w:val="pt-BR"/>
              </w:rPr>
              <w:t>Média de Gasto Mínimo de SA Anual para qualificação ao PRS 24x7 Ilimitado</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Dólar Americano</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USD</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250</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000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Dólar Australiano</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AUD</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375</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000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Dólar Canadense</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CAD</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337</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500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Franco Suíço</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CHF</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412</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500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Iuan Renmimbi (China)</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CNY</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2</w:t>
            </w:r>
            <w:r w:rsidR="009B4C0C" w:rsidRPr="00416070">
              <w:rPr>
                <w:rFonts w:ascii="Tahoma" w:hAnsi="Tahoma" w:cs="Tahoma"/>
                <w:color w:val="000000"/>
                <w:sz w:val="18"/>
                <w:szCs w:val="18"/>
              </w:rPr>
              <w:t>.</w:t>
            </w:r>
            <w:r w:rsidRPr="00416070">
              <w:rPr>
                <w:rFonts w:ascii="Tahoma" w:hAnsi="Tahoma" w:cs="Tahoma"/>
                <w:color w:val="000000"/>
                <w:sz w:val="18"/>
                <w:szCs w:val="18"/>
              </w:rPr>
              <w:t>062</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500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Coroa Dinamarquesa</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DKK</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2</w:t>
            </w:r>
            <w:r w:rsidR="009B4C0C" w:rsidRPr="00416070">
              <w:rPr>
                <w:rFonts w:ascii="Tahoma" w:hAnsi="Tahoma" w:cs="Tahoma"/>
                <w:color w:val="000000"/>
                <w:sz w:val="18"/>
                <w:szCs w:val="18"/>
              </w:rPr>
              <w:t>.</w:t>
            </w:r>
            <w:r w:rsidRPr="00416070">
              <w:rPr>
                <w:rFonts w:ascii="Tahoma" w:hAnsi="Tahoma" w:cs="Tahoma"/>
                <w:color w:val="000000"/>
                <w:sz w:val="18"/>
                <w:szCs w:val="18"/>
              </w:rPr>
              <w:t>000</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000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Euro</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EUR</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268</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750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Libra Esterlina</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GBP</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sz w:val="18"/>
                <w:szCs w:val="18"/>
              </w:rPr>
              <w:t xml:space="preserve"> </w:t>
            </w:r>
            <w:r w:rsidRPr="00416070">
              <w:rPr>
                <w:rFonts w:ascii="Tahoma" w:hAnsi="Tahoma" w:cs="Tahoma"/>
                <w:color w:val="000000"/>
                <w:sz w:val="18"/>
                <w:szCs w:val="18"/>
              </w:rPr>
              <w:t>168</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750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Iene Japonês</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JPY</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30</w:t>
            </w:r>
            <w:r w:rsidR="009B4C0C" w:rsidRPr="00416070">
              <w:rPr>
                <w:rFonts w:ascii="Tahoma" w:hAnsi="Tahoma" w:cs="Tahoma"/>
                <w:color w:val="000000"/>
                <w:sz w:val="18"/>
                <w:szCs w:val="18"/>
              </w:rPr>
              <w:t>.</w:t>
            </w:r>
            <w:r w:rsidRPr="00416070">
              <w:rPr>
                <w:rFonts w:ascii="Tahoma" w:hAnsi="Tahoma" w:cs="Tahoma"/>
                <w:color w:val="000000"/>
                <w:sz w:val="18"/>
                <w:szCs w:val="18"/>
              </w:rPr>
              <w:t>000</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000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Won Coreano</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KRW</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300</w:t>
            </w:r>
            <w:r w:rsidR="009B4C0C" w:rsidRPr="00416070">
              <w:rPr>
                <w:rFonts w:ascii="Tahoma" w:hAnsi="Tahoma" w:cs="Tahoma"/>
                <w:color w:val="000000"/>
                <w:sz w:val="18"/>
                <w:szCs w:val="18"/>
              </w:rPr>
              <w:t>.</w:t>
            </w:r>
            <w:r w:rsidRPr="00416070">
              <w:rPr>
                <w:rFonts w:ascii="Tahoma" w:hAnsi="Tahoma" w:cs="Tahoma"/>
                <w:color w:val="000000"/>
                <w:sz w:val="18"/>
                <w:szCs w:val="18"/>
              </w:rPr>
              <w:t>000</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000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Coroa Norueguesa</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NOK</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2</w:t>
            </w:r>
            <w:r w:rsidR="009B4C0C" w:rsidRPr="00416070">
              <w:rPr>
                <w:rFonts w:ascii="Tahoma" w:hAnsi="Tahoma" w:cs="Tahoma"/>
                <w:color w:val="000000"/>
                <w:sz w:val="18"/>
                <w:szCs w:val="18"/>
              </w:rPr>
              <w:t>.</w:t>
            </w:r>
            <w:r w:rsidRPr="00416070">
              <w:rPr>
                <w:rFonts w:ascii="Tahoma" w:hAnsi="Tahoma" w:cs="Tahoma"/>
                <w:color w:val="000000"/>
                <w:sz w:val="18"/>
                <w:szCs w:val="18"/>
              </w:rPr>
              <w:t>062</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500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Dólar Neozelandês</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NZD</w:t>
            </w:r>
          </w:p>
        </w:tc>
        <w:tc>
          <w:tcPr>
            <w:tcW w:w="3240" w:type="dxa"/>
            <w:vAlign w:val="bottom"/>
          </w:tcPr>
          <w:p w:rsidR="00E74270" w:rsidRPr="00416070" w:rsidRDefault="00E74270" w:rsidP="009B4C0C">
            <w:pPr>
              <w:pStyle w:val="AppendixBodyText"/>
              <w:jc w:val="right"/>
              <w:rPr>
                <w:rFonts w:ascii="Tahoma" w:hAnsi="Tahoma" w:cs="Tahoma"/>
                <w:sz w:val="18"/>
                <w:szCs w:val="18"/>
              </w:rPr>
            </w:pPr>
            <w:r w:rsidRPr="00416070">
              <w:rPr>
                <w:rFonts w:ascii="Tahoma" w:hAnsi="Tahoma" w:cs="Tahoma"/>
                <w:color w:val="000000"/>
                <w:sz w:val="18"/>
                <w:szCs w:val="18"/>
              </w:rPr>
              <w:t xml:space="preserve"> 437</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500 </w:t>
            </w:r>
          </w:p>
        </w:tc>
      </w:tr>
      <w:tr w:rsidR="00E74270" w:rsidRPr="00416070" w:rsidTr="00FE2B0B">
        <w:trPr>
          <w:trHeight w:val="236"/>
          <w:jc w:val="center"/>
        </w:trPr>
        <w:tc>
          <w:tcPr>
            <w:tcW w:w="2070" w:type="dxa"/>
            <w:vAlign w:val="bottom"/>
          </w:tcPr>
          <w:p w:rsidR="00E74270" w:rsidRPr="00416070" w:rsidRDefault="00E74270" w:rsidP="00FE2B0B">
            <w:pPr>
              <w:pStyle w:val="AppendixBodyText"/>
              <w:keepNext/>
              <w:keepLines/>
              <w:rPr>
                <w:rFonts w:ascii="Tahoma" w:hAnsi="Tahoma" w:cs="Tahoma"/>
                <w:sz w:val="18"/>
                <w:szCs w:val="18"/>
              </w:rPr>
            </w:pPr>
            <w:r w:rsidRPr="00416070">
              <w:rPr>
                <w:rFonts w:ascii="Tahoma" w:hAnsi="Tahoma" w:cs="Tahoma"/>
                <w:sz w:val="18"/>
                <w:szCs w:val="18"/>
              </w:rPr>
              <w:lastRenderedPageBreak/>
              <w:t>Coroa Sueca</w:t>
            </w:r>
          </w:p>
        </w:tc>
        <w:tc>
          <w:tcPr>
            <w:tcW w:w="1301" w:type="dxa"/>
            <w:vAlign w:val="bottom"/>
          </w:tcPr>
          <w:p w:rsidR="00E74270" w:rsidRPr="00416070" w:rsidRDefault="00E74270" w:rsidP="00FE2B0B">
            <w:pPr>
              <w:pStyle w:val="AppendixBodyText"/>
              <w:keepNext/>
              <w:keepLines/>
              <w:jc w:val="center"/>
              <w:rPr>
                <w:rFonts w:ascii="Tahoma" w:hAnsi="Tahoma" w:cs="Tahoma"/>
                <w:sz w:val="18"/>
                <w:szCs w:val="18"/>
              </w:rPr>
            </w:pPr>
            <w:r w:rsidRPr="00416070">
              <w:rPr>
                <w:rFonts w:ascii="Tahoma" w:hAnsi="Tahoma" w:cs="Tahoma"/>
                <w:sz w:val="18"/>
                <w:szCs w:val="18"/>
              </w:rPr>
              <w:t>SEK</w:t>
            </w:r>
          </w:p>
        </w:tc>
        <w:tc>
          <w:tcPr>
            <w:tcW w:w="3240" w:type="dxa"/>
            <w:vAlign w:val="bottom"/>
          </w:tcPr>
          <w:p w:rsidR="00E74270" w:rsidRPr="00416070" w:rsidRDefault="00E74270" w:rsidP="00FE2B0B">
            <w:pPr>
              <w:pStyle w:val="AppendixBodyText"/>
              <w:keepNext/>
              <w:keepLines/>
              <w:jc w:val="right"/>
              <w:rPr>
                <w:rFonts w:ascii="Tahoma" w:hAnsi="Tahoma" w:cs="Tahoma"/>
                <w:sz w:val="18"/>
                <w:szCs w:val="18"/>
              </w:rPr>
            </w:pPr>
            <w:r w:rsidRPr="00416070">
              <w:rPr>
                <w:rFonts w:ascii="Tahoma" w:hAnsi="Tahoma" w:cs="Tahoma"/>
                <w:color w:val="000000"/>
                <w:sz w:val="18"/>
                <w:szCs w:val="18"/>
              </w:rPr>
              <w:t xml:space="preserve"> 2</w:t>
            </w:r>
            <w:r w:rsidR="009B4C0C" w:rsidRPr="00416070">
              <w:rPr>
                <w:rFonts w:ascii="Tahoma" w:hAnsi="Tahoma" w:cs="Tahoma"/>
                <w:color w:val="000000"/>
                <w:sz w:val="18"/>
                <w:szCs w:val="18"/>
              </w:rPr>
              <w:t>.</w:t>
            </w:r>
            <w:r w:rsidRPr="00416070">
              <w:rPr>
                <w:rFonts w:ascii="Tahoma" w:hAnsi="Tahoma" w:cs="Tahoma"/>
                <w:color w:val="000000"/>
                <w:sz w:val="18"/>
                <w:szCs w:val="18"/>
              </w:rPr>
              <w:t>500</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000 </w:t>
            </w:r>
          </w:p>
        </w:tc>
      </w:tr>
      <w:tr w:rsidR="00E74270" w:rsidRPr="00416070" w:rsidTr="00FE2B0B">
        <w:trPr>
          <w:trHeight w:val="236"/>
          <w:jc w:val="center"/>
        </w:trPr>
        <w:tc>
          <w:tcPr>
            <w:tcW w:w="2070" w:type="dxa"/>
            <w:vAlign w:val="bottom"/>
          </w:tcPr>
          <w:p w:rsidR="00E74270" w:rsidRPr="00416070" w:rsidRDefault="00E74270" w:rsidP="00FE2B0B">
            <w:pPr>
              <w:pStyle w:val="AppendixBodyText"/>
              <w:keepNext/>
              <w:keepLines/>
              <w:rPr>
                <w:rFonts w:ascii="Tahoma" w:hAnsi="Tahoma" w:cs="Tahoma"/>
                <w:sz w:val="18"/>
                <w:szCs w:val="18"/>
              </w:rPr>
            </w:pPr>
            <w:r w:rsidRPr="00416070">
              <w:rPr>
                <w:rFonts w:ascii="Tahoma" w:hAnsi="Tahoma" w:cs="Tahoma"/>
                <w:sz w:val="18"/>
                <w:szCs w:val="18"/>
              </w:rPr>
              <w:t>Novo Dólar Taiwanês</w:t>
            </w:r>
          </w:p>
        </w:tc>
        <w:tc>
          <w:tcPr>
            <w:tcW w:w="1301" w:type="dxa"/>
            <w:vAlign w:val="bottom"/>
          </w:tcPr>
          <w:p w:rsidR="00E74270" w:rsidRPr="00416070" w:rsidRDefault="00E74270" w:rsidP="00FE2B0B">
            <w:pPr>
              <w:pStyle w:val="AppendixBodyText"/>
              <w:keepNext/>
              <w:keepLines/>
              <w:jc w:val="center"/>
              <w:rPr>
                <w:rFonts w:ascii="Tahoma" w:hAnsi="Tahoma" w:cs="Tahoma"/>
                <w:sz w:val="18"/>
                <w:szCs w:val="18"/>
              </w:rPr>
            </w:pPr>
            <w:r w:rsidRPr="00416070">
              <w:rPr>
                <w:rFonts w:ascii="Tahoma" w:hAnsi="Tahoma" w:cs="Tahoma"/>
                <w:sz w:val="18"/>
                <w:szCs w:val="18"/>
              </w:rPr>
              <w:t>TWD</w:t>
            </w:r>
          </w:p>
        </w:tc>
        <w:tc>
          <w:tcPr>
            <w:tcW w:w="3240" w:type="dxa"/>
            <w:vAlign w:val="bottom"/>
          </w:tcPr>
          <w:p w:rsidR="00E74270" w:rsidRPr="00416070" w:rsidRDefault="00E74270" w:rsidP="00FE2B0B">
            <w:pPr>
              <w:pStyle w:val="AppendixBodyText"/>
              <w:keepNext/>
              <w:keepLines/>
              <w:jc w:val="right"/>
              <w:rPr>
                <w:rFonts w:ascii="Tahoma" w:hAnsi="Tahoma" w:cs="Tahoma"/>
                <w:sz w:val="18"/>
                <w:szCs w:val="18"/>
              </w:rPr>
            </w:pPr>
            <w:r w:rsidRPr="00416070">
              <w:rPr>
                <w:rFonts w:ascii="Tahoma" w:hAnsi="Tahoma" w:cs="Tahoma"/>
                <w:color w:val="000000"/>
                <w:sz w:val="18"/>
                <w:szCs w:val="18"/>
              </w:rPr>
              <w:t xml:space="preserve"> 8</w:t>
            </w:r>
            <w:r w:rsidR="009B4C0C" w:rsidRPr="00416070">
              <w:rPr>
                <w:rFonts w:ascii="Tahoma" w:hAnsi="Tahoma" w:cs="Tahoma"/>
                <w:color w:val="000000"/>
                <w:sz w:val="18"/>
                <w:szCs w:val="18"/>
              </w:rPr>
              <w:t>.</w:t>
            </w:r>
            <w:r w:rsidRPr="00416070">
              <w:rPr>
                <w:rFonts w:ascii="Tahoma" w:hAnsi="Tahoma" w:cs="Tahoma"/>
                <w:color w:val="000000"/>
                <w:sz w:val="18"/>
                <w:szCs w:val="18"/>
              </w:rPr>
              <w:t>750</w:t>
            </w:r>
            <w:r w:rsidR="009B4C0C" w:rsidRPr="00416070">
              <w:rPr>
                <w:rFonts w:ascii="Tahoma" w:hAnsi="Tahoma" w:cs="Tahoma"/>
                <w:color w:val="000000"/>
                <w:sz w:val="18"/>
                <w:szCs w:val="18"/>
              </w:rPr>
              <w:t>.</w:t>
            </w:r>
            <w:r w:rsidRPr="00416070">
              <w:rPr>
                <w:rFonts w:ascii="Tahoma" w:hAnsi="Tahoma" w:cs="Tahoma"/>
                <w:color w:val="000000"/>
                <w:sz w:val="18"/>
                <w:szCs w:val="18"/>
              </w:rPr>
              <w:t xml:space="preserve">000 </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Rúpia Indiana</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INR</w:t>
            </w:r>
          </w:p>
        </w:tc>
        <w:tc>
          <w:tcPr>
            <w:tcW w:w="3240" w:type="dxa"/>
            <w:vAlign w:val="bottom"/>
          </w:tcPr>
          <w:p w:rsidR="00E74270" w:rsidRPr="00416070" w:rsidRDefault="00E74270" w:rsidP="009B4C0C">
            <w:pPr>
              <w:pStyle w:val="AppendixBodyText"/>
              <w:jc w:val="right"/>
              <w:rPr>
                <w:rFonts w:ascii="Tahoma" w:hAnsi="Tahoma" w:cs="Tahoma"/>
                <w:color w:val="000000"/>
                <w:sz w:val="18"/>
                <w:szCs w:val="18"/>
              </w:rPr>
            </w:pPr>
            <w:r w:rsidRPr="00416070">
              <w:rPr>
                <w:rFonts w:ascii="Tahoma" w:hAnsi="Tahoma" w:cs="Tahoma"/>
                <w:sz w:val="18"/>
                <w:szCs w:val="18"/>
              </w:rPr>
              <w:t>12</w:t>
            </w:r>
            <w:r w:rsidR="009B4C0C" w:rsidRPr="00416070">
              <w:rPr>
                <w:rFonts w:ascii="Tahoma" w:hAnsi="Tahoma" w:cs="Tahoma"/>
                <w:sz w:val="18"/>
                <w:szCs w:val="18"/>
              </w:rPr>
              <w:t>.</w:t>
            </w:r>
            <w:r w:rsidRPr="00416070">
              <w:rPr>
                <w:rFonts w:ascii="Tahoma" w:hAnsi="Tahoma" w:cs="Tahoma"/>
                <w:sz w:val="18"/>
                <w:szCs w:val="18"/>
              </w:rPr>
              <w:t>500</w:t>
            </w:r>
            <w:r w:rsidR="009B4C0C" w:rsidRPr="00416070">
              <w:rPr>
                <w:rFonts w:ascii="Tahoma" w:hAnsi="Tahoma" w:cs="Tahoma"/>
                <w:sz w:val="18"/>
                <w:szCs w:val="18"/>
              </w:rPr>
              <w:t>.</w:t>
            </w:r>
            <w:r w:rsidRPr="00416070">
              <w:rPr>
                <w:rFonts w:ascii="Tahoma" w:hAnsi="Tahoma" w:cs="Tahoma"/>
                <w:sz w:val="18"/>
                <w:szCs w:val="18"/>
              </w:rPr>
              <w:t>000</w:t>
            </w:r>
          </w:p>
        </w:tc>
      </w:tr>
      <w:tr w:rsidR="00E74270" w:rsidRPr="00416070" w:rsidTr="00FE2B0B">
        <w:trPr>
          <w:trHeight w:val="236"/>
          <w:jc w:val="center"/>
        </w:trPr>
        <w:tc>
          <w:tcPr>
            <w:tcW w:w="2070" w:type="dxa"/>
            <w:vAlign w:val="bottom"/>
          </w:tcPr>
          <w:p w:rsidR="00E74270" w:rsidRPr="00416070" w:rsidRDefault="00E74270" w:rsidP="00E74270">
            <w:pPr>
              <w:pStyle w:val="AppendixBodyText"/>
              <w:rPr>
                <w:rFonts w:ascii="Tahoma" w:hAnsi="Tahoma" w:cs="Tahoma"/>
                <w:sz w:val="18"/>
                <w:szCs w:val="18"/>
              </w:rPr>
            </w:pPr>
            <w:r w:rsidRPr="00416070">
              <w:rPr>
                <w:rFonts w:ascii="Tahoma" w:hAnsi="Tahoma" w:cs="Tahoma"/>
                <w:sz w:val="18"/>
                <w:szCs w:val="18"/>
              </w:rPr>
              <w:t>Rublo Russo</w:t>
            </w:r>
          </w:p>
        </w:tc>
        <w:tc>
          <w:tcPr>
            <w:tcW w:w="1301" w:type="dxa"/>
            <w:vAlign w:val="bottom"/>
          </w:tcPr>
          <w:p w:rsidR="00E74270" w:rsidRPr="00416070" w:rsidRDefault="00E74270" w:rsidP="00E74270">
            <w:pPr>
              <w:pStyle w:val="AppendixBodyText"/>
              <w:jc w:val="center"/>
              <w:rPr>
                <w:rFonts w:ascii="Tahoma" w:hAnsi="Tahoma" w:cs="Tahoma"/>
                <w:sz w:val="18"/>
                <w:szCs w:val="18"/>
              </w:rPr>
            </w:pPr>
            <w:r w:rsidRPr="00416070">
              <w:rPr>
                <w:rFonts w:ascii="Tahoma" w:hAnsi="Tahoma" w:cs="Tahoma"/>
                <w:sz w:val="18"/>
                <w:szCs w:val="18"/>
              </w:rPr>
              <w:t>RUB</w:t>
            </w:r>
          </w:p>
        </w:tc>
        <w:tc>
          <w:tcPr>
            <w:tcW w:w="3240" w:type="dxa"/>
            <w:vAlign w:val="bottom"/>
          </w:tcPr>
          <w:p w:rsidR="00E74270" w:rsidRPr="00416070" w:rsidRDefault="00E74270" w:rsidP="009B4C0C">
            <w:pPr>
              <w:pStyle w:val="AppendixBodyText"/>
              <w:jc w:val="right"/>
              <w:rPr>
                <w:rFonts w:ascii="Tahoma" w:hAnsi="Tahoma" w:cs="Tahoma"/>
                <w:color w:val="000000"/>
                <w:sz w:val="18"/>
                <w:szCs w:val="18"/>
              </w:rPr>
            </w:pPr>
            <w:r w:rsidRPr="00416070">
              <w:rPr>
                <w:rFonts w:ascii="Tahoma" w:hAnsi="Tahoma" w:cs="Tahoma"/>
                <w:sz w:val="18"/>
                <w:szCs w:val="18"/>
              </w:rPr>
              <w:t>8</w:t>
            </w:r>
            <w:r w:rsidR="009B4C0C" w:rsidRPr="00416070">
              <w:rPr>
                <w:rFonts w:ascii="Tahoma" w:hAnsi="Tahoma" w:cs="Tahoma"/>
                <w:sz w:val="18"/>
                <w:szCs w:val="18"/>
              </w:rPr>
              <w:t>.</w:t>
            </w:r>
            <w:r w:rsidRPr="00416070">
              <w:rPr>
                <w:rFonts w:ascii="Tahoma" w:hAnsi="Tahoma" w:cs="Tahoma"/>
                <w:sz w:val="18"/>
                <w:szCs w:val="18"/>
              </w:rPr>
              <w:t>250</w:t>
            </w:r>
            <w:r w:rsidR="009B4C0C" w:rsidRPr="00416070">
              <w:rPr>
                <w:rFonts w:ascii="Tahoma" w:hAnsi="Tahoma" w:cs="Tahoma"/>
                <w:sz w:val="18"/>
                <w:szCs w:val="18"/>
              </w:rPr>
              <w:t>.</w:t>
            </w:r>
            <w:r w:rsidRPr="00416070">
              <w:rPr>
                <w:rFonts w:ascii="Tahoma" w:hAnsi="Tahoma" w:cs="Tahoma"/>
                <w:sz w:val="18"/>
                <w:szCs w:val="18"/>
              </w:rPr>
              <w:t>000</w:t>
            </w:r>
          </w:p>
        </w:tc>
      </w:tr>
    </w:tbl>
    <w:p w:rsidR="00FE2B0B" w:rsidRPr="007E2720" w:rsidRDefault="00FE2B0B" w:rsidP="00F42FB8">
      <w:pPr>
        <w:jc w:val="both"/>
        <w:rPr>
          <w:rFonts w:cs="Tahoma"/>
          <w:szCs w:val="18"/>
        </w:rPr>
      </w:pPr>
    </w:p>
    <w:p w:rsidR="00613BBB" w:rsidRPr="008D38F6" w:rsidRDefault="00613BBB" w:rsidP="00F42FB8">
      <w:pPr>
        <w:jc w:val="both"/>
        <w:rPr>
          <w:rFonts w:cs="Tahoma"/>
          <w:szCs w:val="18"/>
          <w:lang w:val="pt-BR"/>
        </w:rPr>
      </w:pPr>
      <w:r w:rsidRPr="008D38F6">
        <w:rPr>
          <w:rFonts w:cs="Tahoma"/>
          <w:szCs w:val="18"/>
          <w:lang w:val="pt-BR"/>
        </w:rPr>
        <w:t>Quando a média de gasto de SA anual comprometida com produtos de Plataforma de Aplicativos qualificados para o</w:t>
      </w:r>
      <w:r w:rsidR="00065570" w:rsidRPr="008D38F6">
        <w:rPr>
          <w:rFonts w:cs="Tahoma"/>
          <w:szCs w:val="18"/>
          <w:lang w:val="pt-BR"/>
        </w:rPr>
        <w:t> </w:t>
      </w:r>
      <w:r w:rsidRPr="008D38F6">
        <w:rPr>
          <w:rFonts w:cs="Tahoma"/>
          <w:szCs w:val="18"/>
          <w:lang w:val="pt-BR"/>
        </w:rPr>
        <w:t>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FB5496" w:rsidRPr="008D38F6">
        <w:rPr>
          <w:rFonts w:cs="Tahoma"/>
          <w:szCs w:val="18"/>
          <w:lang w:val="pt-BR"/>
        </w:rPr>
        <w:t xml:space="preserve"> </w:t>
      </w:r>
      <w:r w:rsidRPr="008D38F6">
        <w:rPr>
          <w:rFonts w:cs="Tahoma"/>
          <w:szCs w:val="18"/>
          <w:lang w:val="pt-BR"/>
        </w:rPr>
        <w:t xml:space="preserve">Os incidentes de PRS 24x7 Ilimitado não podem ser convertidos em horas ou incidentes de Suporte para </w:t>
      </w:r>
      <w:r w:rsidR="007E2720" w:rsidRPr="008D38F6">
        <w:rPr>
          <w:rFonts w:cs="Tahoma"/>
          <w:szCs w:val="18"/>
          <w:lang w:val="pt-BR"/>
        </w:rPr>
        <w:t>Resolução de Problemas Premier.</w:t>
      </w:r>
    </w:p>
    <w:p w:rsidR="00613BBB" w:rsidRPr="008D38F6" w:rsidRDefault="00613BBB" w:rsidP="00F42FB8">
      <w:pPr>
        <w:rPr>
          <w:rFonts w:cs="Tahoma"/>
          <w:szCs w:val="18"/>
          <w:lang w:val="pt-BR"/>
        </w:rPr>
      </w:pPr>
    </w:p>
    <w:p w:rsidR="00613BBB" w:rsidRPr="008D38F6" w:rsidRDefault="00613BBB" w:rsidP="00F42FB8">
      <w:pPr>
        <w:jc w:val="both"/>
        <w:rPr>
          <w:rFonts w:cs="Tahoma"/>
          <w:szCs w:val="18"/>
          <w:lang w:val="pt-BR"/>
        </w:rPr>
      </w:pPr>
      <w:r w:rsidRPr="008D38F6">
        <w:rPr>
          <w:rFonts w:cs="Tahoma"/>
          <w:szCs w:val="18"/>
          <w:lang w:val="pt-BR"/>
        </w:rPr>
        <w:t xml:space="preserve">Os clientes que possuem </w:t>
      </w:r>
      <w:r w:rsidRPr="008D38F6">
        <w:rPr>
          <w:rFonts w:cs="Tahoma"/>
          <w:color w:val="000000"/>
          <w:szCs w:val="18"/>
          <w:lang w:val="pt-BR"/>
        </w:rPr>
        <w:t>Contratos Application Platform (APA) com data de início de vigência anterior a 1</w:t>
      </w:r>
      <w:r w:rsidRPr="008D38F6">
        <w:rPr>
          <w:rFonts w:cs="Tahoma"/>
          <w:color w:val="000000"/>
          <w:szCs w:val="18"/>
          <w:vertAlign w:val="superscript"/>
          <w:lang w:val="pt-BR"/>
        </w:rPr>
        <w:t>º</w:t>
      </w:r>
      <w:r w:rsidRPr="008D38F6">
        <w:rPr>
          <w:rFonts w:cs="Tahoma"/>
          <w:color w:val="000000"/>
          <w:szCs w:val="18"/>
          <w:lang w:val="pt-BR"/>
        </w:rPr>
        <w:t xml:space="preserve"> de julho de 2009 e com uma média de gasto de SA anual superior a US$ 250.000 em produtos de Plataforma de Aplicativos qualificados e que possuem um Contrato de Serviços Premier ativo se tornarão qualificados para o PRS 24x7 Ilimitado no primeiro aniversário da data de início de vigê</w:t>
      </w:r>
      <w:r w:rsidR="007E2720" w:rsidRPr="008D38F6">
        <w:rPr>
          <w:rFonts w:cs="Tahoma"/>
          <w:color w:val="000000"/>
          <w:szCs w:val="18"/>
          <w:lang w:val="pt-BR"/>
        </w:rPr>
        <w:t>ncia do APA.</w:t>
      </w:r>
    </w:p>
    <w:p w:rsidR="00613BBB" w:rsidRPr="008D38F6" w:rsidRDefault="00613BBB" w:rsidP="00F42FB8">
      <w:pPr>
        <w:rPr>
          <w:rFonts w:cs="Tahoma"/>
          <w:szCs w:val="18"/>
          <w:lang w:val="pt-BR"/>
        </w:rPr>
      </w:pPr>
    </w:p>
    <w:p w:rsidR="00A17E03" w:rsidRPr="008D38F6" w:rsidRDefault="00A17E03" w:rsidP="00F42FB8">
      <w:pPr>
        <w:spacing w:line="276" w:lineRule="auto"/>
        <w:rPr>
          <w:rFonts w:cs="Tahoma"/>
          <w:szCs w:val="18"/>
          <w:lang w:val="pt-BR"/>
        </w:rPr>
      </w:pPr>
      <w:r w:rsidRPr="008D38F6">
        <w:rPr>
          <w:rFonts w:eastAsia="Calibri" w:cs="Tahoma"/>
          <w:szCs w:val="18"/>
          <w:lang w:val="pt-BR"/>
        </w:rPr>
        <w:t>(2) Os clientes que adquirirem licenças para o PDW e possuem um Contrato de Serviços Premier ativo estão qualificados para incidentes do PRS, 24 horas por dia, 7 dias por semana, Ilimitado.</w:t>
      </w:r>
    </w:p>
    <w:p w:rsidR="00FF1B2B" w:rsidRPr="008D38F6" w:rsidRDefault="00FF1B2B" w:rsidP="00F42FB8">
      <w:pPr>
        <w:spacing w:line="276" w:lineRule="auto"/>
        <w:rPr>
          <w:rFonts w:cs="Tahoma"/>
          <w:szCs w:val="18"/>
          <w:lang w:val="pt-BR"/>
        </w:rPr>
      </w:pPr>
    </w:p>
    <w:p w:rsidR="00A17E03" w:rsidRPr="008D38F6" w:rsidRDefault="00A17E03" w:rsidP="00F42FB8">
      <w:pPr>
        <w:spacing w:line="276" w:lineRule="auto"/>
        <w:jc w:val="both"/>
        <w:rPr>
          <w:rFonts w:cs="Tahoma"/>
          <w:szCs w:val="18"/>
          <w:lang w:val="pt-BR"/>
        </w:rPr>
      </w:pPr>
      <w:r w:rsidRPr="008D38F6">
        <w:rPr>
          <w:rFonts w:eastAsia="Calibri" w:cs="Tahoma"/>
          <w:szCs w:val="18"/>
          <w:lang w:val="pt-BR"/>
        </w:rPr>
        <w:t xml:space="preserve">Na compra de licenças para o PDW, a Microsoft não concederá aos clientes incidentes com base no gasto de SA real neste produto. Os incidentes de PRS 24x7 Ilimitado não podem ser convertidos em horas ou incidentes de Suporte para </w:t>
      </w:r>
      <w:r w:rsidR="007E2720" w:rsidRPr="008D38F6">
        <w:rPr>
          <w:rFonts w:eastAsia="Calibri" w:cs="Tahoma"/>
          <w:szCs w:val="18"/>
          <w:lang w:val="pt-BR"/>
        </w:rPr>
        <w:t>Resolução de Problemas Premier.</w:t>
      </w:r>
    </w:p>
    <w:p w:rsidR="00FF1B2B" w:rsidRPr="008D38F6" w:rsidRDefault="00FF1B2B" w:rsidP="00F42FB8">
      <w:pPr>
        <w:spacing w:line="276" w:lineRule="auto"/>
        <w:jc w:val="both"/>
        <w:rPr>
          <w:rFonts w:cs="Tahoma"/>
          <w:szCs w:val="18"/>
          <w:lang w:val="pt-BR"/>
        </w:rPr>
      </w:pPr>
    </w:p>
    <w:p w:rsidR="00A17E03" w:rsidRPr="008D38F6" w:rsidRDefault="00A17E03" w:rsidP="00F42FB8">
      <w:pPr>
        <w:jc w:val="both"/>
        <w:rPr>
          <w:rFonts w:cs="Tahoma"/>
          <w:szCs w:val="18"/>
          <w:lang w:val="pt-BR"/>
        </w:rPr>
      </w:pPr>
      <w:r w:rsidRPr="008D38F6">
        <w:rPr>
          <w:rFonts w:cs="Tahoma"/>
          <w:color w:val="000000"/>
          <w:szCs w:val="18"/>
          <w:lang w:val="pt-BR"/>
        </w:rPr>
        <w:t xml:space="preserve">Embora o número de </w:t>
      </w:r>
      <w:r w:rsidRPr="008D38F6">
        <w:rPr>
          <w:rFonts w:cs="Tahoma"/>
          <w:i/>
          <w:color w:val="000000"/>
          <w:szCs w:val="18"/>
          <w:lang w:val="pt-BR"/>
        </w:rPr>
        <w:t>i</w:t>
      </w:r>
      <w:r w:rsidRPr="008D38F6">
        <w:rPr>
          <w:rFonts w:cs="Tahoma"/>
          <w:color w:val="000000"/>
          <w:szCs w:val="18"/>
          <w:lang w:val="pt-BR"/>
        </w:rPr>
        <w:t>ncidentes do PRS, 24 horas por dia, 7 dias por semana, concedidos não seja determinado pelo gasto de SA, o número de contatos de suporte permitidos para gerenciar o PRS, 24 horas por dia, 7 dias por semana, Ilimitado varia de acordo com os gastos de SA. Todos os clientes elegíveis estão qualificados a, pelo menos, quatro contatos autorizados mais um contato adicional a cada US$ 125.000 adicionais de gasto de SA sob seu EAP ou</w:t>
      </w:r>
      <w:r w:rsidR="00065570" w:rsidRPr="008D38F6">
        <w:rPr>
          <w:rFonts w:cs="Tahoma"/>
          <w:color w:val="000000"/>
          <w:szCs w:val="18"/>
          <w:lang w:val="pt-BR"/>
        </w:rPr>
        <w:t> </w:t>
      </w:r>
      <w:r w:rsidRPr="008D38F6">
        <w:rPr>
          <w:rFonts w:cs="Tahoma"/>
          <w:color w:val="000000"/>
          <w:szCs w:val="18"/>
          <w:lang w:val="pt-BR"/>
        </w:rPr>
        <w:t>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FB5496" w:rsidRPr="008D38F6">
        <w:rPr>
          <w:rFonts w:cs="Tahoma"/>
          <w:color w:val="000000"/>
          <w:szCs w:val="18"/>
          <w:lang w:val="pt-BR"/>
        </w:rPr>
        <w:t xml:space="preserve"> </w:t>
      </w:r>
      <w:r w:rsidRPr="008D38F6">
        <w:rPr>
          <w:rFonts w:cs="Tahoma"/>
          <w:color w:val="000000"/>
          <w:szCs w:val="18"/>
          <w:lang w:val="pt-BR"/>
        </w:rPr>
        <w:t>Consulte a tabela a seguir:</w:t>
      </w:r>
    </w:p>
    <w:p w:rsidR="00FF1B2B" w:rsidRPr="008D38F6" w:rsidRDefault="00FF1B2B" w:rsidP="00F42FB8">
      <w:pPr>
        <w:jc w:val="both"/>
        <w:rPr>
          <w:rFonts w:cs="Tahoma"/>
          <w:szCs w:val="18"/>
          <w:lang w:val="pt-BR"/>
        </w:rPr>
      </w:pPr>
    </w:p>
    <w:p w:rsidR="00A17E03" w:rsidRPr="008D38F6" w:rsidRDefault="00A17E03" w:rsidP="00F42FB8">
      <w:pPr>
        <w:jc w:val="both"/>
        <w:rPr>
          <w:rFonts w:cs="Tahoma"/>
          <w:szCs w:val="18"/>
          <w:lang w:val="pt-BR"/>
        </w:rPr>
      </w:pPr>
      <w:r w:rsidRPr="008D38F6">
        <w:rPr>
          <w:rFonts w:cs="Tahoma"/>
          <w:color w:val="000000"/>
          <w:szCs w:val="18"/>
          <w:lang w:val="pt-BR"/>
        </w:rPr>
        <w:t>A seguinte tabela se aplica a clientes que possuam um EAP ou APA:</w:t>
      </w:r>
    </w:p>
    <w:p w:rsidR="00613BBB" w:rsidRPr="008D38F6" w:rsidRDefault="00613BBB" w:rsidP="00613BBB">
      <w:pPr>
        <w:rPr>
          <w:lang w:val="pt-B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416070" w:rsidTr="002A6416">
        <w:tc>
          <w:tcPr>
            <w:tcW w:w="2160" w:type="dxa"/>
            <w:shd w:val="clear" w:color="auto" w:fill="FABF8F"/>
          </w:tcPr>
          <w:p w:rsidR="00613BBB" w:rsidRPr="008D38F6" w:rsidRDefault="00613BBB" w:rsidP="00613BBB">
            <w:pPr>
              <w:jc w:val="center"/>
              <w:rPr>
                <w:rFonts w:cs="Tahoma"/>
                <w:color w:val="000000"/>
                <w:szCs w:val="18"/>
                <w:lang w:val="pt-BR"/>
              </w:rPr>
            </w:pPr>
            <w:r w:rsidRPr="008D38F6">
              <w:rPr>
                <w:rFonts w:cs="Tahoma"/>
                <w:b/>
                <w:bCs/>
                <w:color w:val="000000"/>
                <w:szCs w:val="18"/>
                <w:lang w:val="pt-BR"/>
              </w:rPr>
              <w:t>Média de Gasto de SA Anual</w:t>
            </w:r>
          </w:p>
        </w:tc>
        <w:tc>
          <w:tcPr>
            <w:tcW w:w="2520" w:type="dxa"/>
            <w:shd w:val="clear" w:color="auto" w:fill="FABF8F"/>
          </w:tcPr>
          <w:p w:rsidR="00613BBB" w:rsidRPr="00416070" w:rsidRDefault="00A17E03" w:rsidP="00613BBB">
            <w:pPr>
              <w:jc w:val="center"/>
              <w:rPr>
                <w:rFonts w:cs="Tahoma"/>
                <w:color w:val="000000"/>
                <w:szCs w:val="18"/>
              </w:rPr>
            </w:pPr>
            <w:r w:rsidRPr="00416070">
              <w:rPr>
                <w:rFonts w:cs="Tahoma"/>
                <w:b/>
                <w:bCs/>
                <w:color w:val="000000"/>
                <w:szCs w:val="18"/>
              </w:rPr>
              <w:t>Contatos de suporte permitidos</w:t>
            </w:r>
          </w:p>
        </w:tc>
      </w:tr>
      <w:tr w:rsidR="00613BBB" w:rsidRPr="00416070" w:rsidTr="002A6416">
        <w:tc>
          <w:tcPr>
            <w:tcW w:w="2160" w:type="dxa"/>
          </w:tcPr>
          <w:p w:rsidR="00613BBB" w:rsidRPr="00416070" w:rsidRDefault="00613BBB" w:rsidP="00065570">
            <w:pPr>
              <w:jc w:val="center"/>
              <w:rPr>
                <w:rFonts w:cs="Tahoma"/>
                <w:color w:val="000000"/>
                <w:szCs w:val="18"/>
              </w:rPr>
            </w:pPr>
            <w:r w:rsidRPr="00416070">
              <w:rPr>
                <w:rFonts w:cs="Tahoma"/>
                <w:color w:val="000000"/>
                <w:szCs w:val="18"/>
              </w:rPr>
              <w:t>$250</w:t>
            </w:r>
            <w:r w:rsidR="00065570" w:rsidRPr="00416070">
              <w:rPr>
                <w:rFonts w:cs="Tahoma"/>
                <w:color w:val="000000"/>
                <w:szCs w:val="18"/>
              </w:rPr>
              <w:t>.</w:t>
            </w:r>
            <w:r w:rsidRPr="00416070">
              <w:rPr>
                <w:rFonts w:cs="Tahoma"/>
                <w:color w:val="000000"/>
                <w:szCs w:val="18"/>
              </w:rPr>
              <w:t>000 - $374</w:t>
            </w:r>
            <w:r w:rsidR="00065570" w:rsidRPr="00416070">
              <w:rPr>
                <w:rFonts w:cs="Tahoma"/>
                <w:color w:val="000000"/>
                <w:szCs w:val="18"/>
              </w:rPr>
              <w:t>.</w:t>
            </w:r>
            <w:r w:rsidRPr="00416070">
              <w:rPr>
                <w:rFonts w:cs="Tahoma"/>
                <w:color w:val="000000"/>
                <w:szCs w:val="18"/>
              </w:rPr>
              <w:t>999</w:t>
            </w:r>
          </w:p>
        </w:tc>
        <w:tc>
          <w:tcPr>
            <w:tcW w:w="2520" w:type="dxa"/>
          </w:tcPr>
          <w:p w:rsidR="00613BBB" w:rsidRPr="00416070" w:rsidRDefault="00613BBB" w:rsidP="00613BBB">
            <w:pPr>
              <w:jc w:val="center"/>
              <w:rPr>
                <w:rFonts w:cs="Tahoma"/>
                <w:color w:val="000000"/>
                <w:szCs w:val="18"/>
              </w:rPr>
            </w:pPr>
            <w:r w:rsidRPr="00416070">
              <w:rPr>
                <w:rFonts w:cs="Tahoma"/>
                <w:color w:val="000000"/>
                <w:szCs w:val="18"/>
              </w:rPr>
              <w:t>4</w:t>
            </w:r>
          </w:p>
        </w:tc>
      </w:tr>
      <w:tr w:rsidR="00613BBB" w:rsidRPr="00416070" w:rsidTr="002A6416">
        <w:tc>
          <w:tcPr>
            <w:tcW w:w="2160" w:type="dxa"/>
          </w:tcPr>
          <w:p w:rsidR="00613BBB" w:rsidRPr="00416070" w:rsidRDefault="00613BBB" w:rsidP="00065570">
            <w:pPr>
              <w:jc w:val="center"/>
              <w:rPr>
                <w:rFonts w:cs="Tahoma"/>
                <w:szCs w:val="18"/>
              </w:rPr>
            </w:pPr>
            <w:r w:rsidRPr="00416070">
              <w:rPr>
                <w:rFonts w:cs="Tahoma"/>
                <w:szCs w:val="18"/>
              </w:rPr>
              <w:t>$375</w:t>
            </w:r>
            <w:r w:rsidR="00065570" w:rsidRPr="00416070">
              <w:rPr>
                <w:rFonts w:cs="Tahoma"/>
                <w:szCs w:val="18"/>
              </w:rPr>
              <w:t>.</w:t>
            </w:r>
            <w:r w:rsidRPr="00416070">
              <w:rPr>
                <w:rFonts w:cs="Tahoma"/>
                <w:szCs w:val="18"/>
              </w:rPr>
              <w:t>000 - $499</w:t>
            </w:r>
            <w:r w:rsidR="00065570" w:rsidRPr="00416070">
              <w:rPr>
                <w:rFonts w:cs="Tahoma"/>
                <w:szCs w:val="18"/>
              </w:rPr>
              <w:t>.</w:t>
            </w:r>
            <w:r w:rsidRPr="00416070">
              <w:rPr>
                <w:rFonts w:cs="Tahoma"/>
                <w:szCs w:val="18"/>
              </w:rPr>
              <w:t>999</w:t>
            </w:r>
          </w:p>
        </w:tc>
        <w:tc>
          <w:tcPr>
            <w:tcW w:w="2520" w:type="dxa"/>
          </w:tcPr>
          <w:p w:rsidR="00613BBB" w:rsidRPr="00416070" w:rsidRDefault="00613BBB" w:rsidP="00613BBB">
            <w:pPr>
              <w:jc w:val="center"/>
              <w:rPr>
                <w:rFonts w:cs="Tahoma"/>
                <w:szCs w:val="18"/>
              </w:rPr>
            </w:pPr>
            <w:r w:rsidRPr="00416070">
              <w:rPr>
                <w:rFonts w:cs="Tahoma"/>
                <w:szCs w:val="18"/>
              </w:rPr>
              <w:t>5</w:t>
            </w:r>
          </w:p>
        </w:tc>
      </w:tr>
      <w:tr w:rsidR="00613BBB" w:rsidRPr="00416070" w:rsidTr="002A6416">
        <w:tc>
          <w:tcPr>
            <w:tcW w:w="2160" w:type="dxa"/>
          </w:tcPr>
          <w:p w:rsidR="00613BBB" w:rsidRPr="00416070" w:rsidRDefault="00613BBB" w:rsidP="00065570">
            <w:pPr>
              <w:jc w:val="center"/>
              <w:rPr>
                <w:rFonts w:cs="Tahoma"/>
                <w:szCs w:val="18"/>
              </w:rPr>
            </w:pPr>
            <w:r w:rsidRPr="00416070">
              <w:rPr>
                <w:rFonts w:cs="Tahoma"/>
                <w:szCs w:val="18"/>
              </w:rPr>
              <w:t>$500</w:t>
            </w:r>
            <w:r w:rsidR="00065570" w:rsidRPr="00416070">
              <w:rPr>
                <w:rFonts w:cs="Tahoma"/>
                <w:szCs w:val="18"/>
              </w:rPr>
              <w:t>.</w:t>
            </w:r>
            <w:r w:rsidRPr="00416070">
              <w:rPr>
                <w:rFonts w:cs="Tahoma"/>
                <w:szCs w:val="18"/>
              </w:rPr>
              <w:t>000 - $624</w:t>
            </w:r>
            <w:r w:rsidR="00065570" w:rsidRPr="00416070">
              <w:rPr>
                <w:rFonts w:cs="Tahoma"/>
                <w:szCs w:val="18"/>
              </w:rPr>
              <w:t>.</w:t>
            </w:r>
            <w:r w:rsidRPr="00416070">
              <w:rPr>
                <w:rFonts w:cs="Tahoma"/>
                <w:szCs w:val="18"/>
              </w:rPr>
              <w:t>999</w:t>
            </w:r>
          </w:p>
        </w:tc>
        <w:tc>
          <w:tcPr>
            <w:tcW w:w="2520" w:type="dxa"/>
          </w:tcPr>
          <w:p w:rsidR="00613BBB" w:rsidRPr="00416070" w:rsidRDefault="00613BBB" w:rsidP="00613BBB">
            <w:pPr>
              <w:jc w:val="center"/>
              <w:rPr>
                <w:rFonts w:cs="Tahoma"/>
                <w:szCs w:val="18"/>
              </w:rPr>
            </w:pPr>
            <w:r w:rsidRPr="00416070">
              <w:rPr>
                <w:rFonts w:cs="Tahoma"/>
                <w:szCs w:val="18"/>
              </w:rPr>
              <w:t>6</w:t>
            </w:r>
          </w:p>
        </w:tc>
      </w:tr>
      <w:tr w:rsidR="00613BBB" w:rsidRPr="00416070" w:rsidTr="002A6416">
        <w:tc>
          <w:tcPr>
            <w:tcW w:w="2160" w:type="dxa"/>
          </w:tcPr>
          <w:p w:rsidR="00613BBB" w:rsidRPr="00416070" w:rsidRDefault="00613BBB" w:rsidP="00065570">
            <w:pPr>
              <w:jc w:val="center"/>
              <w:rPr>
                <w:rFonts w:cs="Tahoma"/>
                <w:szCs w:val="18"/>
              </w:rPr>
            </w:pPr>
            <w:r w:rsidRPr="00416070">
              <w:rPr>
                <w:rFonts w:cs="Tahoma"/>
                <w:szCs w:val="18"/>
              </w:rPr>
              <w:t>$625</w:t>
            </w:r>
            <w:r w:rsidR="00065570" w:rsidRPr="00416070">
              <w:rPr>
                <w:rFonts w:cs="Tahoma"/>
                <w:szCs w:val="18"/>
              </w:rPr>
              <w:t>.</w:t>
            </w:r>
            <w:r w:rsidRPr="00416070">
              <w:rPr>
                <w:rFonts w:cs="Tahoma"/>
                <w:szCs w:val="18"/>
              </w:rPr>
              <w:t>000 - $749</w:t>
            </w:r>
            <w:r w:rsidR="00065570" w:rsidRPr="00416070">
              <w:rPr>
                <w:rFonts w:cs="Tahoma"/>
                <w:szCs w:val="18"/>
              </w:rPr>
              <w:t>.</w:t>
            </w:r>
            <w:r w:rsidRPr="00416070">
              <w:rPr>
                <w:rFonts w:cs="Tahoma"/>
                <w:szCs w:val="18"/>
              </w:rPr>
              <w:t>999</w:t>
            </w:r>
          </w:p>
        </w:tc>
        <w:tc>
          <w:tcPr>
            <w:tcW w:w="2520" w:type="dxa"/>
          </w:tcPr>
          <w:p w:rsidR="00613BBB" w:rsidRPr="00416070" w:rsidRDefault="00613BBB" w:rsidP="00613BBB">
            <w:pPr>
              <w:jc w:val="center"/>
              <w:rPr>
                <w:rFonts w:cs="Tahoma"/>
                <w:szCs w:val="18"/>
              </w:rPr>
            </w:pPr>
            <w:r w:rsidRPr="00416070">
              <w:rPr>
                <w:rFonts w:cs="Tahoma"/>
                <w:szCs w:val="18"/>
              </w:rPr>
              <w:t>7</w:t>
            </w:r>
          </w:p>
        </w:tc>
      </w:tr>
      <w:tr w:rsidR="00613BBB" w:rsidRPr="00416070" w:rsidTr="002A6416">
        <w:tc>
          <w:tcPr>
            <w:tcW w:w="2160" w:type="dxa"/>
          </w:tcPr>
          <w:p w:rsidR="00613BBB" w:rsidRPr="00416070" w:rsidRDefault="00613BBB" w:rsidP="00065570">
            <w:pPr>
              <w:jc w:val="center"/>
              <w:rPr>
                <w:rFonts w:cs="Tahoma"/>
                <w:szCs w:val="18"/>
              </w:rPr>
            </w:pPr>
            <w:r w:rsidRPr="00416070">
              <w:rPr>
                <w:rFonts w:cs="Tahoma"/>
                <w:szCs w:val="18"/>
              </w:rPr>
              <w:t>$750</w:t>
            </w:r>
            <w:r w:rsidR="00065570" w:rsidRPr="00416070">
              <w:rPr>
                <w:rFonts w:cs="Tahoma"/>
                <w:szCs w:val="18"/>
              </w:rPr>
              <w:t>.</w:t>
            </w:r>
            <w:r w:rsidRPr="00416070">
              <w:rPr>
                <w:rFonts w:cs="Tahoma"/>
                <w:szCs w:val="18"/>
              </w:rPr>
              <w:t>000 - $874</w:t>
            </w:r>
            <w:r w:rsidR="00065570" w:rsidRPr="00416070">
              <w:rPr>
                <w:rFonts w:cs="Tahoma"/>
                <w:szCs w:val="18"/>
              </w:rPr>
              <w:t>.</w:t>
            </w:r>
            <w:r w:rsidRPr="00416070">
              <w:rPr>
                <w:rFonts w:cs="Tahoma"/>
                <w:szCs w:val="18"/>
              </w:rPr>
              <w:t>999</w:t>
            </w:r>
          </w:p>
        </w:tc>
        <w:tc>
          <w:tcPr>
            <w:tcW w:w="2520" w:type="dxa"/>
          </w:tcPr>
          <w:p w:rsidR="00613BBB" w:rsidRPr="00416070" w:rsidRDefault="00613BBB" w:rsidP="00613BBB">
            <w:pPr>
              <w:jc w:val="center"/>
              <w:rPr>
                <w:rFonts w:cs="Tahoma"/>
                <w:szCs w:val="18"/>
              </w:rPr>
            </w:pPr>
            <w:r w:rsidRPr="00416070">
              <w:rPr>
                <w:rFonts w:cs="Tahoma"/>
                <w:szCs w:val="18"/>
              </w:rPr>
              <w:t>8</w:t>
            </w:r>
          </w:p>
        </w:tc>
      </w:tr>
    </w:tbl>
    <w:p w:rsidR="00613BBB" w:rsidRPr="00416070" w:rsidRDefault="00613BBB" w:rsidP="00613BBB"/>
    <w:p w:rsidR="00A17E03" w:rsidRPr="008D38F6" w:rsidRDefault="00A17E03" w:rsidP="00FF1B2B">
      <w:pPr>
        <w:rPr>
          <w:lang w:val="pt-BR"/>
        </w:rPr>
      </w:pPr>
      <w:r w:rsidRPr="008D38F6">
        <w:rPr>
          <w:rFonts w:cs="Tahoma"/>
          <w:szCs w:val="18"/>
          <w:lang w:val="pt-BR"/>
        </w:rPr>
        <w:t>A seguinte tabela se aplica a clientes que possuam licenças para PDW:</w:t>
      </w:r>
    </w:p>
    <w:p w:rsidR="00A17E03" w:rsidRPr="008D38F6" w:rsidRDefault="00A17E03" w:rsidP="00A17E03">
      <w:pPr>
        <w:rPr>
          <w:lang w:val="pt-B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416070" w:rsidTr="002A6416">
        <w:tc>
          <w:tcPr>
            <w:tcW w:w="2160" w:type="dxa"/>
            <w:shd w:val="clear" w:color="auto" w:fill="FABF8F"/>
          </w:tcPr>
          <w:p w:rsidR="00A17E03" w:rsidRPr="008D38F6" w:rsidRDefault="00A17E03" w:rsidP="00A17E03">
            <w:pPr>
              <w:jc w:val="center"/>
              <w:rPr>
                <w:rFonts w:cs="Tahoma"/>
                <w:color w:val="000000"/>
                <w:szCs w:val="18"/>
                <w:lang w:val="pt-BR"/>
              </w:rPr>
            </w:pPr>
            <w:r w:rsidRPr="008D38F6">
              <w:rPr>
                <w:rFonts w:cs="Tahoma"/>
                <w:b/>
                <w:bCs/>
                <w:color w:val="000000"/>
                <w:szCs w:val="18"/>
                <w:lang w:val="pt-BR"/>
              </w:rPr>
              <w:t>Média de Gasto de SA Anual</w:t>
            </w:r>
          </w:p>
        </w:tc>
        <w:tc>
          <w:tcPr>
            <w:tcW w:w="2520" w:type="dxa"/>
            <w:shd w:val="clear" w:color="auto" w:fill="FABF8F"/>
          </w:tcPr>
          <w:p w:rsidR="00A17E03" w:rsidRPr="00416070" w:rsidRDefault="00A17E03" w:rsidP="00A17E03">
            <w:pPr>
              <w:jc w:val="center"/>
              <w:rPr>
                <w:rFonts w:cs="Tahoma"/>
                <w:color w:val="000000"/>
                <w:szCs w:val="18"/>
              </w:rPr>
            </w:pPr>
            <w:r w:rsidRPr="00416070">
              <w:rPr>
                <w:rFonts w:cs="Tahoma"/>
                <w:b/>
                <w:bCs/>
                <w:color w:val="000000"/>
                <w:szCs w:val="18"/>
              </w:rPr>
              <w:t>Contatos de suporte permitidos</w:t>
            </w:r>
          </w:p>
        </w:tc>
      </w:tr>
      <w:tr w:rsidR="00A17E03" w:rsidRPr="00416070" w:rsidTr="002A6416">
        <w:tc>
          <w:tcPr>
            <w:tcW w:w="2160" w:type="dxa"/>
          </w:tcPr>
          <w:p w:rsidR="00A17E03" w:rsidRPr="00416070" w:rsidRDefault="00A17E03" w:rsidP="00065570">
            <w:pPr>
              <w:jc w:val="center"/>
              <w:rPr>
                <w:rFonts w:cs="Tahoma"/>
                <w:color w:val="000000"/>
                <w:szCs w:val="18"/>
              </w:rPr>
            </w:pPr>
            <w:r w:rsidRPr="00416070">
              <w:rPr>
                <w:rFonts w:cs="Tahoma"/>
                <w:color w:val="000000"/>
                <w:szCs w:val="18"/>
              </w:rPr>
              <w:t>$0 - $374</w:t>
            </w:r>
            <w:r w:rsidR="00065570" w:rsidRPr="00416070">
              <w:rPr>
                <w:rFonts w:cs="Tahoma"/>
                <w:color w:val="000000"/>
                <w:szCs w:val="18"/>
              </w:rPr>
              <w:t>.</w:t>
            </w:r>
            <w:r w:rsidRPr="00416070">
              <w:rPr>
                <w:rFonts w:cs="Tahoma"/>
                <w:color w:val="000000"/>
                <w:szCs w:val="18"/>
              </w:rPr>
              <w:t>999</w:t>
            </w:r>
          </w:p>
        </w:tc>
        <w:tc>
          <w:tcPr>
            <w:tcW w:w="2520" w:type="dxa"/>
          </w:tcPr>
          <w:p w:rsidR="00A17E03" w:rsidRPr="00416070" w:rsidRDefault="00A17E03" w:rsidP="00A17E03">
            <w:pPr>
              <w:jc w:val="center"/>
              <w:rPr>
                <w:rFonts w:cs="Tahoma"/>
                <w:color w:val="000000"/>
                <w:szCs w:val="18"/>
              </w:rPr>
            </w:pPr>
            <w:r w:rsidRPr="00416070">
              <w:rPr>
                <w:rFonts w:cs="Tahoma"/>
                <w:color w:val="000000"/>
                <w:szCs w:val="18"/>
              </w:rPr>
              <w:t>4</w:t>
            </w:r>
          </w:p>
        </w:tc>
      </w:tr>
      <w:tr w:rsidR="00A17E03" w:rsidRPr="00416070" w:rsidTr="002A6416">
        <w:tc>
          <w:tcPr>
            <w:tcW w:w="2160" w:type="dxa"/>
          </w:tcPr>
          <w:p w:rsidR="00A17E03" w:rsidRPr="00416070" w:rsidRDefault="00A17E03" w:rsidP="00065570">
            <w:pPr>
              <w:jc w:val="center"/>
              <w:rPr>
                <w:rFonts w:cs="Tahoma"/>
                <w:szCs w:val="18"/>
              </w:rPr>
            </w:pPr>
            <w:r w:rsidRPr="00416070">
              <w:rPr>
                <w:rFonts w:cs="Tahoma"/>
                <w:szCs w:val="18"/>
              </w:rPr>
              <w:t>$375</w:t>
            </w:r>
            <w:r w:rsidR="00065570" w:rsidRPr="00416070">
              <w:rPr>
                <w:rFonts w:cs="Tahoma"/>
                <w:szCs w:val="18"/>
              </w:rPr>
              <w:t>.</w:t>
            </w:r>
            <w:r w:rsidRPr="00416070">
              <w:rPr>
                <w:rFonts w:cs="Tahoma"/>
                <w:szCs w:val="18"/>
              </w:rPr>
              <w:t>000 - $499</w:t>
            </w:r>
            <w:r w:rsidR="00065570" w:rsidRPr="00416070">
              <w:rPr>
                <w:rFonts w:cs="Tahoma"/>
                <w:szCs w:val="18"/>
              </w:rPr>
              <w:t>.</w:t>
            </w:r>
            <w:r w:rsidRPr="00416070">
              <w:rPr>
                <w:rFonts w:cs="Tahoma"/>
                <w:szCs w:val="18"/>
              </w:rPr>
              <w:t>999</w:t>
            </w:r>
          </w:p>
        </w:tc>
        <w:tc>
          <w:tcPr>
            <w:tcW w:w="2520" w:type="dxa"/>
          </w:tcPr>
          <w:p w:rsidR="00A17E03" w:rsidRPr="00416070" w:rsidRDefault="00A17E03" w:rsidP="00A17E03">
            <w:pPr>
              <w:jc w:val="center"/>
              <w:rPr>
                <w:rFonts w:cs="Tahoma"/>
                <w:szCs w:val="18"/>
              </w:rPr>
            </w:pPr>
            <w:r w:rsidRPr="00416070">
              <w:rPr>
                <w:rFonts w:cs="Tahoma"/>
                <w:szCs w:val="18"/>
              </w:rPr>
              <w:t>5</w:t>
            </w:r>
          </w:p>
        </w:tc>
      </w:tr>
      <w:tr w:rsidR="00A17E03" w:rsidRPr="00416070" w:rsidTr="002A6416">
        <w:tc>
          <w:tcPr>
            <w:tcW w:w="2160" w:type="dxa"/>
          </w:tcPr>
          <w:p w:rsidR="00A17E03" w:rsidRPr="00416070" w:rsidRDefault="00A17E03" w:rsidP="00065570">
            <w:pPr>
              <w:jc w:val="center"/>
              <w:rPr>
                <w:rFonts w:cs="Tahoma"/>
                <w:szCs w:val="18"/>
              </w:rPr>
            </w:pPr>
            <w:r w:rsidRPr="00416070">
              <w:rPr>
                <w:rFonts w:cs="Tahoma"/>
                <w:szCs w:val="18"/>
              </w:rPr>
              <w:t>$500</w:t>
            </w:r>
            <w:r w:rsidR="00065570" w:rsidRPr="00416070">
              <w:rPr>
                <w:rFonts w:cs="Tahoma"/>
                <w:szCs w:val="18"/>
              </w:rPr>
              <w:t>.</w:t>
            </w:r>
            <w:r w:rsidRPr="00416070">
              <w:rPr>
                <w:rFonts w:cs="Tahoma"/>
                <w:szCs w:val="18"/>
              </w:rPr>
              <w:t>000 - $624</w:t>
            </w:r>
            <w:r w:rsidR="00065570" w:rsidRPr="00416070">
              <w:rPr>
                <w:rFonts w:cs="Tahoma"/>
                <w:szCs w:val="18"/>
              </w:rPr>
              <w:t>.</w:t>
            </w:r>
            <w:r w:rsidRPr="00416070">
              <w:rPr>
                <w:rFonts w:cs="Tahoma"/>
                <w:szCs w:val="18"/>
              </w:rPr>
              <w:t>999</w:t>
            </w:r>
          </w:p>
        </w:tc>
        <w:tc>
          <w:tcPr>
            <w:tcW w:w="2520" w:type="dxa"/>
          </w:tcPr>
          <w:p w:rsidR="00A17E03" w:rsidRPr="00416070" w:rsidRDefault="00A17E03" w:rsidP="00A17E03">
            <w:pPr>
              <w:jc w:val="center"/>
              <w:rPr>
                <w:rFonts w:cs="Tahoma"/>
                <w:szCs w:val="18"/>
              </w:rPr>
            </w:pPr>
            <w:r w:rsidRPr="00416070">
              <w:rPr>
                <w:rFonts w:cs="Tahoma"/>
                <w:szCs w:val="18"/>
              </w:rPr>
              <w:t>6</w:t>
            </w:r>
          </w:p>
        </w:tc>
      </w:tr>
      <w:tr w:rsidR="00A17E03" w:rsidRPr="00416070" w:rsidTr="002A6416">
        <w:tc>
          <w:tcPr>
            <w:tcW w:w="2160" w:type="dxa"/>
          </w:tcPr>
          <w:p w:rsidR="00A17E03" w:rsidRPr="00416070" w:rsidRDefault="00A17E03" w:rsidP="00065570">
            <w:pPr>
              <w:jc w:val="center"/>
              <w:rPr>
                <w:rFonts w:cs="Tahoma"/>
                <w:szCs w:val="18"/>
              </w:rPr>
            </w:pPr>
            <w:r w:rsidRPr="00416070">
              <w:rPr>
                <w:rFonts w:cs="Tahoma"/>
                <w:szCs w:val="18"/>
              </w:rPr>
              <w:t>$625</w:t>
            </w:r>
            <w:r w:rsidR="00065570" w:rsidRPr="00416070">
              <w:rPr>
                <w:rFonts w:cs="Tahoma"/>
                <w:szCs w:val="18"/>
              </w:rPr>
              <w:t>.</w:t>
            </w:r>
            <w:r w:rsidRPr="00416070">
              <w:rPr>
                <w:rFonts w:cs="Tahoma"/>
                <w:szCs w:val="18"/>
              </w:rPr>
              <w:t>000 - $749</w:t>
            </w:r>
            <w:r w:rsidR="00065570" w:rsidRPr="00416070">
              <w:rPr>
                <w:rFonts w:cs="Tahoma"/>
                <w:szCs w:val="18"/>
              </w:rPr>
              <w:t>.</w:t>
            </w:r>
            <w:r w:rsidRPr="00416070">
              <w:rPr>
                <w:rFonts w:cs="Tahoma"/>
                <w:szCs w:val="18"/>
              </w:rPr>
              <w:t>999</w:t>
            </w:r>
          </w:p>
        </w:tc>
        <w:tc>
          <w:tcPr>
            <w:tcW w:w="2520" w:type="dxa"/>
          </w:tcPr>
          <w:p w:rsidR="00A17E03" w:rsidRPr="00416070" w:rsidRDefault="00A17E03" w:rsidP="00A17E03">
            <w:pPr>
              <w:jc w:val="center"/>
              <w:rPr>
                <w:rFonts w:cs="Tahoma"/>
                <w:szCs w:val="18"/>
              </w:rPr>
            </w:pPr>
            <w:r w:rsidRPr="00416070">
              <w:rPr>
                <w:rFonts w:cs="Tahoma"/>
                <w:szCs w:val="18"/>
              </w:rPr>
              <w:t>7</w:t>
            </w:r>
          </w:p>
        </w:tc>
      </w:tr>
      <w:tr w:rsidR="00A17E03" w:rsidRPr="00416070" w:rsidTr="002A6416">
        <w:tc>
          <w:tcPr>
            <w:tcW w:w="2160" w:type="dxa"/>
          </w:tcPr>
          <w:p w:rsidR="00A17E03" w:rsidRPr="00416070" w:rsidRDefault="00A17E03" w:rsidP="00065570">
            <w:pPr>
              <w:jc w:val="center"/>
              <w:rPr>
                <w:rFonts w:cs="Tahoma"/>
                <w:szCs w:val="18"/>
              </w:rPr>
            </w:pPr>
            <w:r w:rsidRPr="00416070">
              <w:rPr>
                <w:rFonts w:cs="Tahoma"/>
                <w:szCs w:val="18"/>
              </w:rPr>
              <w:t>$750</w:t>
            </w:r>
            <w:r w:rsidR="00065570" w:rsidRPr="00416070">
              <w:rPr>
                <w:rFonts w:cs="Tahoma"/>
                <w:szCs w:val="18"/>
              </w:rPr>
              <w:t>.</w:t>
            </w:r>
            <w:r w:rsidRPr="00416070">
              <w:rPr>
                <w:rFonts w:cs="Tahoma"/>
                <w:szCs w:val="18"/>
              </w:rPr>
              <w:t>000 - $874</w:t>
            </w:r>
            <w:r w:rsidR="00065570" w:rsidRPr="00416070">
              <w:rPr>
                <w:rFonts w:cs="Tahoma"/>
                <w:szCs w:val="18"/>
              </w:rPr>
              <w:t>.</w:t>
            </w:r>
            <w:r w:rsidRPr="00416070">
              <w:rPr>
                <w:rFonts w:cs="Tahoma"/>
                <w:szCs w:val="18"/>
              </w:rPr>
              <w:t>999</w:t>
            </w:r>
          </w:p>
        </w:tc>
        <w:tc>
          <w:tcPr>
            <w:tcW w:w="2520" w:type="dxa"/>
          </w:tcPr>
          <w:p w:rsidR="00A17E03" w:rsidRPr="00416070" w:rsidRDefault="00A17E03" w:rsidP="00A17E03">
            <w:pPr>
              <w:jc w:val="center"/>
              <w:rPr>
                <w:rFonts w:cs="Tahoma"/>
                <w:szCs w:val="18"/>
              </w:rPr>
            </w:pPr>
            <w:r w:rsidRPr="00416070">
              <w:rPr>
                <w:rFonts w:cs="Tahoma"/>
                <w:szCs w:val="18"/>
              </w:rPr>
              <w:t>8</w:t>
            </w:r>
          </w:p>
        </w:tc>
      </w:tr>
    </w:tbl>
    <w:p w:rsidR="00A17E03" w:rsidRPr="008D38F6" w:rsidRDefault="00A17E03" w:rsidP="00F42FB8">
      <w:pPr>
        <w:jc w:val="both"/>
        <w:rPr>
          <w:lang w:val="pt-BR"/>
        </w:rPr>
      </w:pPr>
      <w:r w:rsidRPr="008D38F6">
        <w:rPr>
          <w:rFonts w:cs="Tahoma"/>
          <w:szCs w:val="18"/>
          <w:lang w:val="pt-BR"/>
        </w:rPr>
        <w:lastRenderedPageBreak/>
        <w:t>As solicitações de suporte devem ser iniciadas via telefone ou Web por um contato designado do cliente e seguir o</w:t>
      </w:r>
      <w:r w:rsidR="00273C7F" w:rsidRPr="008D38F6">
        <w:rPr>
          <w:rFonts w:cs="Tahoma"/>
          <w:szCs w:val="18"/>
          <w:lang w:val="pt-BR"/>
        </w:rPr>
        <w:t> </w:t>
      </w:r>
      <w:r w:rsidRPr="008D38F6">
        <w:rPr>
          <w:rFonts w:cs="Tahoma"/>
          <w:szCs w:val="18"/>
          <w:lang w:val="pt-BR"/>
        </w:rPr>
        <w:t>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w:t>
      </w:r>
      <w:r w:rsidR="007E2720" w:rsidRPr="008D38F6">
        <w:rPr>
          <w:rFonts w:cs="Tahoma"/>
          <w:szCs w:val="18"/>
          <w:lang w:val="pt-BR"/>
        </w:rPr>
        <w:t xml:space="preserve"> cliente.</w:t>
      </w:r>
    </w:p>
    <w:p w:rsidR="00023FE7" w:rsidRPr="00416070" w:rsidRDefault="00023FE7" w:rsidP="00F42FB8">
      <w:pPr>
        <w:pStyle w:val="Heading3"/>
        <w:rPr>
          <w:rFonts w:ascii="Tahoma" w:hAnsi="Tahoma" w:cs="Tahoma"/>
          <w:b w:val="0"/>
          <w:sz w:val="18"/>
          <w:szCs w:val="18"/>
        </w:rPr>
      </w:pPr>
    </w:p>
    <w:p w:rsidR="00620185" w:rsidRPr="00416070" w:rsidRDefault="00620185" w:rsidP="00F42FB8">
      <w:pPr>
        <w:pStyle w:val="Heading3"/>
      </w:pPr>
      <w:bookmarkStart w:id="797" w:name="_Toc336338238"/>
      <w:bookmarkStart w:id="798" w:name="_Toc352234306"/>
      <w:r w:rsidRPr="00416070">
        <w:rPr>
          <w:rFonts w:ascii="Tahoma" w:hAnsi="Tahoma" w:cs="Tahoma"/>
          <w:color w:val="000000"/>
          <w:sz w:val="24"/>
          <w:szCs w:val="18"/>
        </w:rPr>
        <w:t>System Center Advisor</w:t>
      </w:r>
      <w:bookmarkEnd w:id="797"/>
      <w:bookmarkEnd w:id="798"/>
    </w:p>
    <w:p w:rsidR="00620185" w:rsidRPr="008D38F6" w:rsidRDefault="00620185" w:rsidP="00F42FB8">
      <w:pPr>
        <w:rPr>
          <w:lang w:val="pt-BR"/>
        </w:rPr>
      </w:pPr>
    </w:p>
    <w:p w:rsidR="001C1727" w:rsidRPr="008D38F6" w:rsidRDefault="00F56FC9">
      <w:pPr>
        <w:rPr>
          <w:lang w:val="pt-BR"/>
        </w:rPr>
      </w:pPr>
      <w:r w:rsidRPr="008D38F6">
        <w:rPr>
          <w:rFonts w:cs="Tahoma"/>
          <w:szCs w:val="18"/>
          <w:lang w:val="pt-BR"/>
        </w:rPr>
        <w:t xml:space="preserve">Os clientes com cobertura de Software Assurance ativa para licenças de software para as edições do Windows Server, SQL Server, Exchange Server e SharePoint Server identificadas na tabela a seguir estão qualificados para usar o System Center Advisor conforme definido </w:t>
      </w:r>
      <w:r w:rsidR="007E2720" w:rsidRPr="008D38F6">
        <w:rPr>
          <w:rFonts w:cs="Tahoma"/>
          <w:szCs w:val="18"/>
          <w:lang w:val="pt-BR"/>
        </w:rPr>
        <w:t>nos Direitos de Uso do Produto.</w:t>
      </w:r>
    </w:p>
    <w:p w:rsidR="003479E5" w:rsidRPr="008D38F6" w:rsidRDefault="003479E5" w:rsidP="00792D1E">
      <w:pPr>
        <w:outlineLvl w:val="2"/>
        <w:rPr>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416070" w:rsidTr="007E466C">
        <w:tc>
          <w:tcPr>
            <w:tcW w:w="3760" w:type="dxa"/>
            <w:gridSpan w:val="2"/>
            <w:shd w:val="clear" w:color="auto" w:fill="FABF8F"/>
          </w:tcPr>
          <w:p w:rsidR="00A13BC3" w:rsidRPr="00416070" w:rsidRDefault="00A13BC3" w:rsidP="007E466C">
            <w:pPr>
              <w:spacing w:before="120" w:after="120" w:line="276" w:lineRule="auto"/>
              <w:jc w:val="center"/>
              <w:rPr>
                <w:rFonts w:cs="Tahoma"/>
                <w:b/>
                <w:bCs/>
                <w:color w:val="000000"/>
                <w:szCs w:val="18"/>
                <w:lang w:eastAsia="ja-JP"/>
              </w:rPr>
            </w:pPr>
            <w:r w:rsidRPr="00416070">
              <w:rPr>
                <w:rFonts w:cs="Tahoma"/>
                <w:b/>
                <w:bCs/>
                <w:color w:val="000000"/>
                <w:szCs w:val="18"/>
              </w:rPr>
              <w:t>Software* para Servidores Qualificado</w:t>
            </w:r>
          </w:p>
        </w:tc>
        <w:tc>
          <w:tcPr>
            <w:tcW w:w="1774" w:type="dxa"/>
            <w:shd w:val="clear" w:color="auto" w:fill="FABF8F"/>
          </w:tcPr>
          <w:p w:rsidR="00A13BC3" w:rsidRPr="00416070"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416070"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416070" w:rsidRDefault="00A13BC3" w:rsidP="003479E5">
            <w:pPr>
              <w:spacing w:after="200" w:line="276" w:lineRule="auto"/>
              <w:jc w:val="center"/>
              <w:rPr>
                <w:rFonts w:cs="Tahoma"/>
                <w:b/>
                <w:bCs/>
                <w:color w:val="000000"/>
                <w:szCs w:val="18"/>
                <w:lang w:eastAsia="ja-JP"/>
              </w:rPr>
            </w:pPr>
          </w:p>
        </w:tc>
      </w:tr>
      <w:tr w:rsidR="00A13BC3" w:rsidRPr="00416070" w:rsidTr="00273C7F">
        <w:tc>
          <w:tcPr>
            <w:tcW w:w="1912" w:type="dxa"/>
            <w:shd w:val="clear" w:color="auto" w:fill="FABF8F"/>
            <w:vAlign w:val="center"/>
          </w:tcPr>
          <w:p w:rsidR="00A13BC3" w:rsidRPr="00416070" w:rsidRDefault="00A13BC3" w:rsidP="007E466C">
            <w:pPr>
              <w:spacing w:before="120" w:after="120" w:line="276" w:lineRule="auto"/>
              <w:jc w:val="center"/>
              <w:rPr>
                <w:rFonts w:cs="Tahoma"/>
                <w:color w:val="000000"/>
                <w:szCs w:val="18"/>
                <w:lang w:eastAsia="ja-JP"/>
              </w:rPr>
            </w:pPr>
            <w:r w:rsidRPr="00416070">
              <w:rPr>
                <w:rFonts w:cs="Tahoma"/>
                <w:b/>
                <w:bCs/>
                <w:color w:val="000000"/>
                <w:szCs w:val="18"/>
              </w:rPr>
              <w:t>Windows Server</w:t>
            </w:r>
          </w:p>
        </w:tc>
        <w:tc>
          <w:tcPr>
            <w:tcW w:w="1848" w:type="dxa"/>
            <w:shd w:val="clear" w:color="auto" w:fill="FABF8F"/>
            <w:vAlign w:val="center"/>
          </w:tcPr>
          <w:p w:rsidR="00A13BC3" w:rsidRPr="00416070" w:rsidRDefault="00A13BC3" w:rsidP="007E466C">
            <w:pPr>
              <w:spacing w:before="120" w:after="120" w:line="276" w:lineRule="auto"/>
              <w:jc w:val="center"/>
              <w:rPr>
                <w:rFonts w:cs="Tahoma"/>
                <w:color w:val="000000"/>
                <w:szCs w:val="18"/>
                <w:lang w:eastAsia="ja-JP"/>
              </w:rPr>
            </w:pPr>
            <w:r w:rsidRPr="00416070">
              <w:rPr>
                <w:rFonts w:cs="Tahoma"/>
                <w:b/>
                <w:bCs/>
                <w:color w:val="000000"/>
                <w:szCs w:val="18"/>
              </w:rPr>
              <w:t>SQL Server</w:t>
            </w:r>
          </w:p>
        </w:tc>
        <w:tc>
          <w:tcPr>
            <w:tcW w:w="1774" w:type="dxa"/>
            <w:shd w:val="clear" w:color="auto" w:fill="FABF8F"/>
            <w:vAlign w:val="center"/>
          </w:tcPr>
          <w:p w:rsidR="00A13BC3" w:rsidRPr="00416070" w:rsidRDefault="00A13BC3" w:rsidP="007E466C">
            <w:pPr>
              <w:spacing w:before="120" w:after="120" w:line="276" w:lineRule="auto"/>
              <w:jc w:val="center"/>
              <w:rPr>
                <w:rFonts w:cs="Tahoma"/>
                <w:b/>
                <w:bCs/>
                <w:color w:val="000000"/>
                <w:szCs w:val="18"/>
                <w:lang w:eastAsia="ja-JP"/>
              </w:rPr>
            </w:pPr>
            <w:r w:rsidRPr="00416070">
              <w:rPr>
                <w:rFonts w:cs="Tahoma"/>
                <w:b/>
                <w:bCs/>
                <w:color w:val="000000"/>
                <w:szCs w:val="18"/>
              </w:rPr>
              <w:t>Exchange Server</w:t>
            </w:r>
          </w:p>
        </w:tc>
        <w:tc>
          <w:tcPr>
            <w:tcW w:w="1913" w:type="dxa"/>
            <w:gridSpan w:val="2"/>
            <w:shd w:val="clear" w:color="auto" w:fill="FABF8F"/>
            <w:vAlign w:val="center"/>
          </w:tcPr>
          <w:p w:rsidR="00A13BC3" w:rsidRPr="00416070" w:rsidRDefault="00A13BC3" w:rsidP="007E466C">
            <w:pPr>
              <w:spacing w:before="120" w:after="120" w:line="276" w:lineRule="auto"/>
              <w:jc w:val="center"/>
              <w:rPr>
                <w:rFonts w:cs="Tahoma"/>
                <w:b/>
                <w:bCs/>
                <w:color w:val="000000"/>
                <w:szCs w:val="18"/>
                <w:lang w:eastAsia="ja-JP"/>
              </w:rPr>
            </w:pPr>
            <w:r w:rsidRPr="00416070">
              <w:rPr>
                <w:rFonts w:cs="Tahoma"/>
                <w:b/>
                <w:bCs/>
                <w:color w:val="000000"/>
                <w:szCs w:val="18"/>
              </w:rPr>
              <w:t>SharePoint Server</w:t>
            </w:r>
          </w:p>
        </w:tc>
        <w:tc>
          <w:tcPr>
            <w:tcW w:w="1391" w:type="dxa"/>
            <w:shd w:val="clear" w:color="auto" w:fill="FABF8F"/>
            <w:vAlign w:val="center"/>
          </w:tcPr>
          <w:p w:rsidR="00A13BC3" w:rsidRPr="00416070" w:rsidRDefault="00A13BC3" w:rsidP="007E466C">
            <w:pPr>
              <w:spacing w:before="120" w:after="120" w:line="276" w:lineRule="auto"/>
              <w:jc w:val="center"/>
              <w:rPr>
                <w:rFonts w:cs="Tahoma"/>
                <w:b/>
                <w:bCs/>
                <w:color w:val="000000"/>
                <w:szCs w:val="18"/>
                <w:lang w:eastAsia="ja-JP"/>
              </w:rPr>
            </w:pPr>
            <w:r w:rsidRPr="00416070">
              <w:rPr>
                <w:rFonts w:cs="Tahoma"/>
                <w:b/>
                <w:bCs/>
                <w:color w:val="000000"/>
                <w:szCs w:val="18"/>
              </w:rPr>
              <w:t>Lync Server</w:t>
            </w:r>
          </w:p>
        </w:tc>
      </w:tr>
      <w:tr w:rsidR="00A13BC3" w:rsidRPr="00416070" w:rsidTr="00273C7F">
        <w:tc>
          <w:tcPr>
            <w:tcW w:w="1912" w:type="dxa"/>
          </w:tcPr>
          <w:p w:rsidR="00A13BC3" w:rsidRPr="00416070" w:rsidRDefault="00A13BC3" w:rsidP="003479E5">
            <w:pPr>
              <w:spacing w:after="200" w:line="276" w:lineRule="auto"/>
              <w:jc w:val="center"/>
              <w:rPr>
                <w:rFonts w:cs="Tahoma"/>
                <w:color w:val="000000"/>
                <w:szCs w:val="18"/>
                <w:lang w:eastAsia="ja-JP"/>
              </w:rPr>
            </w:pPr>
            <w:r w:rsidRPr="00416070">
              <w:rPr>
                <w:rFonts w:cs="Tahoma"/>
                <w:color w:val="000000"/>
                <w:szCs w:val="18"/>
              </w:rPr>
              <w:t>Windows Server Datacenter</w:t>
            </w:r>
          </w:p>
        </w:tc>
        <w:tc>
          <w:tcPr>
            <w:tcW w:w="1848" w:type="dxa"/>
          </w:tcPr>
          <w:p w:rsidR="00A13BC3" w:rsidRPr="00416070" w:rsidRDefault="00A13BC3" w:rsidP="003479E5">
            <w:pPr>
              <w:spacing w:after="200" w:line="276" w:lineRule="auto"/>
              <w:jc w:val="center"/>
              <w:rPr>
                <w:rFonts w:cs="Tahoma"/>
                <w:color w:val="000000"/>
                <w:szCs w:val="18"/>
                <w:lang w:eastAsia="ja-JP"/>
              </w:rPr>
            </w:pPr>
            <w:r w:rsidRPr="00416070">
              <w:rPr>
                <w:rFonts w:cs="Tahoma"/>
                <w:color w:val="000000"/>
                <w:szCs w:val="18"/>
              </w:rPr>
              <w:t xml:space="preserve">SQL Server Parallel Data Warehouse </w:t>
            </w:r>
          </w:p>
        </w:tc>
        <w:tc>
          <w:tcPr>
            <w:tcW w:w="1774" w:type="dxa"/>
          </w:tcPr>
          <w:p w:rsidR="00A13BC3" w:rsidRPr="00416070" w:rsidRDefault="00A13BC3" w:rsidP="003479E5">
            <w:pPr>
              <w:spacing w:after="200" w:line="276" w:lineRule="auto"/>
              <w:jc w:val="center"/>
              <w:rPr>
                <w:rFonts w:cs="Tahoma"/>
                <w:color w:val="000000"/>
                <w:szCs w:val="18"/>
                <w:lang w:eastAsia="ja-JP"/>
              </w:rPr>
            </w:pPr>
            <w:r w:rsidRPr="00416070">
              <w:rPr>
                <w:rFonts w:cs="Tahoma"/>
                <w:color w:val="000000"/>
                <w:szCs w:val="18"/>
              </w:rPr>
              <w:t>Exchange Small Business Server</w:t>
            </w:r>
          </w:p>
        </w:tc>
        <w:tc>
          <w:tcPr>
            <w:tcW w:w="1913" w:type="dxa"/>
            <w:gridSpan w:val="2"/>
          </w:tcPr>
          <w:p w:rsidR="00A13BC3" w:rsidRPr="00416070" w:rsidRDefault="00A13BC3" w:rsidP="003479E5">
            <w:pPr>
              <w:spacing w:after="200" w:line="276" w:lineRule="auto"/>
              <w:jc w:val="center"/>
              <w:rPr>
                <w:rFonts w:cs="Tahoma"/>
                <w:color w:val="000000"/>
                <w:szCs w:val="18"/>
                <w:lang w:eastAsia="ja-JP"/>
              </w:rPr>
            </w:pPr>
            <w:r w:rsidRPr="00416070">
              <w:rPr>
                <w:rFonts w:cs="Tahoma"/>
                <w:color w:val="000000"/>
                <w:szCs w:val="18"/>
              </w:rPr>
              <w:t>SharePoint Server Enterprise para Sites da Internet</w:t>
            </w:r>
          </w:p>
        </w:tc>
        <w:tc>
          <w:tcPr>
            <w:tcW w:w="1391" w:type="dxa"/>
          </w:tcPr>
          <w:p w:rsidR="00A13BC3" w:rsidRPr="00416070" w:rsidRDefault="00A13BC3" w:rsidP="003479E5">
            <w:pPr>
              <w:spacing w:after="200" w:line="276" w:lineRule="auto"/>
              <w:jc w:val="center"/>
              <w:rPr>
                <w:rFonts w:cs="Tahoma"/>
                <w:color w:val="000000"/>
                <w:szCs w:val="18"/>
                <w:lang w:eastAsia="ja-JP"/>
              </w:rPr>
            </w:pPr>
            <w:r w:rsidRPr="00416070">
              <w:rPr>
                <w:rFonts w:cs="Tahoma"/>
                <w:color w:val="000000"/>
                <w:szCs w:val="18"/>
              </w:rPr>
              <w:t>Lync Server 2010 Enterprise Edition</w:t>
            </w:r>
          </w:p>
        </w:tc>
      </w:tr>
      <w:tr w:rsidR="00A13BC3" w:rsidRPr="00416070" w:rsidTr="00273C7F">
        <w:tc>
          <w:tcPr>
            <w:tcW w:w="1912" w:type="dxa"/>
          </w:tcPr>
          <w:p w:rsidR="00A13BC3" w:rsidRPr="00416070" w:rsidRDefault="00A13BC3" w:rsidP="003479E5">
            <w:pPr>
              <w:spacing w:after="200" w:line="276" w:lineRule="auto"/>
              <w:jc w:val="center"/>
              <w:rPr>
                <w:rFonts w:cs="Tahoma"/>
                <w:szCs w:val="18"/>
              </w:rPr>
            </w:pPr>
            <w:r w:rsidRPr="00416070">
              <w:rPr>
                <w:rFonts w:cs="Tahoma"/>
                <w:color w:val="000000"/>
                <w:szCs w:val="18"/>
              </w:rPr>
              <w:t>Windows Server Enterprise</w:t>
            </w:r>
          </w:p>
        </w:tc>
        <w:tc>
          <w:tcPr>
            <w:tcW w:w="1848" w:type="dxa"/>
          </w:tcPr>
          <w:p w:rsidR="00A13BC3" w:rsidRPr="00416070" w:rsidRDefault="00A13BC3" w:rsidP="003479E5">
            <w:pPr>
              <w:spacing w:after="200" w:line="276" w:lineRule="auto"/>
              <w:jc w:val="center"/>
              <w:rPr>
                <w:rFonts w:cs="Tahoma"/>
                <w:szCs w:val="18"/>
                <w:lang w:eastAsia="ja-JP"/>
              </w:rPr>
            </w:pPr>
            <w:r w:rsidRPr="00416070">
              <w:rPr>
                <w:rFonts w:cs="Tahoma"/>
                <w:color w:val="000000"/>
                <w:szCs w:val="18"/>
              </w:rPr>
              <w:t>SQL Server Datacenter</w:t>
            </w:r>
          </w:p>
        </w:tc>
        <w:tc>
          <w:tcPr>
            <w:tcW w:w="1774" w:type="dxa"/>
          </w:tcPr>
          <w:p w:rsidR="00A13BC3" w:rsidRPr="00416070" w:rsidRDefault="00A13BC3" w:rsidP="003479E5">
            <w:pPr>
              <w:spacing w:after="200" w:line="276" w:lineRule="auto"/>
              <w:jc w:val="center"/>
              <w:rPr>
                <w:rFonts w:cs="Tahoma"/>
                <w:color w:val="000000"/>
                <w:szCs w:val="18"/>
                <w:lang w:eastAsia="ja-JP"/>
              </w:rPr>
            </w:pPr>
            <w:r w:rsidRPr="00416070">
              <w:rPr>
                <w:rFonts w:cs="Tahoma"/>
                <w:color w:val="000000"/>
                <w:szCs w:val="18"/>
              </w:rPr>
              <w:t>Exchange Server Enterprise</w:t>
            </w:r>
          </w:p>
        </w:tc>
        <w:tc>
          <w:tcPr>
            <w:tcW w:w="1913" w:type="dxa"/>
            <w:gridSpan w:val="2"/>
          </w:tcPr>
          <w:p w:rsidR="00A13BC3" w:rsidRPr="00416070" w:rsidRDefault="00A13BC3" w:rsidP="003479E5">
            <w:pPr>
              <w:spacing w:after="200" w:line="276" w:lineRule="auto"/>
              <w:jc w:val="center"/>
              <w:rPr>
                <w:rFonts w:cs="Tahoma"/>
                <w:color w:val="000000"/>
                <w:szCs w:val="18"/>
                <w:lang w:eastAsia="ja-JP"/>
              </w:rPr>
            </w:pPr>
            <w:r w:rsidRPr="00416070">
              <w:rPr>
                <w:rFonts w:cs="Tahoma"/>
                <w:color w:val="000000"/>
                <w:szCs w:val="18"/>
              </w:rPr>
              <w:t>SharePoint Server Standard para Sites de Internet</w:t>
            </w:r>
          </w:p>
        </w:tc>
        <w:tc>
          <w:tcPr>
            <w:tcW w:w="1391" w:type="dxa"/>
          </w:tcPr>
          <w:p w:rsidR="00A13BC3" w:rsidRPr="00416070" w:rsidRDefault="00A13BC3" w:rsidP="003479E5">
            <w:pPr>
              <w:spacing w:after="200" w:line="276" w:lineRule="auto"/>
              <w:jc w:val="center"/>
              <w:rPr>
                <w:rFonts w:cs="Tahoma"/>
                <w:color w:val="000000"/>
                <w:szCs w:val="18"/>
                <w:lang w:eastAsia="ja-JP"/>
              </w:rPr>
            </w:pPr>
            <w:r w:rsidRPr="00416070">
              <w:rPr>
                <w:rFonts w:cs="Tahoma"/>
                <w:color w:val="000000"/>
                <w:szCs w:val="18"/>
              </w:rPr>
              <w:t>Lync Server 2010 Standard Edition</w:t>
            </w:r>
          </w:p>
        </w:tc>
      </w:tr>
      <w:tr w:rsidR="00A13BC3" w:rsidRPr="00416070" w:rsidTr="00273C7F">
        <w:tc>
          <w:tcPr>
            <w:tcW w:w="1912" w:type="dxa"/>
          </w:tcPr>
          <w:p w:rsidR="00A13BC3" w:rsidRPr="00416070" w:rsidRDefault="00A13BC3" w:rsidP="003479E5">
            <w:pPr>
              <w:spacing w:after="200" w:line="276" w:lineRule="auto"/>
              <w:jc w:val="center"/>
              <w:rPr>
                <w:rFonts w:cs="Tahoma"/>
                <w:szCs w:val="18"/>
                <w:lang w:eastAsia="ja-JP"/>
              </w:rPr>
            </w:pPr>
            <w:r w:rsidRPr="00416070">
              <w:rPr>
                <w:rFonts w:cs="Tahoma"/>
                <w:color w:val="000000"/>
                <w:szCs w:val="18"/>
              </w:rPr>
              <w:t>Windows Server Standard</w:t>
            </w:r>
          </w:p>
        </w:tc>
        <w:tc>
          <w:tcPr>
            <w:tcW w:w="1848" w:type="dxa"/>
          </w:tcPr>
          <w:p w:rsidR="00A13BC3" w:rsidRPr="00416070" w:rsidRDefault="00A13BC3" w:rsidP="003479E5">
            <w:pPr>
              <w:spacing w:after="200" w:line="276" w:lineRule="auto"/>
              <w:jc w:val="center"/>
              <w:rPr>
                <w:rFonts w:cs="Tahoma"/>
                <w:szCs w:val="18"/>
                <w:lang w:eastAsia="ja-JP"/>
              </w:rPr>
            </w:pPr>
            <w:r w:rsidRPr="00416070">
              <w:rPr>
                <w:rFonts w:cs="Tahoma"/>
                <w:szCs w:val="18"/>
              </w:rPr>
              <w:t>SQL Server Enterprise</w:t>
            </w:r>
          </w:p>
        </w:tc>
        <w:tc>
          <w:tcPr>
            <w:tcW w:w="1774" w:type="dxa"/>
          </w:tcPr>
          <w:p w:rsidR="00A13BC3" w:rsidRPr="00416070" w:rsidRDefault="00A13BC3" w:rsidP="003479E5">
            <w:pPr>
              <w:spacing w:after="200" w:line="276" w:lineRule="auto"/>
              <w:jc w:val="center"/>
              <w:rPr>
                <w:rFonts w:cs="Tahoma"/>
                <w:color w:val="000000"/>
                <w:szCs w:val="18"/>
                <w:lang w:eastAsia="ja-JP"/>
              </w:rPr>
            </w:pPr>
            <w:r w:rsidRPr="00416070">
              <w:rPr>
                <w:rFonts w:cs="Tahoma"/>
                <w:color w:val="000000"/>
                <w:szCs w:val="18"/>
              </w:rPr>
              <w:t>Exchange Server Standard</w:t>
            </w:r>
          </w:p>
        </w:tc>
        <w:tc>
          <w:tcPr>
            <w:tcW w:w="1913" w:type="dxa"/>
            <w:gridSpan w:val="2"/>
          </w:tcPr>
          <w:p w:rsidR="00A13BC3" w:rsidRPr="00416070" w:rsidRDefault="00A13BC3" w:rsidP="003479E5">
            <w:pPr>
              <w:spacing w:after="200" w:line="276" w:lineRule="auto"/>
              <w:jc w:val="center"/>
              <w:rPr>
                <w:rFonts w:cs="Tahoma"/>
                <w:color w:val="000000"/>
                <w:szCs w:val="18"/>
                <w:lang w:eastAsia="ja-JP"/>
              </w:rPr>
            </w:pPr>
            <w:r w:rsidRPr="00416070">
              <w:rPr>
                <w:rFonts w:cs="Tahoma"/>
                <w:color w:val="000000"/>
                <w:szCs w:val="18"/>
              </w:rPr>
              <w:t>SharePoint Server</w:t>
            </w:r>
          </w:p>
        </w:tc>
        <w:tc>
          <w:tcPr>
            <w:tcW w:w="1391" w:type="dxa"/>
          </w:tcPr>
          <w:p w:rsidR="00A13BC3" w:rsidRPr="00416070" w:rsidRDefault="00A13BC3" w:rsidP="003479E5">
            <w:pPr>
              <w:spacing w:after="200" w:line="276" w:lineRule="auto"/>
              <w:jc w:val="center"/>
              <w:rPr>
                <w:rFonts w:cs="Tahoma"/>
                <w:color w:val="000000"/>
                <w:szCs w:val="18"/>
                <w:lang w:eastAsia="ja-JP"/>
              </w:rPr>
            </w:pPr>
          </w:p>
        </w:tc>
      </w:tr>
      <w:tr w:rsidR="00A13BC3" w:rsidRPr="00416070" w:rsidTr="00273C7F">
        <w:tc>
          <w:tcPr>
            <w:tcW w:w="1912" w:type="dxa"/>
          </w:tcPr>
          <w:p w:rsidR="00A13BC3" w:rsidRPr="00416070" w:rsidRDefault="00A13BC3" w:rsidP="003479E5">
            <w:pPr>
              <w:spacing w:after="200" w:line="276" w:lineRule="auto"/>
              <w:jc w:val="center"/>
              <w:rPr>
                <w:rFonts w:cs="Tahoma"/>
                <w:szCs w:val="18"/>
                <w:lang w:eastAsia="ja-JP"/>
              </w:rPr>
            </w:pPr>
            <w:r w:rsidRPr="00416070">
              <w:rPr>
                <w:rFonts w:cs="Tahoma"/>
                <w:szCs w:val="18"/>
              </w:rPr>
              <w:t>Complemento do Windows Small Business Server Premium</w:t>
            </w:r>
          </w:p>
        </w:tc>
        <w:tc>
          <w:tcPr>
            <w:tcW w:w="1848" w:type="dxa"/>
          </w:tcPr>
          <w:p w:rsidR="00A13BC3" w:rsidRPr="00416070" w:rsidRDefault="00A13BC3" w:rsidP="003479E5">
            <w:pPr>
              <w:spacing w:after="200" w:line="276" w:lineRule="auto"/>
              <w:jc w:val="center"/>
              <w:rPr>
                <w:rFonts w:cs="Tahoma"/>
                <w:szCs w:val="18"/>
                <w:lang w:eastAsia="ja-JP"/>
              </w:rPr>
            </w:pPr>
            <w:r w:rsidRPr="00416070">
              <w:rPr>
                <w:rFonts w:cs="Tahoma"/>
                <w:szCs w:val="18"/>
              </w:rPr>
              <w:t>SQL Server Standard</w:t>
            </w:r>
          </w:p>
        </w:tc>
        <w:tc>
          <w:tcPr>
            <w:tcW w:w="1774" w:type="dxa"/>
          </w:tcPr>
          <w:p w:rsidR="00A13BC3" w:rsidRPr="00416070" w:rsidRDefault="00A13BC3" w:rsidP="003479E5">
            <w:pPr>
              <w:spacing w:after="200" w:line="276" w:lineRule="auto"/>
              <w:jc w:val="center"/>
              <w:rPr>
                <w:rFonts w:cs="Tahoma"/>
                <w:szCs w:val="18"/>
                <w:lang w:eastAsia="ja-JP"/>
              </w:rPr>
            </w:pPr>
          </w:p>
        </w:tc>
        <w:tc>
          <w:tcPr>
            <w:tcW w:w="1913" w:type="dxa"/>
            <w:gridSpan w:val="2"/>
          </w:tcPr>
          <w:p w:rsidR="00A13BC3" w:rsidRPr="00416070" w:rsidRDefault="00A13BC3" w:rsidP="003479E5">
            <w:pPr>
              <w:spacing w:after="200" w:line="276" w:lineRule="auto"/>
              <w:jc w:val="center"/>
              <w:rPr>
                <w:rFonts w:cs="Tahoma"/>
                <w:szCs w:val="18"/>
                <w:lang w:eastAsia="ja-JP"/>
              </w:rPr>
            </w:pPr>
          </w:p>
        </w:tc>
        <w:tc>
          <w:tcPr>
            <w:tcW w:w="1391" w:type="dxa"/>
          </w:tcPr>
          <w:p w:rsidR="00A13BC3" w:rsidRPr="00416070" w:rsidRDefault="00A13BC3" w:rsidP="003479E5">
            <w:pPr>
              <w:spacing w:after="200" w:line="276" w:lineRule="auto"/>
              <w:jc w:val="center"/>
              <w:rPr>
                <w:rFonts w:cs="Tahoma"/>
                <w:szCs w:val="18"/>
                <w:lang w:eastAsia="ja-JP"/>
              </w:rPr>
            </w:pPr>
          </w:p>
        </w:tc>
      </w:tr>
      <w:tr w:rsidR="00A13BC3" w:rsidRPr="00416070" w:rsidTr="00273C7F">
        <w:tc>
          <w:tcPr>
            <w:tcW w:w="1912" w:type="dxa"/>
          </w:tcPr>
          <w:p w:rsidR="00A13BC3" w:rsidRPr="00416070" w:rsidRDefault="00A13BC3" w:rsidP="003479E5">
            <w:pPr>
              <w:spacing w:after="200" w:line="276" w:lineRule="auto"/>
              <w:jc w:val="center"/>
              <w:rPr>
                <w:rFonts w:cs="Tahoma"/>
                <w:szCs w:val="18"/>
                <w:lang w:eastAsia="ja-JP"/>
              </w:rPr>
            </w:pPr>
            <w:r w:rsidRPr="00416070">
              <w:rPr>
                <w:rFonts w:cs="Tahoma"/>
                <w:szCs w:val="18"/>
              </w:rPr>
              <w:t>Windows Small Business Server Standard</w:t>
            </w:r>
          </w:p>
        </w:tc>
        <w:tc>
          <w:tcPr>
            <w:tcW w:w="1848" w:type="dxa"/>
          </w:tcPr>
          <w:p w:rsidR="00A13BC3" w:rsidRPr="00416070" w:rsidRDefault="00A13BC3" w:rsidP="003479E5">
            <w:pPr>
              <w:spacing w:after="200" w:line="276" w:lineRule="auto"/>
              <w:jc w:val="center"/>
              <w:rPr>
                <w:rFonts w:cs="Tahoma"/>
                <w:szCs w:val="18"/>
                <w:lang w:eastAsia="ja-JP"/>
              </w:rPr>
            </w:pPr>
            <w:r w:rsidRPr="00416070">
              <w:rPr>
                <w:rFonts w:cs="Tahoma"/>
                <w:szCs w:val="18"/>
              </w:rPr>
              <w:t>SQL Server Workgroup</w:t>
            </w:r>
          </w:p>
        </w:tc>
        <w:tc>
          <w:tcPr>
            <w:tcW w:w="1774" w:type="dxa"/>
          </w:tcPr>
          <w:p w:rsidR="00A13BC3" w:rsidRPr="00416070" w:rsidRDefault="00A13BC3" w:rsidP="003479E5">
            <w:pPr>
              <w:spacing w:after="200" w:line="276" w:lineRule="auto"/>
              <w:jc w:val="center"/>
              <w:rPr>
                <w:rFonts w:cs="Tahoma"/>
                <w:szCs w:val="18"/>
                <w:lang w:eastAsia="ja-JP"/>
              </w:rPr>
            </w:pPr>
          </w:p>
        </w:tc>
        <w:tc>
          <w:tcPr>
            <w:tcW w:w="1913" w:type="dxa"/>
            <w:gridSpan w:val="2"/>
          </w:tcPr>
          <w:p w:rsidR="00A13BC3" w:rsidRPr="00416070" w:rsidRDefault="00A13BC3" w:rsidP="003479E5">
            <w:pPr>
              <w:spacing w:after="200" w:line="276" w:lineRule="auto"/>
              <w:jc w:val="center"/>
              <w:rPr>
                <w:rFonts w:cs="Tahoma"/>
                <w:szCs w:val="18"/>
                <w:lang w:eastAsia="ja-JP"/>
              </w:rPr>
            </w:pPr>
          </w:p>
        </w:tc>
        <w:tc>
          <w:tcPr>
            <w:tcW w:w="1391" w:type="dxa"/>
          </w:tcPr>
          <w:p w:rsidR="00A13BC3" w:rsidRPr="00416070" w:rsidRDefault="00A13BC3" w:rsidP="003479E5">
            <w:pPr>
              <w:spacing w:after="200" w:line="276" w:lineRule="auto"/>
              <w:jc w:val="center"/>
              <w:rPr>
                <w:rFonts w:cs="Tahoma"/>
                <w:szCs w:val="18"/>
                <w:lang w:eastAsia="ja-JP"/>
              </w:rPr>
            </w:pPr>
          </w:p>
        </w:tc>
      </w:tr>
      <w:tr w:rsidR="00A13BC3" w:rsidRPr="00416070" w:rsidTr="00273C7F">
        <w:tc>
          <w:tcPr>
            <w:tcW w:w="1912" w:type="dxa"/>
          </w:tcPr>
          <w:p w:rsidR="00A13BC3" w:rsidRPr="00416070" w:rsidRDefault="00A13BC3" w:rsidP="003479E5">
            <w:pPr>
              <w:spacing w:after="200" w:line="276" w:lineRule="auto"/>
              <w:jc w:val="center"/>
              <w:rPr>
                <w:rFonts w:cs="Tahoma"/>
                <w:szCs w:val="18"/>
                <w:lang w:eastAsia="ja-JP"/>
              </w:rPr>
            </w:pPr>
            <w:r w:rsidRPr="00416070">
              <w:rPr>
                <w:rFonts w:cs="Tahoma"/>
                <w:szCs w:val="18"/>
              </w:rPr>
              <w:t>Windows Small Business Server Essentials</w:t>
            </w:r>
          </w:p>
        </w:tc>
        <w:tc>
          <w:tcPr>
            <w:tcW w:w="1848" w:type="dxa"/>
          </w:tcPr>
          <w:p w:rsidR="00A13BC3" w:rsidRPr="00416070" w:rsidRDefault="00A13BC3" w:rsidP="003479E5">
            <w:pPr>
              <w:spacing w:after="200" w:line="276" w:lineRule="auto"/>
              <w:jc w:val="center"/>
              <w:rPr>
                <w:rFonts w:cs="Tahoma"/>
                <w:szCs w:val="18"/>
                <w:lang w:eastAsia="ja-JP"/>
              </w:rPr>
            </w:pPr>
            <w:r w:rsidRPr="00416070">
              <w:rPr>
                <w:rFonts w:cs="Tahoma"/>
                <w:szCs w:val="18"/>
              </w:rPr>
              <w:t>SQL Server Small Business</w:t>
            </w:r>
          </w:p>
        </w:tc>
        <w:tc>
          <w:tcPr>
            <w:tcW w:w="1774" w:type="dxa"/>
          </w:tcPr>
          <w:p w:rsidR="00A13BC3" w:rsidRPr="00416070" w:rsidRDefault="00A13BC3" w:rsidP="003479E5">
            <w:pPr>
              <w:spacing w:after="200" w:line="276" w:lineRule="auto"/>
              <w:jc w:val="center"/>
              <w:rPr>
                <w:rFonts w:cs="Tahoma"/>
                <w:szCs w:val="18"/>
                <w:lang w:eastAsia="ja-JP"/>
              </w:rPr>
            </w:pPr>
          </w:p>
        </w:tc>
        <w:tc>
          <w:tcPr>
            <w:tcW w:w="1913" w:type="dxa"/>
            <w:gridSpan w:val="2"/>
          </w:tcPr>
          <w:p w:rsidR="00A13BC3" w:rsidRPr="00416070" w:rsidRDefault="00A13BC3" w:rsidP="003479E5">
            <w:pPr>
              <w:spacing w:after="200" w:line="276" w:lineRule="auto"/>
              <w:jc w:val="center"/>
              <w:rPr>
                <w:rFonts w:cs="Tahoma"/>
                <w:szCs w:val="18"/>
                <w:lang w:eastAsia="ja-JP"/>
              </w:rPr>
            </w:pPr>
          </w:p>
        </w:tc>
        <w:tc>
          <w:tcPr>
            <w:tcW w:w="1391" w:type="dxa"/>
          </w:tcPr>
          <w:p w:rsidR="00A13BC3" w:rsidRPr="00416070" w:rsidRDefault="00A13BC3" w:rsidP="003479E5">
            <w:pPr>
              <w:spacing w:after="200" w:line="276" w:lineRule="auto"/>
              <w:jc w:val="center"/>
              <w:rPr>
                <w:rFonts w:cs="Tahoma"/>
                <w:szCs w:val="18"/>
                <w:lang w:eastAsia="ja-JP"/>
              </w:rPr>
            </w:pPr>
          </w:p>
        </w:tc>
      </w:tr>
      <w:tr w:rsidR="00A13BC3" w:rsidRPr="00416070" w:rsidTr="00273C7F">
        <w:tc>
          <w:tcPr>
            <w:tcW w:w="1912" w:type="dxa"/>
          </w:tcPr>
          <w:p w:rsidR="00A13BC3" w:rsidRPr="00416070" w:rsidRDefault="00A13BC3" w:rsidP="003479E5">
            <w:pPr>
              <w:spacing w:after="200" w:line="276" w:lineRule="auto"/>
              <w:jc w:val="center"/>
              <w:rPr>
                <w:rFonts w:cs="Tahoma"/>
                <w:szCs w:val="18"/>
                <w:lang w:eastAsia="ja-JP"/>
              </w:rPr>
            </w:pPr>
            <w:r w:rsidRPr="00416070">
              <w:rPr>
                <w:rFonts w:cs="Tahoma"/>
                <w:szCs w:val="18"/>
              </w:rPr>
              <w:t>Windows Web Server</w:t>
            </w:r>
          </w:p>
        </w:tc>
        <w:tc>
          <w:tcPr>
            <w:tcW w:w="1848" w:type="dxa"/>
          </w:tcPr>
          <w:p w:rsidR="00A13BC3" w:rsidRPr="00416070" w:rsidRDefault="00A13BC3" w:rsidP="003479E5">
            <w:pPr>
              <w:spacing w:after="200" w:line="276" w:lineRule="auto"/>
              <w:jc w:val="center"/>
              <w:rPr>
                <w:rFonts w:cs="Tahoma"/>
                <w:szCs w:val="18"/>
                <w:lang w:eastAsia="ja-JP"/>
              </w:rPr>
            </w:pPr>
            <w:r w:rsidRPr="00416070">
              <w:rPr>
                <w:rFonts w:cs="Tahoma"/>
                <w:szCs w:val="18"/>
              </w:rPr>
              <w:t>SQL Server Web</w:t>
            </w:r>
          </w:p>
        </w:tc>
        <w:tc>
          <w:tcPr>
            <w:tcW w:w="1774" w:type="dxa"/>
          </w:tcPr>
          <w:p w:rsidR="00A13BC3" w:rsidRPr="00416070" w:rsidRDefault="00A13BC3" w:rsidP="003479E5">
            <w:pPr>
              <w:spacing w:after="200" w:line="276" w:lineRule="auto"/>
              <w:jc w:val="center"/>
              <w:rPr>
                <w:rFonts w:cs="Tahoma"/>
                <w:szCs w:val="18"/>
                <w:lang w:eastAsia="ja-JP"/>
              </w:rPr>
            </w:pPr>
          </w:p>
        </w:tc>
        <w:tc>
          <w:tcPr>
            <w:tcW w:w="1913" w:type="dxa"/>
            <w:gridSpan w:val="2"/>
          </w:tcPr>
          <w:p w:rsidR="00A13BC3" w:rsidRPr="00416070" w:rsidRDefault="00A13BC3" w:rsidP="003479E5">
            <w:pPr>
              <w:spacing w:after="200" w:line="276" w:lineRule="auto"/>
              <w:jc w:val="center"/>
              <w:rPr>
                <w:rFonts w:cs="Tahoma"/>
                <w:szCs w:val="18"/>
                <w:lang w:eastAsia="ja-JP"/>
              </w:rPr>
            </w:pPr>
          </w:p>
        </w:tc>
        <w:tc>
          <w:tcPr>
            <w:tcW w:w="1391" w:type="dxa"/>
          </w:tcPr>
          <w:p w:rsidR="00A13BC3" w:rsidRPr="00416070" w:rsidRDefault="00A13BC3" w:rsidP="003479E5">
            <w:pPr>
              <w:spacing w:after="200" w:line="276" w:lineRule="auto"/>
              <w:jc w:val="center"/>
              <w:rPr>
                <w:rFonts w:cs="Tahoma"/>
                <w:szCs w:val="18"/>
                <w:lang w:eastAsia="ja-JP"/>
              </w:rPr>
            </w:pPr>
          </w:p>
        </w:tc>
      </w:tr>
      <w:tr w:rsidR="00A13BC3" w:rsidRPr="00416070" w:rsidTr="00273C7F">
        <w:tc>
          <w:tcPr>
            <w:tcW w:w="1912" w:type="dxa"/>
          </w:tcPr>
          <w:p w:rsidR="00A13BC3" w:rsidRPr="00416070" w:rsidRDefault="00A13BC3" w:rsidP="003479E5">
            <w:pPr>
              <w:spacing w:after="200" w:line="276" w:lineRule="auto"/>
              <w:jc w:val="center"/>
              <w:rPr>
                <w:rFonts w:cs="Tahoma"/>
                <w:szCs w:val="18"/>
                <w:lang w:eastAsia="ja-JP"/>
              </w:rPr>
            </w:pPr>
            <w:r w:rsidRPr="00416070">
              <w:rPr>
                <w:rFonts w:cs="Tahoma"/>
                <w:szCs w:val="18"/>
              </w:rPr>
              <w:t>Windows HPC Server Suite</w:t>
            </w:r>
          </w:p>
        </w:tc>
        <w:tc>
          <w:tcPr>
            <w:tcW w:w="1848" w:type="dxa"/>
          </w:tcPr>
          <w:p w:rsidR="00A13BC3" w:rsidRPr="00416070" w:rsidRDefault="00A13BC3" w:rsidP="003479E5">
            <w:pPr>
              <w:spacing w:after="200" w:line="276" w:lineRule="auto"/>
              <w:jc w:val="center"/>
              <w:rPr>
                <w:rFonts w:cs="Tahoma"/>
                <w:szCs w:val="18"/>
                <w:lang w:eastAsia="ja-JP"/>
              </w:rPr>
            </w:pPr>
            <w:r w:rsidRPr="00416070">
              <w:rPr>
                <w:rFonts w:cs="Tahoma"/>
                <w:szCs w:val="18"/>
              </w:rPr>
              <w:t>SQL Server Developer</w:t>
            </w:r>
          </w:p>
        </w:tc>
        <w:tc>
          <w:tcPr>
            <w:tcW w:w="1774" w:type="dxa"/>
          </w:tcPr>
          <w:p w:rsidR="00A13BC3" w:rsidRPr="00416070" w:rsidRDefault="00A13BC3" w:rsidP="003479E5">
            <w:pPr>
              <w:spacing w:after="200" w:line="276" w:lineRule="auto"/>
              <w:jc w:val="center"/>
              <w:rPr>
                <w:rFonts w:cs="Tahoma"/>
                <w:szCs w:val="18"/>
                <w:lang w:eastAsia="ja-JP"/>
              </w:rPr>
            </w:pPr>
          </w:p>
        </w:tc>
        <w:tc>
          <w:tcPr>
            <w:tcW w:w="1913" w:type="dxa"/>
            <w:gridSpan w:val="2"/>
          </w:tcPr>
          <w:p w:rsidR="00A13BC3" w:rsidRPr="00416070" w:rsidRDefault="00A13BC3" w:rsidP="003479E5">
            <w:pPr>
              <w:spacing w:after="200" w:line="276" w:lineRule="auto"/>
              <w:jc w:val="center"/>
              <w:rPr>
                <w:rFonts w:cs="Tahoma"/>
                <w:szCs w:val="18"/>
                <w:lang w:eastAsia="ja-JP"/>
              </w:rPr>
            </w:pPr>
          </w:p>
        </w:tc>
        <w:tc>
          <w:tcPr>
            <w:tcW w:w="1391" w:type="dxa"/>
          </w:tcPr>
          <w:p w:rsidR="00A13BC3" w:rsidRPr="00416070" w:rsidRDefault="00A13BC3" w:rsidP="003479E5">
            <w:pPr>
              <w:spacing w:after="200" w:line="276" w:lineRule="auto"/>
              <w:jc w:val="center"/>
              <w:rPr>
                <w:rFonts w:cs="Tahoma"/>
                <w:szCs w:val="18"/>
                <w:lang w:eastAsia="ja-JP"/>
              </w:rPr>
            </w:pPr>
          </w:p>
        </w:tc>
      </w:tr>
      <w:tr w:rsidR="00A13BC3" w:rsidRPr="00416070" w:rsidTr="00273C7F">
        <w:tc>
          <w:tcPr>
            <w:tcW w:w="1912" w:type="dxa"/>
          </w:tcPr>
          <w:p w:rsidR="00A13BC3" w:rsidRPr="00416070" w:rsidRDefault="00A13BC3" w:rsidP="00894563">
            <w:pPr>
              <w:spacing w:after="200" w:line="276" w:lineRule="auto"/>
              <w:jc w:val="center"/>
              <w:rPr>
                <w:rFonts w:cs="Tahoma"/>
                <w:szCs w:val="18"/>
                <w:lang w:eastAsia="ja-JP"/>
              </w:rPr>
            </w:pPr>
            <w:r w:rsidRPr="00416070">
              <w:rPr>
                <w:rFonts w:cs="Tahoma"/>
                <w:szCs w:val="18"/>
              </w:rPr>
              <w:t>Windows Server HPC Edition</w:t>
            </w:r>
          </w:p>
        </w:tc>
        <w:tc>
          <w:tcPr>
            <w:tcW w:w="1848" w:type="dxa"/>
          </w:tcPr>
          <w:p w:rsidR="00A13BC3" w:rsidRPr="00416070" w:rsidRDefault="00A13BC3" w:rsidP="003479E5">
            <w:pPr>
              <w:spacing w:after="200" w:line="276" w:lineRule="auto"/>
              <w:jc w:val="center"/>
              <w:rPr>
                <w:rFonts w:cs="Tahoma"/>
                <w:szCs w:val="18"/>
                <w:lang w:eastAsia="ja-JP"/>
              </w:rPr>
            </w:pPr>
            <w:r w:rsidRPr="00416070">
              <w:rPr>
                <w:rFonts w:cs="Tahoma"/>
                <w:szCs w:val="18"/>
              </w:rPr>
              <w:t>SQL Server Business Intelligence</w:t>
            </w:r>
          </w:p>
        </w:tc>
        <w:tc>
          <w:tcPr>
            <w:tcW w:w="1774" w:type="dxa"/>
          </w:tcPr>
          <w:p w:rsidR="00A13BC3" w:rsidRPr="00416070" w:rsidRDefault="00A13BC3" w:rsidP="003479E5">
            <w:pPr>
              <w:spacing w:after="200" w:line="276" w:lineRule="auto"/>
              <w:jc w:val="center"/>
              <w:rPr>
                <w:rFonts w:cs="Tahoma"/>
                <w:szCs w:val="18"/>
                <w:lang w:eastAsia="ja-JP"/>
              </w:rPr>
            </w:pPr>
          </w:p>
        </w:tc>
        <w:tc>
          <w:tcPr>
            <w:tcW w:w="1913" w:type="dxa"/>
            <w:gridSpan w:val="2"/>
          </w:tcPr>
          <w:p w:rsidR="00A13BC3" w:rsidRPr="00416070" w:rsidRDefault="00A13BC3" w:rsidP="003479E5">
            <w:pPr>
              <w:spacing w:after="200" w:line="276" w:lineRule="auto"/>
              <w:jc w:val="center"/>
              <w:rPr>
                <w:rFonts w:cs="Tahoma"/>
                <w:szCs w:val="18"/>
                <w:lang w:eastAsia="ja-JP"/>
              </w:rPr>
            </w:pPr>
          </w:p>
        </w:tc>
        <w:tc>
          <w:tcPr>
            <w:tcW w:w="1391" w:type="dxa"/>
          </w:tcPr>
          <w:p w:rsidR="00A13BC3" w:rsidRPr="00416070" w:rsidRDefault="00A13BC3" w:rsidP="003479E5">
            <w:pPr>
              <w:spacing w:after="200" w:line="276" w:lineRule="auto"/>
              <w:jc w:val="center"/>
              <w:rPr>
                <w:rFonts w:cs="Tahoma"/>
                <w:szCs w:val="18"/>
                <w:lang w:eastAsia="ja-JP"/>
              </w:rPr>
            </w:pPr>
          </w:p>
        </w:tc>
      </w:tr>
      <w:tr w:rsidR="00A13BC3" w:rsidRPr="00B06414" w:rsidTr="00273C7F">
        <w:tc>
          <w:tcPr>
            <w:tcW w:w="1912" w:type="dxa"/>
          </w:tcPr>
          <w:p w:rsidR="00A13BC3" w:rsidRPr="008D38F6" w:rsidRDefault="00A13BC3" w:rsidP="003479E5">
            <w:pPr>
              <w:spacing w:after="200" w:line="276" w:lineRule="auto"/>
              <w:jc w:val="center"/>
              <w:rPr>
                <w:rFonts w:cs="Tahoma"/>
                <w:szCs w:val="18"/>
                <w:lang w:val="fr-FR" w:eastAsia="ja-JP"/>
              </w:rPr>
            </w:pPr>
            <w:r w:rsidRPr="008D38F6">
              <w:rPr>
                <w:rFonts w:cs="Tahoma"/>
                <w:szCs w:val="18"/>
                <w:lang w:val="fr-FR"/>
              </w:rPr>
              <w:t xml:space="preserve">Core Infrastructure Server Suite Datacenter </w:t>
            </w:r>
          </w:p>
        </w:tc>
        <w:tc>
          <w:tcPr>
            <w:tcW w:w="1848" w:type="dxa"/>
          </w:tcPr>
          <w:p w:rsidR="00A13BC3" w:rsidRPr="008D38F6" w:rsidRDefault="00A13BC3" w:rsidP="003479E5">
            <w:pPr>
              <w:spacing w:after="200" w:line="276" w:lineRule="auto"/>
              <w:jc w:val="center"/>
              <w:rPr>
                <w:rFonts w:cs="Tahoma"/>
                <w:szCs w:val="18"/>
                <w:lang w:val="fr-FR"/>
              </w:rPr>
            </w:pPr>
          </w:p>
        </w:tc>
        <w:tc>
          <w:tcPr>
            <w:tcW w:w="1774" w:type="dxa"/>
          </w:tcPr>
          <w:p w:rsidR="00A13BC3" w:rsidRPr="008D38F6" w:rsidRDefault="00A13BC3" w:rsidP="003479E5">
            <w:pPr>
              <w:spacing w:after="200" w:line="276" w:lineRule="auto"/>
              <w:jc w:val="center"/>
              <w:rPr>
                <w:rFonts w:cs="Tahoma"/>
                <w:szCs w:val="18"/>
                <w:lang w:val="fr-FR"/>
              </w:rPr>
            </w:pPr>
          </w:p>
        </w:tc>
        <w:tc>
          <w:tcPr>
            <w:tcW w:w="1913" w:type="dxa"/>
            <w:gridSpan w:val="2"/>
          </w:tcPr>
          <w:p w:rsidR="00A13BC3" w:rsidRPr="008D38F6" w:rsidRDefault="00A13BC3" w:rsidP="003479E5">
            <w:pPr>
              <w:spacing w:after="200" w:line="276" w:lineRule="auto"/>
              <w:jc w:val="center"/>
              <w:rPr>
                <w:rFonts w:cs="Tahoma"/>
                <w:szCs w:val="18"/>
                <w:lang w:val="fr-FR"/>
              </w:rPr>
            </w:pPr>
          </w:p>
        </w:tc>
        <w:tc>
          <w:tcPr>
            <w:tcW w:w="1391" w:type="dxa"/>
          </w:tcPr>
          <w:p w:rsidR="00A13BC3" w:rsidRPr="008D38F6" w:rsidRDefault="00A13BC3" w:rsidP="003479E5">
            <w:pPr>
              <w:spacing w:after="200" w:line="276" w:lineRule="auto"/>
              <w:jc w:val="center"/>
              <w:rPr>
                <w:rFonts w:cs="Tahoma"/>
                <w:szCs w:val="18"/>
                <w:lang w:val="fr-FR"/>
              </w:rPr>
            </w:pPr>
          </w:p>
        </w:tc>
      </w:tr>
      <w:tr w:rsidR="00FE2B0B" w:rsidRPr="00416070" w:rsidTr="00EC2258">
        <w:tc>
          <w:tcPr>
            <w:tcW w:w="3760" w:type="dxa"/>
            <w:gridSpan w:val="2"/>
            <w:shd w:val="clear" w:color="auto" w:fill="FABF8F"/>
          </w:tcPr>
          <w:p w:rsidR="00FE2B0B" w:rsidRPr="00416070" w:rsidRDefault="00FE2B0B" w:rsidP="00EC2258">
            <w:pPr>
              <w:spacing w:before="120" w:after="120" w:line="276" w:lineRule="auto"/>
              <w:jc w:val="center"/>
              <w:rPr>
                <w:rFonts w:cs="Tahoma"/>
                <w:b/>
                <w:bCs/>
                <w:color w:val="000000"/>
                <w:szCs w:val="18"/>
                <w:lang w:eastAsia="ja-JP"/>
              </w:rPr>
            </w:pPr>
            <w:r w:rsidRPr="00416070">
              <w:rPr>
                <w:rFonts w:cs="Tahoma"/>
                <w:b/>
                <w:bCs/>
                <w:color w:val="000000"/>
                <w:szCs w:val="18"/>
              </w:rPr>
              <w:lastRenderedPageBreak/>
              <w:t>Software* para Servidores Qualificado</w:t>
            </w:r>
          </w:p>
        </w:tc>
        <w:tc>
          <w:tcPr>
            <w:tcW w:w="1774" w:type="dxa"/>
            <w:shd w:val="clear" w:color="auto" w:fill="FABF8F"/>
          </w:tcPr>
          <w:p w:rsidR="00FE2B0B" w:rsidRPr="00416070" w:rsidRDefault="00FE2B0B" w:rsidP="00EC2258">
            <w:pPr>
              <w:spacing w:after="200" w:line="276" w:lineRule="auto"/>
              <w:jc w:val="center"/>
              <w:rPr>
                <w:rFonts w:cs="Tahoma"/>
                <w:b/>
                <w:bCs/>
                <w:color w:val="000000"/>
                <w:szCs w:val="18"/>
                <w:lang w:eastAsia="ja-JP"/>
              </w:rPr>
            </w:pPr>
          </w:p>
        </w:tc>
        <w:tc>
          <w:tcPr>
            <w:tcW w:w="1913" w:type="dxa"/>
            <w:gridSpan w:val="2"/>
            <w:shd w:val="clear" w:color="auto" w:fill="FABF8F"/>
          </w:tcPr>
          <w:p w:rsidR="00FE2B0B" w:rsidRPr="00416070" w:rsidRDefault="00FE2B0B" w:rsidP="00EC2258">
            <w:pPr>
              <w:spacing w:after="200" w:line="276" w:lineRule="auto"/>
              <w:jc w:val="center"/>
              <w:rPr>
                <w:rFonts w:cs="Tahoma"/>
                <w:b/>
                <w:bCs/>
                <w:color w:val="000000"/>
                <w:szCs w:val="18"/>
                <w:lang w:eastAsia="ja-JP"/>
              </w:rPr>
            </w:pPr>
          </w:p>
        </w:tc>
        <w:tc>
          <w:tcPr>
            <w:tcW w:w="1391" w:type="dxa"/>
            <w:shd w:val="clear" w:color="auto" w:fill="FABF8F"/>
          </w:tcPr>
          <w:p w:rsidR="00FE2B0B" w:rsidRPr="00416070" w:rsidRDefault="00FE2B0B" w:rsidP="00EC2258">
            <w:pPr>
              <w:spacing w:after="200" w:line="276" w:lineRule="auto"/>
              <w:jc w:val="center"/>
              <w:rPr>
                <w:rFonts w:cs="Tahoma"/>
                <w:b/>
                <w:bCs/>
                <w:color w:val="000000"/>
                <w:szCs w:val="18"/>
                <w:lang w:eastAsia="ja-JP"/>
              </w:rPr>
            </w:pPr>
          </w:p>
        </w:tc>
      </w:tr>
      <w:tr w:rsidR="00FE2B0B" w:rsidRPr="00416070" w:rsidTr="00EC2258">
        <w:tc>
          <w:tcPr>
            <w:tcW w:w="1912" w:type="dxa"/>
            <w:shd w:val="clear" w:color="auto" w:fill="FABF8F"/>
            <w:vAlign w:val="center"/>
          </w:tcPr>
          <w:p w:rsidR="00FE2B0B" w:rsidRPr="00416070" w:rsidRDefault="00FE2B0B" w:rsidP="00EC2258">
            <w:pPr>
              <w:spacing w:before="120" w:after="120" w:line="276" w:lineRule="auto"/>
              <w:jc w:val="center"/>
              <w:rPr>
                <w:rFonts w:cs="Tahoma"/>
                <w:color w:val="000000"/>
                <w:szCs w:val="18"/>
                <w:lang w:eastAsia="ja-JP"/>
              </w:rPr>
            </w:pPr>
            <w:r w:rsidRPr="00416070">
              <w:rPr>
                <w:rFonts w:cs="Tahoma"/>
                <w:b/>
                <w:bCs/>
                <w:color w:val="000000"/>
                <w:szCs w:val="18"/>
              </w:rPr>
              <w:t>Windows Server</w:t>
            </w:r>
          </w:p>
        </w:tc>
        <w:tc>
          <w:tcPr>
            <w:tcW w:w="1848" w:type="dxa"/>
            <w:shd w:val="clear" w:color="auto" w:fill="FABF8F"/>
            <w:vAlign w:val="center"/>
          </w:tcPr>
          <w:p w:rsidR="00FE2B0B" w:rsidRPr="00416070" w:rsidRDefault="00FE2B0B" w:rsidP="00EC2258">
            <w:pPr>
              <w:spacing w:before="120" w:after="120" w:line="276" w:lineRule="auto"/>
              <w:jc w:val="center"/>
              <w:rPr>
                <w:rFonts w:cs="Tahoma"/>
                <w:color w:val="000000"/>
                <w:szCs w:val="18"/>
                <w:lang w:eastAsia="ja-JP"/>
              </w:rPr>
            </w:pPr>
            <w:r w:rsidRPr="00416070">
              <w:rPr>
                <w:rFonts w:cs="Tahoma"/>
                <w:b/>
                <w:bCs/>
                <w:color w:val="000000"/>
                <w:szCs w:val="18"/>
              </w:rPr>
              <w:t>SQL Server</w:t>
            </w:r>
          </w:p>
        </w:tc>
        <w:tc>
          <w:tcPr>
            <w:tcW w:w="1774" w:type="dxa"/>
            <w:shd w:val="clear" w:color="auto" w:fill="FABF8F"/>
            <w:vAlign w:val="center"/>
          </w:tcPr>
          <w:p w:rsidR="00FE2B0B" w:rsidRPr="00416070" w:rsidRDefault="00FE2B0B" w:rsidP="00EC2258">
            <w:pPr>
              <w:spacing w:before="120" w:after="120" w:line="276" w:lineRule="auto"/>
              <w:jc w:val="center"/>
              <w:rPr>
                <w:rFonts w:cs="Tahoma"/>
                <w:b/>
                <w:bCs/>
                <w:color w:val="000000"/>
                <w:szCs w:val="18"/>
                <w:lang w:eastAsia="ja-JP"/>
              </w:rPr>
            </w:pPr>
            <w:r w:rsidRPr="00416070">
              <w:rPr>
                <w:rFonts w:cs="Tahoma"/>
                <w:b/>
                <w:bCs/>
                <w:color w:val="000000"/>
                <w:szCs w:val="18"/>
              </w:rPr>
              <w:t>Exchange Server</w:t>
            </w:r>
          </w:p>
        </w:tc>
        <w:tc>
          <w:tcPr>
            <w:tcW w:w="1913" w:type="dxa"/>
            <w:gridSpan w:val="2"/>
            <w:shd w:val="clear" w:color="auto" w:fill="FABF8F"/>
            <w:vAlign w:val="center"/>
          </w:tcPr>
          <w:p w:rsidR="00FE2B0B" w:rsidRPr="00416070" w:rsidRDefault="00FE2B0B" w:rsidP="00EC2258">
            <w:pPr>
              <w:spacing w:before="120" w:after="120" w:line="276" w:lineRule="auto"/>
              <w:jc w:val="center"/>
              <w:rPr>
                <w:rFonts w:cs="Tahoma"/>
                <w:b/>
                <w:bCs/>
                <w:color w:val="000000"/>
                <w:szCs w:val="18"/>
                <w:lang w:eastAsia="ja-JP"/>
              </w:rPr>
            </w:pPr>
            <w:r w:rsidRPr="00416070">
              <w:rPr>
                <w:rFonts w:cs="Tahoma"/>
                <w:b/>
                <w:bCs/>
                <w:color w:val="000000"/>
                <w:szCs w:val="18"/>
              </w:rPr>
              <w:t>SharePoint Server</w:t>
            </w:r>
          </w:p>
        </w:tc>
        <w:tc>
          <w:tcPr>
            <w:tcW w:w="1391" w:type="dxa"/>
            <w:shd w:val="clear" w:color="auto" w:fill="FABF8F"/>
            <w:vAlign w:val="center"/>
          </w:tcPr>
          <w:p w:rsidR="00FE2B0B" w:rsidRPr="00416070" w:rsidRDefault="00FE2B0B" w:rsidP="00EC2258">
            <w:pPr>
              <w:spacing w:before="120" w:after="120" w:line="276" w:lineRule="auto"/>
              <w:jc w:val="center"/>
              <w:rPr>
                <w:rFonts w:cs="Tahoma"/>
                <w:b/>
                <w:bCs/>
                <w:color w:val="000000"/>
                <w:szCs w:val="18"/>
                <w:lang w:eastAsia="ja-JP"/>
              </w:rPr>
            </w:pPr>
            <w:r w:rsidRPr="00416070">
              <w:rPr>
                <w:rFonts w:cs="Tahoma"/>
                <w:b/>
                <w:bCs/>
                <w:color w:val="000000"/>
                <w:szCs w:val="18"/>
              </w:rPr>
              <w:t>Lync Server</w:t>
            </w:r>
          </w:p>
        </w:tc>
      </w:tr>
      <w:tr w:rsidR="00A13BC3" w:rsidRPr="00B06414" w:rsidTr="002A6416">
        <w:tc>
          <w:tcPr>
            <w:tcW w:w="1912" w:type="dxa"/>
          </w:tcPr>
          <w:p w:rsidR="00A13BC3" w:rsidRPr="008D38F6" w:rsidRDefault="00A13BC3" w:rsidP="003479E5">
            <w:pPr>
              <w:spacing w:after="200" w:line="276" w:lineRule="auto"/>
              <w:jc w:val="center"/>
              <w:rPr>
                <w:rFonts w:cs="Tahoma"/>
                <w:szCs w:val="18"/>
                <w:lang w:val="fr-FR" w:eastAsia="ja-JP"/>
              </w:rPr>
            </w:pPr>
            <w:r w:rsidRPr="008D38F6">
              <w:rPr>
                <w:rFonts w:cs="Tahoma"/>
                <w:szCs w:val="18"/>
                <w:lang w:val="fr-FR"/>
              </w:rPr>
              <w:t>Core Infrastructure Server Suite Enterprise</w:t>
            </w:r>
          </w:p>
        </w:tc>
        <w:tc>
          <w:tcPr>
            <w:tcW w:w="1848" w:type="dxa"/>
          </w:tcPr>
          <w:p w:rsidR="00A13BC3" w:rsidRPr="008D38F6" w:rsidRDefault="00A13BC3" w:rsidP="003479E5">
            <w:pPr>
              <w:spacing w:after="200" w:line="276" w:lineRule="auto"/>
              <w:jc w:val="center"/>
              <w:rPr>
                <w:rFonts w:cs="Tahoma"/>
                <w:szCs w:val="18"/>
                <w:lang w:val="fr-FR"/>
              </w:rPr>
            </w:pPr>
          </w:p>
        </w:tc>
        <w:tc>
          <w:tcPr>
            <w:tcW w:w="1774" w:type="dxa"/>
          </w:tcPr>
          <w:p w:rsidR="00A13BC3" w:rsidRPr="008D38F6" w:rsidRDefault="00A13BC3" w:rsidP="003479E5">
            <w:pPr>
              <w:spacing w:after="200" w:line="276" w:lineRule="auto"/>
              <w:jc w:val="center"/>
              <w:rPr>
                <w:rFonts w:cs="Tahoma"/>
                <w:szCs w:val="18"/>
                <w:lang w:val="fr-FR"/>
              </w:rPr>
            </w:pPr>
          </w:p>
        </w:tc>
        <w:tc>
          <w:tcPr>
            <w:tcW w:w="1830" w:type="dxa"/>
          </w:tcPr>
          <w:p w:rsidR="00A13BC3" w:rsidRPr="008D38F6" w:rsidRDefault="00A13BC3" w:rsidP="003479E5">
            <w:pPr>
              <w:spacing w:after="200" w:line="276" w:lineRule="auto"/>
              <w:jc w:val="center"/>
              <w:rPr>
                <w:rFonts w:cs="Tahoma"/>
                <w:szCs w:val="18"/>
                <w:lang w:val="fr-FR"/>
              </w:rPr>
            </w:pPr>
          </w:p>
        </w:tc>
        <w:tc>
          <w:tcPr>
            <w:tcW w:w="1474" w:type="dxa"/>
            <w:gridSpan w:val="2"/>
          </w:tcPr>
          <w:p w:rsidR="00A13BC3" w:rsidRPr="008D38F6" w:rsidRDefault="00A13BC3" w:rsidP="003479E5">
            <w:pPr>
              <w:spacing w:after="200" w:line="276" w:lineRule="auto"/>
              <w:jc w:val="center"/>
              <w:rPr>
                <w:rFonts w:cs="Tahoma"/>
                <w:szCs w:val="18"/>
                <w:lang w:val="fr-FR"/>
              </w:rPr>
            </w:pPr>
          </w:p>
        </w:tc>
      </w:tr>
      <w:tr w:rsidR="00A13BC3" w:rsidRPr="00B06414" w:rsidTr="002A6416">
        <w:tc>
          <w:tcPr>
            <w:tcW w:w="1912" w:type="dxa"/>
          </w:tcPr>
          <w:p w:rsidR="00A13BC3" w:rsidRPr="008D38F6" w:rsidRDefault="00A13BC3" w:rsidP="003479E5">
            <w:pPr>
              <w:spacing w:after="200" w:line="276" w:lineRule="auto"/>
              <w:jc w:val="center"/>
              <w:rPr>
                <w:rFonts w:cs="Tahoma"/>
                <w:szCs w:val="18"/>
                <w:lang w:val="fr-FR" w:eastAsia="ja-JP"/>
              </w:rPr>
            </w:pPr>
            <w:r w:rsidRPr="008D38F6">
              <w:rPr>
                <w:rFonts w:cs="Tahoma"/>
                <w:szCs w:val="18"/>
                <w:lang w:val="fr-FR"/>
              </w:rPr>
              <w:t>Core Infrastructure Server Suite Standard</w:t>
            </w:r>
          </w:p>
        </w:tc>
        <w:tc>
          <w:tcPr>
            <w:tcW w:w="1848" w:type="dxa"/>
          </w:tcPr>
          <w:p w:rsidR="00A13BC3" w:rsidRPr="008D38F6" w:rsidRDefault="00A13BC3" w:rsidP="003479E5">
            <w:pPr>
              <w:spacing w:after="200" w:line="276" w:lineRule="auto"/>
              <w:jc w:val="center"/>
              <w:rPr>
                <w:rFonts w:cs="Tahoma"/>
                <w:szCs w:val="18"/>
                <w:lang w:val="fr-FR"/>
              </w:rPr>
            </w:pPr>
          </w:p>
        </w:tc>
        <w:tc>
          <w:tcPr>
            <w:tcW w:w="1774" w:type="dxa"/>
          </w:tcPr>
          <w:p w:rsidR="00A13BC3" w:rsidRPr="008D38F6" w:rsidRDefault="00A13BC3" w:rsidP="003479E5">
            <w:pPr>
              <w:spacing w:after="200" w:line="276" w:lineRule="auto"/>
              <w:jc w:val="center"/>
              <w:rPr>
                <w:rFonts w:cs="Tahoma"/>
                <w:szCs w:val="18"/>
                <w:lang w:val="fr-FR"/>
              </w:rPr>
            </w:pPr>
          </w:p>
        </w:tc>
        <w:tc>
          <w:tcPr>
            <w:tcW w:w="1830" w:type="dxa"/>
          </w:tcPr>
          <w:p w:rsidR="00A13BC3" w:rsidRPr="008D38F6" w:rsidRDefault="00A13BC3" w:rsidP="003479E5">
            <w:pPr>
              <w:spacing w:after="200" w:line="276" w:lineRule="auto"/>
              <w:jc w:val="center"/>
              <w:rPr>
                <w:rFonts w:cs="Tahoma"/>
                <w:szCs w:val="18"/>
                <w:lang w:val="fr-FR"/>
              </w:rPr>
            </w:pPr>
          </w:p>
        </w:tc>
        <w:tc>
          <w:tcPr>
            <w:tcW w:w="1474" w:type="dxa"/>
            <w:gridSpan w:val="2"/>
          </w:tcPr>
          <w:p w:rsidR="00A13BC3" w:rsidRPr="008D38F6" w:rsidRDefault="00A13BC3" w:rsidP="003479E5">
            <w:pPr>
              <w:spacing w:after="200" w:line="276" w:lineRule="auto"/>
              <w:jc w:val="center"/>
              <w:rPr>
                <w:rFonts w:cs="Tahoma"/>
                <w:szCs w:val="18"/>
                <w:lang w:val="fr-FR"/>
              </w:rPr>
            </w:pPr>
          </w:p>
        </w:tc>
      </w:tr>
    </w:tbl>
    <w:p w:rsidR="003479E5" w:rsidRPr="008D38F6" w:rsidRDefault="003479E5" w:rsidP="00792D1E">
      <w:pPr>
        <w:rPr>
          <w:lang w:val="fr-FR"/>
        </w:rPr>
      </w:pPr>
    </w:p>
    <w:p w:rsidR="003479E5" w:rsidRPr="008D38F6" w:rsidRDefault="003479E5" w:rsidP="00792D1E">
      <w:pPr>
        <w:rPr>
          <w:lang w:val="pt-BR"/>
        </w:rPr>
      </w:pPr>
      <w:r w:rsidRPr="008D38F6">
        <w:rPr>
          <w:rFonts w:cs="Tahoma"/>
          <w:bCs/>
          <w:szCs w:val="18"/>
          <w:lang w:val="pt-BR"/>
        </w:rPr>
        <w:t>*A cobertura de Software Assurance para CALs do Software para Servidores Qualificado não qualifica os clientes para</w:t>
      </w:r>
      <w:r w:rsidR="00273C7F" w:rsidRPr="008D38F6">
        <w:rPr>
          <w:rFonts w:cs="Tahoma"/>
          <w:bCs/>
          <w:szCs w:val="18"/>
          <w:lang w:val="pt-BR"/>
        </w:rPr>
        <w:t> </w:t>
      </w:r>
      <w:r w:rsidRPr="008D38F6">
        <w:rPr>
          <w:rFonts w:cs="Tahoma"/>
          <w:bCs/>
          <w:szCs w:val="18"/>
          <w:lang w:val="pt-BR"/>
        </w:rPr>
        <w:t>o benefícios do Software Assurance do System Center Advisor.</w:t>
      </w:r>
      <w:r w:rsidR="00FB5496" w:rsidRPr="008D38F6">
        <w:rPr>
          <w:rFonts w:cs="Tahoma"/>
          <w:bCs/>
          <w:szCs w:val="18"/>
          <w:lang w:val="pt-BR"/>
        </w:rPr>
        <w:t xml:space="preserve"> </w:t>
      </w:r>
      <w:r w:rsidRPr="008D38F6">
        <w:rPr>
          <w:rFonts w:cs="Tahoma"/>
          <w:bCs/>
          <w:szCs w:val="18"/>
          <w:lang w:val="pt-BR"/>
        </w:rPr>
        <w:t>Os clientes devem ter cobertura nas licenças de</w:t>
      </w:r>
      <w:r w:rsidR="00273C7F" w:rsidRPr="008D38F6">
        <w:rPr>
          <w:rFonts w:cs="Tahoma"/>
          <w:bCs/>
          <w:szCs w:val="18"/>
          <w:lang w:val="pt-BR"/>
        </w:rPr>
        <w:t> </w:t>
      </w:r>
      <w:r w:rsidRPr="008D38F6">
        <w:rPr>
          <w:rFonts w:cs="Tahoma"/>
          <w:bCs/>
          <w:szCs w:val="18"/>
          <w:lang w:val="pt-BR"/>
        </w:rPr>
        <w:t>software de acordo com as quais o Software do Servidor Qualificado está em execução.</w:t>
      </w:r>
    </w:p>
    <w:p w:rsidR="003479E5" w:rsidRPr="008D38F6" w:rsidRDefault="003479E5" w:rsidP="00792D1E">
      <w:pPr>
        <w:rPr>
          <w:lang w:val="pt-BR"/>
        </w:rPr>
      </w:pPr>
    </w:p>
    <w:p w:rsidR="000D454E" w:rsidRPr="008D38F6" w:rsidRDefault="000D454E" w:rsidP="00792D1E">
      <w:pPr>
        <w:rPr>
          <w:lang w:val="pt-BR"/>
        </w:rPr>
      </w:pPr>
      <w:r w:rsidRPr="008D38F6">
        <w:rPr>
          <w:rFonts w:cs="Tahoma"/>
          <w:szCs w:val="18"/>
          <w:lang w:val="pt-BR"/>
        </w:rPr>
        <w:t>Os clientes com cobertura de Software Assurance ativa para Licenças de Gerenciamento identificadas na tabela a</w:t>
      </w:r>
      <w:r w:rsidR="00273C7F" w:rsidRPr="008D38F6">
        <w:rPr>
          <w:rFonts w:cs="Tahoma"/>
          <w:szCs w:val="18"/>
          <w:lang w:val="pt-BR"/>
        </w:rPr>
        <w:t> </w:t>
      </w:r>
      <w:r w:rsidRPr="008D38F6">
        <w:rPr>
          <w:rFonts w:cs="Tahoma"/>
          <w:szCs w:val="18"/>
          <w:lang w:val="pt-BR"/>
        </w:rPr>
        <w:t>seguir estão qualificados para usar o System Center Advisor conforme definido nos Direitos de Uso do Produto.</w:t>
      </w:r>
    </w:p>
    <w:p w:rsidR="000D454E" w:rsidRPr="008D38F6" w:rsidRDefault="000D454E" w:rsidP="000D454E">
      <w:pPr>
        <w:outlineLvl w:val="2"/>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12"/>
      </w:tblGrid>
      <w:tr w:rsidR="000D454E" w:rsidRPr="00B06414" w:rsidTr="00273C7F">
        <w:trPr>
          <w:jc w:val="center"/>
        </w:trPr>
        <w:tc>
          <w:tcPr>
            <w:tcW w:w="5812"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8D38F6" w:rsidRDefault="000D454E" w:rsidP="007E466C">
            <w:pPr>
              <w:spacing w:before="120" w:after="120" w:line="276" w:lineRule="auto"/>
              <w:jc w:val="center"/>
              <w:rPr>
                <w:rFonts w:cs="Tahoma"/>
                <w:b/>
                <w:color w:val="000000"/>
                <w:szCs w:val="18"/>
                <w:lang w:val="pt-BR" w:eastAsia="ja-JP"/>
              </w:rPr>
            </w:pPr>
            <w:r w:rsidRPr="008D38F6">
              <w:rPr>
                <w:rFonts w:cs="Tahoma"/>
                <w:b/>
                <w:color w:val="000000"/>
                <w:szCs w:val="18"/>
                <w:lang w:val="pt-BR"/>
              </w:rPr>
              <w:t>Licenças de Gerenciamento de Qualificação</w:t>
            </w:r>
          </w:p>
        </w:tc>
      </w:tr>
      <w:tr w:rsidR="000D454E" w:rsidRPr="00B06414" w:rsidTr="00273C7F">
        <w:trPr>
          <w:jc w:val="center"/>
        </w:trPr>
        <w:tc>
          <w:tcPr>
            <w:tcW w:w="5812" w:type="dxa"/>
            <w:tcBorders>
              <w:top w:val="single" w:sz="4" w:space="0" w:color="000000"/>
              <w:left w:val="single" w:sz="4" w:space="0" w:color="000000"/>
              <w:bottom w:val="single" w:sz="4" w:space="0" w:color="000000"/>
              <w:right w:val="single" w:sz="4" w:space="0" w:color="000000"/>
            </w:tcBorders>
            <w:vAlign w:val="center"/>
            <w:hideMark/>
          </w:tcPr>
          <w:p w:rsidR="000D454E" w:rsidRPr="008D38F6" w:rsidRDefault="000D454E" w:rsidP="007E466C">
            <w:pPr>
              <w:spacing w:before="120" w:after="120"/>
              <w:jc w:val="center"/>
              <w:rPr>
                <w:rFonts w:cs="Tahoma"/>
                <w:color w:val="000000"/>
                <w:szCs w:val="18"/>
                <w:lang w:val="pt-BR" w:eastAsia="ja-JP"/>
              </w:rPr>
            </w:pPr>
            <w:r w:rsidRPr="008D38F6">
              <w:rPr>
                <w:rFonts w:cs="Tahoma"/>
                <w:color w:val="000000"/>
                <w:szCs w:val="18"/>
                <w:lang w:val="pt-BR"/>
              </w:rPr>
              <w:t>Licença de Gerenciamento do System Center 2012 Datacenter Server</w:t>
            </w:r>
          </w:p>
        </w:tc>
      </w:tr>
      <w:tr w:rsidR="000D454E" w:rsidRPr="00B06414" w:rsidTr="00273C7F">
        <w:trPr>
          <w:jc w:val="center"/>
        </w:trPr>
        <w:tc>
          <w:tcPr>
            <w:tcW w:w="5812" w:type="dxa"/>
            <w:tcBorders>
              <w:top w:val="single" w:sz="4" w:space="0" w:color="000000"/>
              <w:left w:val="single" w:sz="4" w:space="0" w:color="000000"/>
              <w:bottom w:val="single" w:sz="4" w:space="0" w:color="000000"/>
              <w:right w:val="single" w:sz="4" w:space="0" w:color="000000"/>
            </w:tcBorders>
            <w:vAlign w:val="center"/>
            <w:hideMark/>
          </w:tcPr>
          <w:p w:rsidR="000D454E" w:rsidRPr="008D38F6" w:rsidRDefault="000D454E" w:rsidP="007E466C">
            <w:pPr>
              <w:spacing w:before="120" w:after="120" w:line="276" w:lineRule="auto"/>
              <w:jc w:val="center"/>
              <w:rPr>
                <w:rFonts w:cs="Tahoma"/>
                <w:szCs w:val="18"/>
                <w:lang w:val="pt-BR"/>
              </w:rPr>
            </w:pPr>
            <w:r w:rsidRPr="008D38F6">
              <w:rPr>
                <w:rFonts w:cs="Tahoma"/>
                <w:color w:val="000000"/>
                <w:szCs w:val="18"/>
                <w:lang w:val="pt-BR"/>
              </w:rPr>
              <w:t>Licença de Gerenciamento do System Center 2012 Standard Server</w:t>
            </w:r>
          </w:p>
        </w:tc>
      </w:tr>
    </w:tbl>
    <w:p w:rsidR="00B718F6" w:rsidRPr="008D38F6" w:rsidRDefault="00B718F6" w:rsidP="00E06FE8">
      <w:pPr>
        <w:keepNext/>
        <w:keepLines/>
        <w:spacing w:before="40" w:line="259" w:lineRule="auto"/>
        <w:outlineLvl w:val="2"/>
        <w:rPr>
          <w:rFonts w:eastAsiaTheme="majorEastAsia" w:cs="Tahoma"/>
          <w:color w:val="000000"/>
          <w:szCs w:val="18"/>
          <w:lang w:val="pt-BR"/>
        </w:rPr>
      </w:pPr>
      <w:bookmarkStart w:id="799" w:name="_Toc336338239"/>
    </w:p>
    <w:p w:rsidR="00E06FE8" w:rsidRPr="008D38F6" w:rsidRDefault="00E06FE8" w:rsidP="00E06FE8">
      <w:pPr>
        <w:keepNext/>
        <w:keepLines/>
        <w:spacing w:before="40" w:line="259" w:lineRule="auto"/>
        <w:outlineLvl w:val="2"/>
        <w:rPr>
          <w:lang w:val="pt-BR"/>
        </w:rPr>
      </w:pPr>
      <w:r w:rsidRPr="008D38F6">
        <w:rPr>
          <w:rFonts w:eastAsiaTheme="majorEastAsia" w:cs="Tahoma"/>
          <w:b/>
          <w:color w:val="000000"/>
          <w:sz w:val="24"/>
          <w:szCs w:val="18"/>
          <w:lang w:val="pt-BR"/>
        </w:rPr>
        <w:t>System Center Global Service Monitor</w:t>
      </w:r>
    </w:p>
    <w:p w:rsidR="00E06FE8" w:rsidRPr="008D38F6" w:rsidRDefault="00E06FE8" w:rsidP="007E466C">
      <w:pPr>
        <w:rPr>
          <w:lang w:val="pt-BR"/>
        </w:rPr>
      </w:pPr>
      <w:r w:rsidRPr="008D38F6">
        <w:rPr>
          <w:rFonts w:cs="Tahoma"/>
          <w:szCs w:val="18"/>
          <w:lang w:val="pt-BR"/>
        </w:rPr>
        <w:t>Os clientes com cobertura de Software Assurance ativa para Licenças de Gerenciamento identificadas na tabela a</w:t>
      </w:r>
      <w:r w:rsidR="00273C7F" w:rsidRPr="008D38F6">
        <w:rPr>
          <w:rFonts w:cs="Tahoma"/>
          <w:szCs w:val="18"/>
          <w:lang w:val="pt-BR"/>
        </w:rPr>
        <w:t> </w:t>
      </w:r>
      <w:r w:rsidRPr="008D38F6">
        <w:rPr>
          <w:rFonts w:cs="Tahoma"/>
          <w:szCs w:val="18"/>
          <w:lang w:val="pt-BR"/>
        </w:rPr>
        <w:t>seguir estão qualificados para usar o System Center Global Service Monitor conforme definido nos Direitos de Uso</w:t>
      </w:r>
      <w:r w:rsidR="00273C7F" w:rsidRPr="008D38F6">
        <w:rPr>
          <w:rFonts w:cs="Tahoma"/>
          <w:szCs w:val="18"/>
          <w:lang w:val="pt-BR"/>
        </w:rPr>
        <w:t> </w:t>
      </w:r>
      <w:r w:rsidRPr="008D38F6">
        <w:rPr>
          <w:rFonts w:cs="Tahoma"/>
          <w:szCs w:val="18"/>
          <w:lang w:val="pt-BR"/>
        </w:rPr>
        <w:t>do Produto.</w:t>
      </w:r>
    </w:p>
    <w:p w:rsidR="000E6E21" w:rsidRPr="008D38F6" w:rsidRDefault="000E6E21" w:rsidP="007E466C">
      <w:pPr>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B06414"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8D38F6" w:rsidRDefault="00E06FE8" w:rsidP="007E466C">
            <w:pPr>
              <w:spacing w:before="120" w:after="120"/>
              <w:jc w:val="center"/>
              <w:rPr>
                <w:rFonts w:cs="Tahoma"/>
                <w:b/>
                <w:szCs w:val="18"/>
                <w:lang w:val="pt-BR"/>
              </w:rPr>
            </w:pPr>
            <w:r w:rsidRPr="008D38F6">
              <w:rPr>
                <w:rFonts w:cs="Tahoma"/>
                <w:b/>
                <w:szCs w:val="18"/>
                <w:lang w:val="pt-BR"/>
              </w:rPr>
              <w:t>Licenças de Gerenciamento de Qualificação</w:t>
            </w:r>
          </w:p>
        </w:tc>
      </w:tr>
      <w:tr w:rsidR="000E6E21" w:rsidRPr="00B06414"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8D38F6" w:rsidRDefault="00E06FE8" w:rsidP="007E466C">
            <w:pPr>
              <w:spacing w:before="120" w:after="120"/>
              <w:jc w:val="center"/>
              <w:rPr>
                <w:rFonts w:cs="Tahoma"/>
                <w:szCs w:val="18"/>
                <w:lang w:val="pt-BR"/>
              </w:rPr>
            </w:pPr>
            <w:r w:rsidRPr="008D38F6">
              <w:rPr>
                <w:rFonts w:cs="Tahoma"/>
                <w:szCs w:val="18"/>
                <w:lang w:val="pt-BR"/>
              </w:rPr>
              <w:t>Licença de Gerenciamento do System Center Datacenter Server</w:t>
            </w:r>
          </w:p>
        </w:tc>
      </w:tr>
      <w:tr w:rsidR="000E6E21" w:rsidRPr="00B06414"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8D38F6" w:rsidRDefault="00E06FE8" w:rsidP="007E466C">
            <w:pPr>
              <w:spacing w:before="120" w:after="120"/>
              <w:jc w:val="center"/>
              <w:rPr>
                <w:rFonts w:cs="Tahoma"/>
                <w:szCs w:val="18"/>
                <w:lang w:val="pt-BR"/>
              </w:rPr>
            </w:pPr>
            <w:r w:rsidRPr="008D38F6">
              <w:rPr>
                <w:rFonts w:cs="Tahoma"/>
                <w:szCs w:val="18"/>
                <w:lang w:val="pt-BR"/>
              </w:rPr>
              <w:t>Licença de Gerenciamento do System Center Standard Server</w:t>
            </w:r>
          </w:p>
        </w:tc>
      </w:tr>
    </w:tbl>
    <w:p w:rsidR="00E06FE8" w:rsidRPr="008D38F6" w:rsidRDefault="00E06FE8">
      <w:pPr>
        <w:rPr>
          <w:lang w:val="pt-BR"/>
        </w:rPr>
      </w:pPr>
    </w:p>
    <w:p w:rsidR="00023FE7" w:rsidRPr="008D38F6" w:rsidRDefault="00023FE7">
      <w:pPr>
        <w:pStyle w:val="Heading3"/>
        <w:rPr>
          <w:lang w:val="pt-BR"/>
        </w:rPr>
      </w:pPr>
      <w:bookmarkStart w:id="800" w:name="_Toc352234307"/>
      <w:r w:rsidRPr="00416070">
        <w:rPr>
          <w:rFonts w:ascii="Tahoma" w:hAnsi="Tahoma" w:cs="Tahoma"/>
          <w:sz w:val="24"/>
        </w:rPr>
        <w:t>Backup Passivo para Recuperação de Desastres</w:t>
      </w:r>
      <w:bookmarkEnd w:id="799"/>
      <w:bookmarkEnd w:id="800"/>
    </w:p>
    <w:p w:rsidR="00023FE7" w:rsidRPr="008D38F6" w:rsidRDefault="00023FE7">
      <w:pPr>
        <w:rPr>
          <w:lang w:val="pt-BR"/>
        </w:rPr>
      </w:pPr>
    </w:p>
    <w:p w:rsidR="008A15A8" w:rsidRPr="008D38F6" w:rsidRDefault="008A15A8" w:rsidP="00792D1E">
      <w:pPr>
        <w:rPr>
          <w:lang w:val="pt-BR"/>
        </w:rPr>
      </w:pPr>
      <w:r w:rsidRPr="008D38F6">
        <w:rPr>
          <w:rFonts w:eastAsia="Calibri" w:cs="Tahoma"/>
          <w:szCs w:val="18"/>
          <w:lang w:val="pt-BR"/>
        </w:rPr>
        <w:t>Os clientes com Software Assurance para produtos de servidor qualificados e CALs relacionadas estão qualificados para licenças de servidor complementares desses produtos com fins de recuperação de desastre (DR).</w:t>
      </w:r>
    </w:p>
    <w:p w:rsidR="00792D1E" w:rsidRPr="008D38F6" w:rsidRDefault="00792D1E" w:rsidP="00792D1E">
      <w:pPr>
        <w:rPr>
          <w:lang w:val="pt-BR"/>
        </w:rPr>
      </w:pPr>
    </w:p>
    <w:p w:rsidR="00023FE7" w:rsidRPr="008D38F6" w:rsidRDefault="00023FE7" w:rsidP="00792D1E">
      <w:pPr>
        <w:pStyle w:val="AppendixFlushBulletedList"/>
        <w:tabs>
          <w:tab w:val="clear" w:pos="360"/>
          <w:tab w:val="num" w:pos="0"/>
        </w:tabs>
        <w:ind w:left="0" w:firstLine="0"/>
        <w:rPr>
          <w:lang w:val="pt-BR"/>
        </w:rPr>
      </w:pPr>
      <w:r w:rsidRPr="008D38F6">
        <w:rPr>
          <w:rFonts w:ascii="Tahoma" w:hAnsi="Tahoma" w:cs="Tahoma"/>
          <w:sz w:val="18"/>
          <w:szCs w:val="18"/>
          <w:lang w:val="pt-BR"/>
        </w:rPr>
        <w:t xml:space="preserve">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w:t>
      </w:r>
      <w:r w:rsidR="00910E93" w:rsidRPr="008D38F6">
        <w:rPr>
          <w:rFonts w:ascii="Tahoma" w:hAnsi="Tahoma" w:cs="Tahoma"/>
          <w:sz w:val="18"/>
          <w:szCs w:val="18"/>
          <w:lang w:val="pt-BR"/>
        </w:rPr>
        <w:t>“</w:t>
      </w:r>
      <w:r w:rsidRPr="008D38F6">
        <w:rPr>
          <w:rFonts w:ascii="Tahoma" w:hAnsi="Tahoma" w:cs="Tahoma"/>
          <w:sz w:val="18"/>
          <w:szCs w:val="18"/>
          <w:lang w:val="pt-BR"/>
        </w:rPr>
        <w:t>passivo</w:t>
      </w:r>
      <w:r w:rsidR="00910E93" w:rsidRPr="008D38F6">
        <w:rPr>
          <w:rFonts w:ascii="Tahoma" w:hAnsi="Tahoma" w:cs="Tahoma"/>
          <w:sz w:val="18"/>
          <w:szCs w:val="18"/>
          <w:lang w:val="pt-BR"/>
        </w:rPr>
        <w:t>”</w:t>
      </w:r>
      <w:r w:rsidRPr="008D38F6">
        <w:rPr>
          <w:rFonts w:ascii="Tahoma" w:hAnsi="Tahoma" w:cs="Tahoma"/>
          <w:sz w:val="18"/>
          <w:szCs w:val="18"/>
          <w:lang w:val="pt-BR"/>
        </w:rPr>
        <w:t xml:space="preserve"> apenas para fins de DR durante o prazo de sua cobertura do Software Assurance.</w:t>
      </w:r>
      <w:r w:rsidR="00FB5496" w:rsidRPr="008D38F6">
        <w:rPr>
          <w:rFonts w:ascii="Tahoma" w:hAnsi="Tahoma" w:cs="Tahoma"/>
          <w:sz w:val="18"/>
          <w:szCs w:val="18"/>
          <w:lang w:val="pt-BR"/>
        </w:rPr>
        <w:t xml:space="preserve"> </w:t>
      </w:r>
      <w:r w:rsidRPr="008D38F6">
        <w:rPr>
          <w:rFonts w:ascii="Tahoma" w:hAnsi="Tahoma" w:cs="Tahoma"/>
          <w:sz w:val="18"/>
          <w:szCs w:val="18"/>
          <w:lang w:val="pt-BR"/>
        </w:rPr>
        <w:t>A implantação e o uso do software sob as licenças de DR pelos clientes estão sujeitos aos termos e condições de seus contratos de licença.</w:t>
      </w:r>
    </w:p>
    <w:p w:rsidR="00FE5F1D" w:rsidRPr="008D38F6" w:rsidRDefault="00FE5F1D" w:rsidP="00792D1E">
      <w:pPr>
        <w:pStyle w:val="AppendixBodyText"/>
        <w:spacing w:after="0"/>
        <w:rPr>
          <w:rFonts w:ascii="Tahoma" w:hAnsi="Tahoma" w:cs="Tahoma"/>
          <w:sz w:val="18"/>
          <w:szCs w:val="18"/>
          <w:lang w:val="pt-BR"/>
        </w:rPr>
      </w:pPr>
    </w:p>
    <w:p w:rsidR="00FE2B0B" w:rsidRPr="008D38F6" w:rsidRDefault="00FE2B0B" w:rsidP="00792D1E">
      <w:pPr>
        <w:pStyle w:val="Heading3"/>
        <w:rPr>
          <w:rFonts w:ascii="Tahoma" w:hAnsi="Tahoma" w:cs="Tahoma"/>
          <w:sz w:val="24"/>
          <w:lang w:val="pt-BR"/>
        </w:rPr>
      </w:pPr>
      <w:bookmarkStart w:id="801" w:name="_Toc336338240"/>
    </w:p>
    <w:p w:rsidR="00FE2B0B" w:rsidRPr="008D38F6" w:rsidRDefault="00FE2B0B" w:rsidP="00792D1E">
      <w:pPr>
        <w:pStyle w:val="Heading3"/>
        <w:rPr>
          <w:rFonts w:ascii="Tahoma" w:hAnsi="Tahoma" w:cs="Tahoma"/>
          <w:sz w:val="24"/>
          <w:lang w:val="pt-BR"/>
        </w:rPr>
      </w:pPr>
    </w:p>
    <w:p w:rsidR="00FE2B0B" w:rsidRPr="008D38F6" w:rsidRDefault="00FE2B0B" w:rsidP="00792D1E">
      <w:pPr>
        <w:pStyle w:val="Heading3"/>
        <w:rPr>
          <w:rFonts w:ascii="Tahoma" w:hAnsi="Tahoma" w:cs="Tahoma"/>
          <w:sz w:val="24"/>
          <w:lang w:val="pt-BR"/>
        </w:rPr>
      </w:pPr>
    </w:p>
    <w:p w:rsidR="00FE2B0B" w:rsidRPr="008D38F6" w:rsidRDefault="00FE2B0B" w:rsidP="00792D1E">
      <w:pPr>
        <w:pStyle w:val="Heading3"/>
        <w:rPr>
          <w:rFonts w:ascii="Tahoma" w:hAnsi="Tahoma" w:cs="Tahoma"/>
          <w:sz w:val="24"/>
          <w:lang w:val="pt-BR"/>
        </w:rPr>
      </w:pPr>
    </w:p>
    <w:p w:rsidR="00023FE7" w:rsidRPr="00416070" w:rsidRDefault="00023FE7" w:rsidP="00792D1E">
      <w:pPr>
        <w:pStyle w:val="Heading3"/>
      </w:pPr>
      <w:bookmarkStart w:id="802" w:name="_Toc352234308"/>
      <w:r w:rsidRPr="00416070">
        <w:rPr>
          <w:rFonts w:ascii="Tahoma" w:hAnsi="Tahoma" w:cs="Tahoma"/>
          <w:sz w:val="24"/>
        </w:rPr>
        <w:lastRenderedPageBreak/>
        <w:t>Serviços de Assinatura do TechNet SA</w:t>
      </w:r>
      <w:bookmarkEnd w:id="801"/>
      <w:bookmarkEnd w:id="802"/>
    </w:p>
    <w:p w:rsidR="00023FE7" w:rsidRPr="008D38F6" w:rsidRDefault="00023FE7" w:rsidP="00792D1E">
      <w:pPr>
        <w:rPr>
          <w:lang w:val="pt-BR"/>
        </w:rPr>
      </w:pPr>
    </w:p>
    <w:p w:rsidR="004A4D28" w:rsidRPr="008D38F6" w:rsidRDefault="00A65414" w:rsidP="00792D1E">
      <w:pPr>
        <w:pStyle w:val="AppendixBodyText"/>
        <w:spacing w:after="0"/>
        <w:rPr>
          <w:lang w:val="pt-BR"/>
        </w:rPr>
      </w:pPr>
      <w:r w:rsidRPr="008D38F6">
        <w:rPr>
          <w:rFonts w:ascii="Tahoma" w:eastAsia="Calibri" w:hAnsi="Tahoma" w:cs="Tahoma"/>
          <w:sz w:val="18"/>
          <w:szCs w:val="18"/>
          <w:lang w:val="pt-BR"/>
        </w:rPr>
        <w:t xml:space="preserve">Os clientes com Software Assurance para produtos qualificados em qualquer pool de servidores de produtos estão qualificados para o suporte de Serviços de Assinatura do TechNet SA durante o prazo da cobertura do Software Assurance. </w:t>
      </w:r>
      <w:r w:rsidRPr="008D38F6">
        <w:rPr>
          <w:rFonts w:ascii="Tahoma" w:hAnsi="Tahoma" w:cs="Tahoma"/>
          <w:sz w:val="18"/>
          <w:szCs w:val="18"/>
          <w:lang w:val="pt-BR"/>
        </w:rPr>
        <w:t>Isso fornece aos profissionais de TI respostas a questões técnicas de colegas do setor.</w:t>
      </w:r>
      <w:r w:rsidR="00FB5496" w:rsidRPr="008D38F6">
        <w:rPr>
          <w:rFonts w:ascii="Tahoma" w:hAnsi="Tahoma" w:cs="Tahoma"/>
          <w:sz w:val="18"/>
          <w:szCs w:val="18"/>
          <w:lang w:val="pt-BR"/>
        </w:rPr>
        <w:t xml:space="preserve"> </w:t>
      </w:r>
      <w:r w:rsidRPr="008D38F6">
        <w:rPr>
          <w:rFonts w:ascii="Tahoma" w:hAnsi="Tahoma" w:cs="Tahoma"/>
          <w:sz w:val="18"/>
          <w:szCs w:val="18"/>
          <w:lang w:val="pt-BR"/>
        </w:rPr>
        <w:t>Os profissionais de</w:t>
      </w:r>
      <w:r w:rsidR="00FE2B0B" w:rsidRPr="008D38F6">
        <w:rPr>
          <w:rFonts w:ascii="Tahoma" w:hAnsi="Tahoma" w:cs="Tahoma"/>
          <w:sz w:val="18"/>
          <w:szCs w:val="18"/>
          <w:lang w:val="pt-BR"/>
        </w:rPr>
        <w:t> </w:t>
      </w:r>
      <w:r w:rsidRPr="008D38F6">
        <w:rPr>
          <w:rFonts w:ascii="Tahoma" w:hAnsi="Tahoma" w:cs="Tahoma"/>
          <w:sz w:val="18"/>
          <w:szCs w:val="18"/>
          <w:lang w:val="pt-BR"/>
        </w:rPr>
        <w:t>suporte da Microsoft monitoram os grupos de notícias a fim de ajudar a garantir a precisão.</w:t>
      </w:r>
      <w:r w:rsidR="00FB5496" w:rsidRPr="008D38F6">
        <w:rPr>
          <w:rFonts w:ascii="Tahoma" w:hAnsi="Tahoma" w:cs="Tahoma"/>
          <w:sz w:val="18"/>
          <w:szCs w:val="18"/>
          <w:lang w:val="pt-BR"/>
        </w:rPr>
        <w:t xml:space="preserve"> </w:t>
      </w:r>
      <w:r w:rsidRPr="008D38F6">
        <w:rPr>
          <w:rFonts w:ascii="Tahoma" w:hAnsi="Tahoma" w:cs="Tahoma"/>
          <w:sz w:val="18"/>
          <w:szCs w:val="18"/>
          <w:lang w:val="pt-BR"/>
        </w:rPr>
        <w:t>Os clientes qualificados recebem IDs de Usuário que fornecem acesso aos serviços online.</w:t>
      </w:r>
    </w:p>
    <w:p w:rsidR="00FE5F1D" w:rsidRPr="008D38F6" w:rsidRDefault="00FE5F1D" w:rsidP="00792D1E">
      <w:pPr>
        <w:pStyle w:val="AppendixBodyText"/>
        <w:spacing w:after="0"/>
        <w:rPr>
          <w:rFonts w:ascii="Tahoma" w:hAnsi="Tahoma" w:cs="Tahoma"/>
          <w:sz w:val="18"/>
          <w:szCs w:val="18"/>
          <w:lang w:val="pt-BR"/>
        </w:rPr>
      </w:pPr>
    </w:p>
    <w:p w:rsidR="00023FE7" w:rsidRPr="008D38F6" w:rsidRDefault="00023FE7" w:rsidP="00792D1E">
      <w:pPr>
        <w:pStyle w:val="AppendixBodyText"/>
        <w:spacing w:after="0"/>
        <w:rPr>
          <w:lang w:val="pt-BR"/>
        </w:rPr>
      </w:pPr>
      <w:r w:rsidRPr="008D38F6">
        <w:rPr>
          <w:rFonts w:ascii="Tahoma" w:hAnsi="Tahoma" w:cs="Tahoma"/>
          <w:sz w:val="18"/>
          <w:szCs w:val="18"/>
          <w:lang w:val="pt-BR"/>
        </w:rPr>
        <w:t>Os clientes receberão uma ID de Usuário para cada produto qualificado com cobertura do Software Assurance, conforme mostrado a seguir:</w:t>
      </w:r>
    </w:p>
    <w:p w:rsidR="00023FE7" w:rsidRPr="008D38F6" w:rsidRDefault="00023FE7" w:rsidP="00792D1E">
      <w:pPr>
        <w:pStyle w:val="AppendixBodyText"/>
        <w:spacing w:after="0"/>
        <w:rPr>
          <w:rFonts w:ascii="Tahoma" w:hAnsi="Tahoma" w:cs="Tahoma"/>
          <w:sz w:val="18"/>
          <w:szCs w:val="18"/>
          <w:lang w:val="pt-B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416070"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16070" w:rsidRDefault="0036654E">
            <w:pPr>
              <w:pStyle w:val="AppendixTableHeadings"/>
              <w:rPr>
                <w:rFonts w:ascii="Tahoma" w:hAnsi="Tahoma" w:cs="Tahoma"/>
                <w:sz w:val="20"/>
                <w:szCs w:val="20"/>
              </w:rPr>
            </w:pPr>
            <w:r w:rsidRPr="00416070">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16070" w:rsidRDefault="0036654E">
            <w:pPr>
              <w:pStyle w:val="AppendixTableHeadings"/>
              <w:rPr>
                <w:rFonts w:ascii="Tahoma" w:hAnsi="Tahoma" w:cs="Tahoma"/>
                <w:sz w:val="20"/>
                <w:szCs w:val="20"/>
              </w:rPr>
            </w:pPr>
            <w:r w:rsidRPr="00416070">
              <w:rPr>
                <w:rFonts w:ascii="Tahoma" w:hAnsi="Tahoma" w:cs="Tahoma"/>
                <w:sz w:val="20"/>
                <w:szCs w:val="20"/>
              </w:rPr>
              <w:t>Open License, Open Value Subscription – Soluções Educacionais, Open Value e 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16070" w:rsidRDefault="0036654E">
            <w:pPr>
              <w:pStyle w:val="AppendixTableHeadings"/>
              <w:rPr>
                <w:rFonts w:ascii="Tahoma" w:hAnsi="Tahoma" w:cs="Tahoma"/>
                <w:sz w:val="20"/>
                <w:szCs w:val="20"/>
              </w:rPr>
            </w:pPr>
            <w:r w:rsidRPr="00416070">
              <w:rPr>
                <w:rFonts w:ascii="Tahoma" w:hAnsi="Tahoma" w:cs="Tahoma"/>
                <w:sz w:val="20"/>
                <w:szCs w:val="20"/>
              </w:rPr>
              <w:t>Select/Select Plus/Contrato Enterprise</w:t>
            </w:r>
          </w:p>
        </w:tc>
      </w:tr>
      <w:tr w:rsidR="0036654E" w:rsidRPr="00B06414"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16070" w:rsidRDefault="0036654E">
            <w:pPr>
              <w:pStyle w:val="AppendixTableText"/>
              <w:rPr>
                <w:rFonts w:ascii="Tahoma" w:hAnsi="Tahoma" w:cs="Tahoma"/>
                <w:b/>
              </w:rPr>
            </w:pPr>
            <w:r w:rsidRPr="00416070">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8D38F6" w:rsidRDefault="0036654E" w:rsidP="00A9099B">
            <w:pPr>
              <w:pStyle w:val="AppendixTableText"/>
              <w:rPr>
                <w:lang w:val="pt-BR"/>
              </w:rPr>
            </w:pPr>
            <w:r w:rsidRPr="008D38F6">
              <w:rPr>
                <w:rFonts w:ascii="Tahoma" w:hAnsi="Tahoma" w:cs="Tahoma"/>
                <w:lang w:val="pt-BR"/>
              </w:rPr>
              <w:t>1 ID de Usuário por</w:t>
            </w:r>
          </w:p>
          <w:p w:rsidR="0036654E" w:rsidRPr="008D38F6" w:rsidRDefault="0036654E" w:rsidP="00A9099B">
            <w:pPr>
              <w:pStyle w:val="AppendixTableText"/>
              <w:rPr>
                <w:lang w:val="pt-BR"/>
              </w:rPr>
            </w:pPr>
            <w:r w:rsidRPr="008D38F6">
              <w:rPr>
                <w:rFonts w:ascii="Tahoma" w:hAnsi="Tahoma" w:cs="Tahoma"/>
                <w:lang w:val="pt-BR"/>
              </w:rPr>
              <w:t>Licença de Servidor</w:t>
            </w:r>
          </w:p>
          <w:p w:rsidR="0036654E" w:rsidRPr="008D38F6" w:rsidRDefault="0036654E">
            <w:pPr>
              <w:pStyle w:val="AppendixTableText"/>
              <w:rPr>
                <w:rFonts w:ascii="Tahoma" w:hAnsi="Tahoma" w:cs="Tahoma"/>
                <w:lang w:val="pt-BR"/>
              </w:rPr>
            </w:pPr>
            <w:r w:rsidRPr="008D38F6">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8D38F6" w:rsidRDefault="0036654E" w:rsidP="00A9099B">
            <w:pPr>
              <w:pStyle w:val="AppendixTableText"/>
              <w:rPr>
                <w:lang w:val="pt-BR"/>
              </w:rPr>
            </w:pPr>
            <w:r w:rsidRPr="008D38F6">
              <w:rPr>
                <w:rFonts w:ascii="Tahoma" w:hAnsi="Tahoma" w:cs="Tahoma"/>
                <w:lang w:val="pt-BR"/>
              </w:rPr>
              <w:t>1 ID de Usuário por</w:t>
            </w:r>
          </w:p>
          <w:p w:rsidR="0036654E" w:rsidRPr="008D38F6" w:rsidRDefault="0036654E">
            <w:pPr>
              <w:pStyle w:val="AppendixTableText"/>
              <w:rPr>
                <w:rFonts w:ascii="Tahoma" w:hAnsi="Tahoma" w:cs="Tahoma"/>
                <w:lang w:val="pt-BR"/>
              </w:rPr>
            </w:pPr>
            <w:r w:rsidRPr="008D38F6">
              <w:rPr>
                <w:rFonts w:ascii="Tahoma" w:hAnsi="Tahoma" w:cs="Tahoma"/>
                <w:lang w:val="pt-BR"/>
              </w:rPr>
              <w:t>Licença de Servidor</w:t>
            </w:r>
          </w:p>
        </w:tc>
      </w:tr>
    </w:tbl>
    <w:p w:rsidR="00B2460D" w:rsidRPr="008D38F6" w:rsidRDefault="00B2460D">
      <w:pPr>
        <w:pStyle w:val="AppendixBodyText"/>
        <w:rPr>
          <w:rFonts w:ascii="Tahoma" w:hAnsi="Tahoma" w:cs="Tahoma"/>
          <w:sz w:val="18"/>
          <w:szCs w:val="18"/>
          <w:lang w:val="pt-BR"/>
        </w:rPr>
      </w:pPr>
    </w:p>
    <w:p w:rsidR="00023FE7" w:rsidRPr="008D38F6" w:rsidRDefault="00023FE7" w:rsidP="00792D1E">
      <w:pPr>
        <w:pStyle w:val="AppendixBodyText"/>
        <w:spacing w:after="0"/>
        <w:rPr>
          <w:rFonts w:ascii="Tahoma" w:hAnsi="Tahoma" w:cs="Tahoma"/>
          <w:sz w:val="18"/>
          <w:szCs w:val="18"/>
          <w:lang w:val="pt-BR"/>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79"/>
        <w:gridCol w:w="1080"/>
        <w:gridCol w:w="1350"/>
        <w:gridCol w:w="1350"/>
        <w:gridCol w:w="1530"/>
        <w:gridCol w:w="1350"/>
        <w:gridCol w:w="1611"/>
      </w:tblGrid>
      <w:tr w:rsidR="0043190C" w:rsidRPr="00416070" w:rsidTr="00273C7F">
        <w:trPr>
          <w:trHeight w:val="178"/>
        </w:trPr>
        <w:tc>
          <w:tcPr>
            <w:tcW w:w="1179" w:type="dxa"/>
            <w:shd w:val="clear" w:color="auto" w:fill="FFCC99"/>
            <w:vAlign w:val="center"/>
          </w:tcPr>
          <w:p w:rsidR="0043190C" w:rsidRPr="00416070" w:rsidRDefault="0043190C" w:rsidP="002A6416">
            <w:pPr>
              <w:pStyle w:val="AppendixTableHeadings"/>
              <w:keepNext/>
              <w:spacing w:line="240" w:lineRule="auto"/>
              <w:rPr>
                <w:rFonts w:ascii="Tahoma" w:hAnsi="Tahoma" w:cs="Tahoma"/>
                <w:sz w:val="20"/>
                <w:szCs w:val="20"/>
              </w:rPr>
            </w:pPr>
            <w:r w:rsidRPr="00416070">
              <w:rPr>
                <w:rFonts w:ascii="Tahoma" w:hAnsi="Tahoma" w:cs="Tahoma"/>
                <w:sz w:val="20"/>
                <w:szCs w:val="20"/>
              </w:rPr>
              <w:t>Pool de Produtos</w:t>
            </w:r>
          </w:p>
        </w:tc>
        <w:tc>
          <w:tcPr>
            <w:tcW w:w="1080" w:type="dxa"/>
            <w:shd w:val="clear" w:color="auto" w:fill="FFCC99"/>
            <w:vAlign w:val="center"/>
          </w:tcPr>
          <w:p w:rsidR="0043190C" w:rsidRPr="00416070" w:rsidRDefault="0043190C" w:rsidP="002A6416">
            <w:pPr>
              <w:pStyle w:val="AppendixTableHeadings"/>
              <w:keepNext/>
              <w:spacing w:line="240" w:lineRule="auto"/>
              <w:rPr>
                <w:rFonts w:ascii="Tahoma" w:hAnsi="Tahoma" w:cs="Tahoma"/>
                <w:sz w:val="20"/>
                <w:szCs w:val="20"/>
              </w:rPr>
            </w:pPr>
            <w:r w:rsidRPr="00416070">
              <w:rPr>
                <w:rFonts w:ascii="Tahoma" w:hAnsi="Tahoma" w:cs="Tahoma"/>
                <w:sz w:val="20"/>
                <w:szCs w:val="20"/>
              </w:rPr>
              <w:t>Open Value com SAM</w:t>
            </w:r>
          </w:p>
        </w:tc>
        <w:tc>
          <w:tcPr>
            <w:tcW w:w="1350" w:type="dxa"/>
            <w:shd w:val="clear" w:color="auto" w:fill="FFCC99"/>
            <w:vAlign w:val="center"/>
          </w:tcPr>
          <w:p w:rsidR="0043190C" w:rsidRPr="00416070" w:rsidRDefault="0043190C" w:rsidP="002A6416">
            <w:pPr>
              <w:pStyle w:val="AppendixTableHeadings"/>
              <w:keepNext/>
              <w:spacing w:line="240" w:lineRule="auto"/>
            </w:pPr>
            <w:r w:rsidRPr="00416070">
              <w:rPr>
                <w:rFonts w:ascii="Tahoma" w:hAnsi="Tahoma" w:cs="Tahoma"/>
                <w:sz w:val="20"/>
                <w:szCs w:val="20"/>
              </w:rPr>
              <w:t>SAM</w:t>
            </w:r>
          </w:p>
          <w:p w:rsidR="0043190C" w:rsidRPr="00416070" w:rsidRDefault="0043190C" w:rsidP="00AD1F35">
            <w:pPr>
              <w:pStyle w:val="AppendixTableHeadings"/>
              <w:keepNext/>
              <w:spacing w:line="240" w:lineRule="auto"/>
              <w:rPr>
                <w:rFonts w:ascii="Tahoma" w:hAnsi="Tahoma" w:cs="Tahoma"/>
                <w:sz w:val="20"/>
                <w:szCs w:val="20"/>
              </w:rPr>
            </w:pPr>
            <w:r w:rsidRPr="00416070">
              <w:rPr>
                <w:rFonts w:ascii="Tahoma" w:hAnsi="Tahoma" w:cs="Tahoma"/>
                <w:sz w:val="20"/>
                <w:szCs w:val="20"/>
              </w:rPr>
              <w:t>250-2</w:t>
            </w:r>
            <w:r w:rsidR="00AD1F35">
              <w:rPr>
                <w:rFonts w:ascii="Tahoma" w:hAnsi="Tahoma" w:cs="Tahoma"/>
                <w:sz w:val="20"/>
                <w:szCs w:val="20"/>
              </w:rPr>
              <w:t>.</w:t>
            </w:r>
            <w:r w:rsidRPr="00416070">
              <w:rPr>
                <w:rFonts w:ascii="Tahoma" w:hAnsi="Tahoma" w:cs="Tahoma"/>
                <w:sz w:val="20"/>
                <w:szCs w:val="20"/>
              </w:rPr>
              <w:t xml:space="preserve">399 </w:t>
            </w:r>
          </w:p>
        </w:tc>
        <w:tc>
          <w:tcPr>
            <w:tcW w:w="1350" w:type="dxa"/>
            <w:shd w:val="clear" w:color="auto" w:fill="FFCC99"/>
            <w:vAlign w:val="center"/>
          </w:tcPr>
          <w:p w:rsidR="0043190C" w:rsidRPr="00416070" w:rsidRDefault="0043190C" w:rsidP="002A6416">
            <w:pPr>
              <w:pStyle w:val="AppendixTableHeadings"/>
              <w:keepNext/>
              <w:spacing w:line="240" w:lineRule="auto"/>
            </w:pPr>
            <w:r w:rsidRPr="00416070">
              <w:rPr>
                <w:rFonts w:ascii="Tahoma" w:hAnsi="Tahoma" w:cs="Tahoma"/>
                <w:sz w:val="20"/>
                <w:szCs w:val="20"/>
              </w:rPr>
              <w:t>SAM</w:t>
            </w:r>
          </w:p>
          <w:p w:rsidR="0043190C" w:rsidRPr="00416070" w:rsidRDefault="0043190C" w:rsidP="00AD1F35">
            <w:pPr>
              <w:pStyle w:val="AppendixTableHeadings"/>
              <w:keepNext/>
              <w:spacing w:line="240" w:lineRule="auto"/>
              <w:rPr>
                <w:rFonts w:ascii="Tahoma" w:hAnsi="Tahoma" w:cs="Tahoma"/>
                <w:sz w:val="20"/>
                <w:szCs w:val="20"/>
              </w:rPr>
            </w:pPr>
            <w:r w:rsidRPr="00416070">
              <w:rPr>
                <w:rFonts w:ascii="Tahoma" w:hAnsi="Tahoma" w:cs="Tahoma"/>
                <w:sz w:val="20"/>
                <w:szCs w:val="20"/>
              </w:rPr>
              <w:t>2</w:t>
            </w:r>
            <w:r w:rsidR="00AD1F35">
              <w:rPr>
                <w:rFonts w:ascii="Tahoma" w:hAnsi="Tahoma" w:cs="Tahoma"/>
                <w:sz w:val="20"/>
                <w:szCs w:val="20"/>
              </w:rPr>
              <w:t>.</w:t>
            </w:r>
            <w:r w:rsidRPr="00416070">
              <w:rPr>
                <w:rFonts w:ascii="Tahoma" w:hAnsi="Tahoma" w:cs="Tahoma"/>
                <w:sz w:val="20"/>
                <w:szCs w:val="20"/>
              </w:rPr>
              <w:t>400-5</w:t>
            </w:r>
            <w:r w:rsidR="00AD1F35">
              <w:rPr>
                <w:rFonts w:ascii="Tahoma" w:hAnsi="Tahoma" w:cs="Tahoma"/>
                <w:sz w:val="20"/>
                <w:szCs w:val="20"/>
              </w:rPr>
              <w:t>.</w:t>
            </w:r>
            <w:r w:rsidRPr="00416070">
              <w:rPr>
                <w:rFonts w:ascii="Tahoma" w:hAnsi="Tahoma" w:cs="Tahoma"/>
                <w:sz w:val="20"/>
                <w:szCs w:val="20"/>
              </w:rPr>
              <w:t>999</w:t>
            </w:r>
          </w:p>
        </w:tc>
        <w:tc>
          <w:tcPr>
            <w:tcW w:w="1530" w:type="dxa"/>
            <w:shd w:val="clear" w:color="auto" w:fill="FFCC99"/>
            <w:vAlign w:val="center"/>
          </w:tcPr>
          <w:p w:rsidR="0043190C" w:rsidRPr="00416070" w:rsidRDefault="0043190C" w:rsidP="002A6416">
            <w:pPr>
              <w:pStyle w:val="AppendixTableHeadings"/>
              <w:keepNext/>
              <w:spacing w:line="240" w:lineRule="auto"/>
            </w:pPr>
            <w:r w:rsidRPr="00416070">
              <w:rPr>
                <w:rFonts w:ascii="Tahoma" w:hAnsi="Tahoma" w:cs="Tahoma"/>
                <w:sz w:val="20"/>
                <w:szCs w:val="20"/>
              </w:rPr>
              <w:t>SAM</w:t>
            </w:r>
          </w:p>
          <w:p w:rsidR="0043190C" w:rsidRPr="00416070" w:rsidRDefault="0043190C" w:rsidP="00AD1F35">
            <w:pPr>
              <w:pStyle w:val="AppendixTableHeadings"/>
              <w:keepNext/>
              <w:spacing w:line="240" w:lineRule="auto"/>
              <w:rPr>
                <w:rFonts w:ascii="Tahoma" w:hAnsi="Tahoma" w:cs="Tahoma"/>
                <w:sz w:val="20"/>
                <w:szCs w:val="20"/>
              </w:rPr>
            </w:pPr>
            <w:r w:rsidRPr="00416070">
              <w:rPr>
                <w:rFonts w:ascii="Tahoma" w:hAnsi="Tahoma" w:cs="Tahoma"/>
                <w:sz w:val="20"/>
                <w:szCs w:val="20"/>
              </w:rPr>
              <w:t>6</w:t>
            </w:r>
            <w:r w:rsidR="00AD1F35">
              <w:rPr>
                <w:rFonts w:ascii="Tahoma" w:hAnsi="Tahoma" w:cs="Tahoma"/>
                <w:sz w:val="20"/>
                <w:szCs w:val="20"/>
              </w:rPr>
              <w:t>.</w:t>
            </w:r>
            <w:r w:rsidRPr="00416070">
              <w:rPr>
                <w:rFonts w:ascii="Tahoma" w:hAnsi="Tahoma" w:cs="Tahoma"/>
                <w:sz w:val="20"/>
                <w:szCs w:val="20"/>
              </w:rPr>
              <w:t>000-14</w:t>
            </w:r>
            <w:r w:rsidR="00AD1F35">
              <w:rPr>
                <w:rFonts w:ascii="Tahoma" w:hAnsi="Tahoma" w:cs="Tahoma"/>
                <w:sz w:val="20"/>
                <w:szCs w:val="20"/>
              </w:rPr>
              <w:t>.</w:t>
            </w:r>
            <w:r w:rsidRPr="00416070">
              <w:rPr>
                <w:rFonts w:ascii="Tahoma" w:hAnsi="Tahoma" w:cs="Tahoma"/>
                <w:sz w:val="20"/>
                <w:szCs w:val="20"/>
              </w:rPr>
              <w:t>999</w:t>
            </w:r>
          </w:p>
        </w:tc>
        <w:tc>
          <w:tcPr>
            <w:tcW w:w="1350" w:type="dxa"/>
            <w:shd w:val="clear" w:color="auto" w:fill="FFCC99"/>
            <w:vAlign w:val="center"/>
          </w:tcPr>
          <w:p w:rsidR="0043190C" w:rsidRPr="00416070" w:rsidRDefault="0043190C" w:rsidP="002A6416">
            <w:pPr>
              <w:pStyle w:val="AppendixTableHeadings"/>
              <w:keepNext/>
              <w:spacing w:line="240" w:lineRule="auto"/>
            </w:pPr>
            <w:r w:rsidRPr="00416070">
              <w:rPr>
                <w:rFonts w:ascii="Tahoma" w:hAnsi="Tahoma" w:cs="Tahoma"/>
                <w:sz w:val="20"/>
                <w:szCs w:val="20"/>
              </w:rPr>
              <w:t>SAM</w:t>
            </w:r>
          </w:p>
          <w:p w:rsidR="0043190C" w:rsidRPr="00416070" w:rsidRDefault="0043190C" w:rsidP="00AD1F35">
            <w:pPr>
              <w:pStyle w:val="AppendixTableHeadings"/>
              <w:keepNext/>
              <w:spacing w:line="240" w:lineRule="auto"/>
              <w:rPr>
                <w:rFonts w:ascii="Tahoma" w:hAnsi="Tahoma" w:cs="Tahoma"/>
                <w:sz w:val="20"/>
                <w:szCs w:val="20"/>
              </w:rPr>
            </w:pPr>
            <w:r w:rsidRPr="00416070">
              <w:rPr>
                <w:rFonts w:ascii="Tahoma" w:hAnsi="Tahoma" w:cs="Tahoma"/>
                <w:sz w:val="20"/>
                <w:szCs w:val="20"/>
              </w:rPr>
              <w:t>15</w:t>
            </w:r>
            <w:r w:rsidR="00AD1F35">
              <w:rPr>
                <w:rFonts w:ascii="Tahoma" w:hAnsi="Tahoma" w:cs="Tahoma"/>
                <w:sz w:val="20"/>
                <w:szCs w:val="20"/>
              </w:rPr>
              <w:t>.</w:t>
            </w:r>
            <w:r w:rsidRPr="00416070">
              <w:rPr>
                <w:rFonts w:ascii="Tahoma" w:hAnsi="Tahoma" w:cs="Tahoma"/>
                <w:sz w:val="20"/>
                <w:szCs w:val="20"/>
              </w:rPr>
              <w:t>000+</w:t>
            </w:r>
          </w:p>
        </w:tc>
        <w:tc>
          <w:tcPr>
            <w:tcW w:w="1611" w:type="dxa"/>
            <w:shd w:val="clear" w:color="auto" w:fill="FFCC99"/>
            <w:vAlign w:val="center"/>
          </w:tcPr>
          <w:p w:rsidR="0043190C" w:rsidRPr="00416070" w:rsidRDefault="0043190C" w:rsidP="002A6416">
            <w:pPr>
              <w:pStyle w:val="AppendixTableHeadings"/>
              <w:keepNext/>
              <w:spacing w:line="240" w:lineRule="auto"/>
              <w:rPr>
                <w:rFonts w:ascii="Tahoma" w:hAnsi="Tahoma" w:cs="Tahoma"/>
                <w:sz w:val="20"/>
                <w:szCs w:val="20"/>
              </w:rPr>
            </w:pPr>
            <w:r w:rsidRPr="00416070">
              <w:rPr>
                <w:rFonts w:ascii="Tahoma" w:hAnsi="Tahoma" w:cs="Tahoma"/>
                <w:sz w:val="20"/>
                <w:szCs w:val="20"/>
              </w:rPr>
              <w:t>Academic Select/Select Plus para Academic/</w:t>
            </w:r>
            <w:r w:rsidR="00273C7F" w:rsidRPr="00416070">
              <w:rPr>
                <w:rFonts w:ascii="Tahoma" w:hAnsi="Tahoma" w:cs="Tahoma"/>
                <w:sz w:val="20"/>
                <w:szCs w:val="20"/>
              </w:rPr>
              <w:br/>
            </w:r>
            <w:r w:rsidRPr="00416070">
              <w:rPr>
                <w:rFonts w:ascii="Tahoma" w:hAnsi="Tahoma" w:cs="Tahoma"/>
                <w:sz w:val="20"/>
                <w:szCs w:val="20"/>
              </w:rPr>
              <w:t>Open com SAM</w:t>
            </w:r>
          </w:p>
        </w:tc>
      </w:tr>
      <w:tr w:rsidR="0043190C" w:rsidRPr="00B06414" w:rsidTr="00273C7F">
        <w:trPr>
          <w:trHeight w:val="236"/>
        </w:trPr>
        <w:tc>
          <w:tcPr>
            <w:tcW w:w="1179" w:type="dxa"/>
            <w:vAlign w:val="center"/>
          </w:tcPr>
          <w:p w:rsidR="0043190C" w:rsidRPr="00416070" w:rsidRDefault="0043190C" w:rsidP="002A6416">
            <w:pPr>
              <w:pStyle w:val="AppendixTableText"/>
              <w:keepNext/>
              <w:spacing w:line="240" w:lineRule="auto"/>
              <w:rPr>
                <w:rFonts w:ascii="Tahoma" w:hAnsi="Tahoma" w:cs="Tahoma"/>
              </w:rPr>
            </w:pPr>
            <w:r w:rsidRPr="00416070">
              <w:rPr>
                <w:rFonts w:ascii="Tahoma" w:hAnsi="Tahoma" w:cs="Tahoma"/>
                <w:b/>
              </w:rPr>
              <w:t>Pool de</w:t>
            </w:r>
            <w:r w:rsidRPr="00416070">
              <w:rPr>
                <w:rFonts w:ascii="Tahoma" w:hAnsi="Tahoma" w:cs="Tahoma"/>
              </w:rPr>
              <w:t xml:space="preserve"> </w:t>
            </w:r>
            <w:r w:rsidRPr="00416070">
              <w:rPr>
                <w:rFonts w:ascii="Tahoma" w:hAnsi="Tahoma" w:cs="Tahoma"/>
                <w:b/>
              </w:rPr>
              <w:t>aplicativos</w:t>
            </w:r>
          </w:p>
        </w:tc>
        <w:tc>
          <w:tcPr>
            <w:tcW w:w="1080" w:type="dxa"/>
            <w:vAlign w:val="center"/>
          </w:tcPr>
          <w:p w:rsidR="0043190C" w:rsidRPr="008D38F6" w:rsidRDefault="0043190C" w:rsidP="002A6416">
            <w:pPr>
              <w:pStyle w:val="AppendixTableText"/>
              <w:keepNext/>
              <w:spacing w:line="240" w:lineRule="auto"/>
              <w:rPr>
                <w:rFonts w:ascii="Tahoma" w:hAnsi="Tahoma" w:cs="Tahoma"/>
                <w:lang w:val="pt-BR"/>
              </w:rPr>
            </w:pPr>
            <w:r w:rsidRPr="008D38F6">
              <w:rPr>
                <w:rFonts w:ascii="Tahoma" w:hAnsi="Tahoma" w:cs="Tahoma"/>
                <w:lang w:val="pt-BR"/>
              </w:rPr>
              <w:t>1 ID de Usuário por contrato</w:t>
            </w:r>
          </w:p>
        </w:tc>
        <w:tc>
          <w:tcPr>
            <w:tcW w:w="1350" w:type="dxa"/>
            <w:vAlign w:val="center"/>
          </w:tcPr>
          <w:p w:rsidR="0043190C" w:rsidRPr="008D38F6" w:rsidRDefault="0043190C" w:rsidP="002A6416">
            <w:pPr>
              <w:pStyle w:val="AppendixTableText"/>
              <w:keepNext/>
              <w:spacing w:line="240" w:lineRule="auto"/>
              <w:rPr>
                <w:lang w:val="pt-BR"/>
              </w:rPr>
            </w:pPr>
            <w:r w:rsidRPr="008D38F6">
              <w:rPr>
                <w:rFonts w:ascii="Tahoma" w:hAnsi="Tahoma" w:cs="Tahoma"/>
                <w:lang w:val="pt-BR"/>
              </w:rPr>
              <w:t>2 IDs de Usuário por</w:t>
            </w:r>
          </w:p>
          <w:p w:rsidR="0043190C" w:rsidRPr="008D38F6" w:rsidRDefault="0043190C" w:rsidP="002A6416">
            <w:pPr>
              <w:pStyle w:val="AppendixTableText"/>
              <w:keepNext/>
              <w:spacing w:line="240" w:lineRule="auto"/>
              <w:rPr>
                <w:lang w:val="pt-BR"/>
              </w:rPr>
            </w:pPr>
            <w:r w:rsidRPr="008D38F6">
              <w:rPr>
                <w:rFonts w:ascii="Tahoma" w:hAnsi="Tahoma" w:cs="Tahoma"/>
                <w:lang w:val="pt-BR"/>
              </w:rPr>
              <w:t>Registro</w:t>
            </w:r>
          </w:p>
          <w:p w:rsidR="0043190C" w:rsidRPr="008D38F6" w:rsidRDefault="0043190C" w:rsidP="002A6416">
            <w:pPr>
              <w:pStyle w:val="AppendixTableText"/>
              <w:keepNext/>
              <w:spacing w:line="240" w:lineRule="auto"/>
              <w:rPr>
                <w:rFonts w:ascii="Tahoma" w:hAnsi="Tahoma" w:cs="Tahoma"/>
                <w:lang w:val="pt-BR"/>
              </w:rPr>
            </w:pPr>
            <w:r w:rsidRPr="008D38F6">
              <w:rPr>
                <w:rFonts w:ascii="Tahoma" w:hAnsi="Tahoma" w:cs="Tahoma"/>
                <w:lang w:val="pt-BR"/>
              </w:rPr>
              <w:t>Qualificado</w:t>
            </w:r>
          </w:p>
        </w:tc>
        <w:tc>
          <w:tcPr>
            <w:tcW w:w="1350" w:type="dxa"/>
            <w:vAlign w:val="center"/>
          </w:tcPr>
          <w:p w:rsidR="0043190C" w:rsidRPr="008D38F6" w:rsidRDefault="0043190C" w:rsidP="002A6416">
            <w:pPr>
              <w:pStyle w:val="AppendixTableText"/>
              <w:keepNext/>
              <w:spacing w:line="240" w:lineRule="auto"/>
              <w:rPr>
                <w:lang w:val="pt-BR"/>
              </w:rPr>
            </w:pPr>
            <w:r w:rsidRPr="008D38F6">
              <w:rPr>
                <w:rFonts w:ascii="Tahoma" w:hAnsi="Tahoma" w:cs="Tahoma"/>
                <w:lang w:val="pt-BR"/>
              </w:rPr>
              <w:t>5 IDs de Usuário por</w:t>
            </w:r>
          </w:p>
          <w:p w:rsidR="0043190C" w:rsidRPr="008D38F6" w:rsidRDefault="0043190C" w:rsidP="002A6416">
            <w:pPr>
              <w:pStyle w:val="AppendixTableText"/>
              <w:keepNext/>
              <w:spacing w:line="240" w:lineRule="auto"/>
              <w:rPr>
                <w:lang w:val="pt-BR"/>
              </w:rPr>
            </w:pPr>
            <w:r w:rsidRPr="008D38F6">
              <w:rPr>
                <w:rFonts w:ascii="Tahoma" w:hAnsi="Tahoma" w:cs="Tahoma"/>
                <w:lang w:val="pt-BR"/>
              </w:rPr>
              <w:t>Registro</w:t>
            </w:r>
          </w:p>
          <w:p w:rsidR="0043190C" w:rsidRPr="008D38F6" w:rsidRDefault="0043190C" w:rsidP="002A6416">
            <w:pPr>
              <w:pStyle w:val="AppendixTableText"/>
              <w:keepNext/>
              <w:spacing w:line="240" w:lineRule="auto"/>
              <w:rPr>
                <w:rFonts w:ascii="Tahoma" w:hAnsi="Tahoma" w:cs="Tahoma"/>
                <w:lang w:val="pt-BR"/>
              </w:rPr>
            </w:pPr>
            <w:r w:rsidRPr="008D38F6">
              <w:rPr>
                <w:rFonts w:ascii="Tahoma" w:hAnsi="Tahoma" w:cs="Tahoma"/>
                <w:lang w:val="pt-BR"/>
              </w:rPr>
              <w:t>Qualificado</w:t>
            </w:r>
          </w:p>
        </w:tc>
        <w:tc>
          <w:tcPr>
            <w:tcW w:w="1530" w:type="dxa"/>
            <w:vAlign w:val="center"/>
          </w:tcPr>
          <w:p w:rsidR="0043190C" w:rsidRPr="008D38F6" w:rsidRDefault="0043190C" w:rsidP="002A6416">
            <w:pPr>
              <w:pStyle w:val="AppendixTableText"/>
              <w:keepNext/>
              <w:spacing w:line="240" w:lineRule="auto"/>
              <w:rPr>
                <w:lang w:val="pt-BR"/>
              </w:rPr>
            </w:pPr>
            <w:r w:rsidRPr="008D38F6">
              <w:rPr>
                <w:rFonts w:ascii="Tahoma" w:hAnsi="Tahoma" w:cs="Tahoma"/>
                <w:lang w:val="pt-BR"/>
              </w:rPr>
              <w:t>10 IDs de Usuário por</w:t>
            </w:r>
          </w:p>
          <w:p w:rsidR="0043190C" w:rsidRPr="008D38F6" w:rsidRDefault="0043190C" w:rsidP="002A6416">
            <w:pPr>
              <w:pStyle w:val="AppendixTableText"/>
              <w:keepNext/>
              <w:spacing w:line="240" w:lineRule="auto"/>
              <w:rPr>
                <w:lang w:val="pt-BR"/>
              </w:rPr>
            </w:pPr>
            <w:r w:rsidRPr="008D38F6">
              <w:rPr>
                <w:rFonts w:ascii="Tahoma" w:hAnsi="Tahoma" w:cs="Tahoma"/>
                <w:lang w:val="pt-BR"/>
              </w:rPr>
              <w:t>Registro</w:t>
            </w:r>
          </w:p>
          <w:p w:rsidR="0043190C" w:rsidRPr="008D38F6" w:rsidRDefault="0043190C" w:rsidP="002A6416">
            <w:pPr>
              <w:pStyle w:val="AppendixTableText"/>
              <w:keepNext/>
              <w:spacing w:line="240" w:lineRule="auto"/>
              <w:rPr>
                <w:rFonts w:ascii="Tahoma" w:hAnsi="Tahoma" w:cs="Tahoma"/>
                <w:lang w:val="pt-BR"/>
              </w:rPr>
            </w:pPr>
            <w:r w:rsidRPr="008D38F6">
              <w:rPr>
                <w:rFonts w:ascii="Tahoma" w:hAnsi="Tahoma" w:cs="Tahoma"/>
                <w:lang w:val="pt-BR"/>
              </w:rPr>
              <w:t>Qualificado</w:t>
            </w:r>
          </w:p>
        </w:tc>
        <w:tc>
          <w:tcPr>
            <w:tcW w:w="1350" w:type="dxa"/>
            <w:vAlign w:val="center"/>
          </w:tcPr>
          <w:p w:rsidR="0043190C" w:rsidRPr="008D38F6" w:rsidRDefault="0043190C" w:rsidP="002A6416">
            <w:pPr>
              <w:pStyle w:val="AppendixTableText"/>
              <w:keepNext/>
              <w:spacing w:line="240" w:lineRule="auto"/>
              <w:rPr>
                <w:lang w:val="pt-BR"/>
              </w:rPr>
            </w:pPr>
            <w:r w:rsidRPr="008D38F6">
              <w:rPr>
                <w:rFonts w:ascii="Tahoma" w:hAnsi="Tahoma" w:cs="Tahoma"/>
                <w:lang w:val="pt-BR"/>
              </w:rPr>
              <w:t>20 IDs de Usuário por</w:t>
            </w:r>
          </w:p>
          <w:p w:rsidR="0043190C" w:rsidRPr="008D38F6" w:rsidRDefault="0043190C" w:rsidP="002A6416">
            <w:pPr>
              <w:pStyle w:val="AppendixTableText"/>
              <w:keepNext/>
              <w:spacing w:line="240" w:lineRule="auto"/>
              <w:rPr>
                <w:lang w:val="pt-BR"/>
              </w:rPr>
            </w:pPr>
            <w:r w:rsidRPr="008D38F6">
              <w:rPr>
                <w:rFonts w:ascii="Tahoma" w:hAnsi="Tahoma" w:cs="Tahoma"/>
                <w:lang w:val="pt-BR"/>
              </w:rPr>
              <w:t>Registro</w:t>
            </w:r>
          </w:p>
          <w:p w:rsidR="0043190C" w:rsidRPr="008D38F6" w:rsidRDefault="0043190C" w:rsidP="002A6416">
            <w:pPr>
              <w:pStyle w:val="AppendixTableText"/>
              <w:keepNext/>
              <w:spacing w:line="240" w:lineRule="auto"/>
              <w:rPr>
                <w:rFonts w:ascii="Tahoma" w:hAnsi="Tahoma" w:cs="Tahoma"/>
                <w:lang w:val="pt-BR"/>
              </w:rPr>
            </w:pPr>
            <w:r w:rsidRPr="008D38F6">
              <w:rPr>
                <w:rFonts w:ascii="Tahoma" w:hAnsi="Tahoma" w:cs="Tahoma"/>
                <w:lang w:val="pt-BR"/>
              </w:rPr>
              <w:t>Qualificado</w:t>
            </w:r>
          </w:p>
        </w:tc>
        <w:tc>
          <w:tcPr>
            <w:tcW w:w="1611" w:type="dxa"/>
            <w:vAlign w:val="center"/>
          </w:tcPr>
          <w:p w:rsidR="0043190C" w:rsidRPr="008D38F6" w:rsidRDefault="0043190C" w:rsidP="00B718F6">
            <w:pPr>
              <w:pStyle w:val="AppendixTableText"/>
              <w:keepNext/>
              <w:spacing w:line="240" w:lineRule="auto"/>
              <w:rPr>
                <w:rFonts w:ascii="Tahoma" w:hAnsi="Tahoma" w:cs="Tahoma"/>
                <w:lang w:val="pt-BR"/>
              </w:rPr>
            </w:pPr>
            <w:r w:rsidRPr="008D38F6">
              <w:rPr>
                <w:rFonts w:ascii="Tahoma" w:hAnsi="Tahoma" w:cs="Tahoma"/>
                <w:lang w:val="pt-BR"/>
              </w:rPr>
              <w:t>1 ID de Usuário por registro/</w:t>
            </w:r>
            <w:r w:rsidR="00B718F6" w:rsidRPr="008D38F6">
              <w:rPr>
                <w:rFonts w:ascii="Tahoma" w:hAnsi="Tahoma" w:cs="Tahoma"/>
                <w:lang w:val="pt-BR"/>
              </w:rPr>
              <w:br/>
            </w:r>
            <w:r w:rsidRPr="008D38F6">
              <w:rPr>
                <w:rFonts w:ascii="Tahoma" w:hAnsi="Tahoma" w:cs="Tahoma"/>
                <w:lang w:val="pt-BR"/>
              </w:rPr>
              <w:t>contrato</w:t>
            </w:r>
          </w:p>
        </w:tc>
      </w:tr>
      <w:tr w:rsidR="0043190C" w:rsidRPr="00416070" w:rsidTr="00273C7F">
        <w:trPr>
          <w:trHeight w:val="236"/>
        </w:trPr>
        <w:tc>
          <w:tcPr>
            <w:tcW w:w="1179" w:type="dxa"/>
            <w:vAlign w:val="center"/>
          </w:tcPr>
          <w:p w:rsidR="0043190C" w:rsidRPr="00416070" w:rsidRDefault="0043190C" w:rsidP="002A6416">
            <w:pPr>
              <w:pStyle w:val="AppendixTableText"/>
              <w:keepNext/>
              <w:spacing w:line="240" w:lineRule="auto"/>
              <w:rPr>
                <w:rFonts w:ascii="Tahoma" w:hAnsi="Tahoma" w:cs="Tahoma"/>
              </w:rPr>
            </w:pPr>
            <w:r w:rsidRPr="00416070">
              <w:rPr>
                <w:rFonts w:ascii="Tahoma" w:hAnsi="Tahoma" w:cs="Tahoma"/>
                <w:b/>
              </w:rPr>
              <w:t>Pool de</w:t>
            </w:r>
            <w:r w:rsidRPr="00416070">
              <w:rPr>
                <w:rFonts w:ascii="Tahoma" w:hAnsi="Tahoma" w:cs="Tahoma"/>
              </w:rPr>
              <w:t xml:space="preserve"> </w:t>
            </w:r>
            <w:r w:rsidRPr="00416070">
              <w:rPr>
                <w:rFonts w:ascii="Tahoma" w:hAnsi="Tahoma" w:cs="Tahoma"/>
                <w:b/>
              </w:rPr>
              <w:t>sistemas</w:t>
            </w:r>
          </w:p>
        </w:tc>
        <w:tc>
          <w:tcPr>
            <w:tcW w:w="1080" w:type="dxa"/>
            <w:vAlign w:val="center"/>
          </w:tcPr>
          <w:p w:rsidR="0043190C" w:rsidRPr="008D38F6" w:rsidRDefault="0043190C" w:rsidP="002A6416">
            <w:pPr>
              <w:pStyle w:val="AppendixTableText"/>
              <w:keepNext/>
              <w:spacing w:line="240" w:lineRule="auto"/>
              <w:rPr>
                <w:rFonts w:ascii="Tahoma" w:hAnsi="Tahoma" w:cs="Tahoma"/>
                <w:lang w:val="pt-BR"/>
              </w:rPr>
            </w:pPr>
            <w:r w:rsidRPr="008D38F6">
              <w:rPr>
                <w:rFonts w:ascii="Tahoma" w:hAnsi="Tahoma" w:cs="Tahoma"/>
                <w:lang w:val="pt-BR"/>
              </w:rPr>
              <w:t>1 ID de Usuário por contrato</w:t>
            </w:r>
          </w:p>
        </w:tc>
        <w:tc>
          <w:tcPr>
            <w:tcW w:w="1350" w:type="dxa"/>
            <w:vAlign w:val="center"/>
          </w:tcPr>
          <w:p w:rsidR="0043190C" w:rsidRPr="008D38F6" w:rsidRDefault="0043190C" w:rsidP="002A6416">
            <w:pPr>
              <w:pStyle w:val="AppendixTableText"/>
              <w:keepNext/>
              <w:spacing w:line="240" w:lineRule="auto"/>
              <w:rPr>
                <w:lang w:val="pt-BR"/>
              </w:rPr>
            </w:pPr>
            <w:r w:rsidRPr="008D38F6">
              <w:rPr>
                <w:rFonts w:ascii="Tahoma" w:hAnsi="Tahoma" w:cs="Tahoma"/>
                <w:lang w:val="pt-BR"/>
              </w:rPr>
              <w:t>2 IDs de Usuário por</w:t>
            </w:r>
          </w:p>
          <w:p w:rsidR="0043190C" w:rsidRPr="008D38F6" w:rsidRDefault="0043190C" w:rsidP="002A6416">
            <w:pPr>
              <w:pStyle w:val="AppendixTableText"/>
              <w:keepNext/>
              <w:spacing w:line="240" w:lineRule="auto"/>
              <w:rPr>
                <w:lang w:val="pt-BR"/>
              </w:rPr>
            </w:pPr>
            <w:r w:rsidRPr="008D38F6">
              <w:rPr>
                <w:rFonts w:ascii="Tahoma" w:hAnsi="Tahoma" w:cs="Tahoma"/>
                <w:lang w:val="pt-BR"/>
              </w:rPr>
              <w:t>Registro</w:t>
            </w:r>
          </w:p>
          <w:p w:rsidR="0043190C" w:rsidRPr="008D38F6" w:rsidRDefault="0043190C" w:rsidP="002A6416">
            <w:pPr>
              <w:pStyle w:val="AppendixTableText"/>
              <w:keepNext/>
              <w:spacing w:line="240" w:lineRule="auto"/>
              <w:rPr>
                <w:rFonts w:ascii="Tahoma" w:hAnsi="Tahoma" w:cs="Tahoma"/>
                <w:lang w:val="pt-BR"/>
              </w:rPr>
            </w:pPr>
            <w:r w:rsidRPr="008D38F6">
              <w:rPr>
                <w:rFonts w:ascii="Tahoma" w:hAnsi="Tahoma" w:cs="Tahoma"/>
                <w:lang w:val="pt-BR"/>
              </w:rPr>
              <w:t>Qualificado</w:t>
            </w:r>
          </w:p>
        </w:tc>
        <w:tc>
          <w:tcPr>
            <w:tcW w:w="1350" w:type="dxa"/>
            <w:vAlign w:val="center"/>
          </w:tcPr>
          <w:p w:rsidR="0043190C" w:rsidRPr="008D38F6" w:rsidRDefault="00F30075" w:rsidP="002A6416">
            <w:pPr>
              <w:pStyle w:val="AppendixTableText"/>
              <w:keepNext/>
              <w:spacing w:line="240" w:lineRule="auto"/>
              <w:rPr>
                <w:lang w:val="pt-BR"/>
              </w:rPr>
            </w:pPr>
            <w:r w:rsidRPr="008D38F6">
              <w:rPr>
                <w:rFonts w:ascii="Tahoma" w:hAnsi="Tahoma" w:cs="Tahoma"/>
                <w:lang w:val="pt-BR"/>
              </w:rPr>
              <w:t>3 IDs de Usuário por</w:t>
            </w:r>
          </w:p>
          <w:p w:rsidR="0043190C" w:rsidRPr="008D38F6" w:rsidRDefault="0043190C" w:rsidP="002A6416">
            <w:pPr>
              <w:pStyle w:val="AppendixTableText"/>
              <w:keepNext/>
              <w:spacing w:line="240" w:lineRule="auto"/>
              <w:rPr>
                <w:lang w:val="pt-BR"/>
              </w:rPr>
            </w:pPr>
            <w:r w:rsidRPr="008D38F6">
              <w:rPr>
                <w:rFonts w:ascii="Tahoma" w:hAnsi="Tahoma" w:cs="Tahoma"/>
                <w:lang w:val="pt-BR"/>
              </w:rPr>
              <w:t>Registro</w:t>
            </w:r>
          </w:p>
          <w:p w:rsidR="0043190C" w:rsidRPr="008D38F6" w:rsidRDefault="0043190C" w:rsidP="002A6416">
            <w:pPr>
              <w:pStyle w:val="AppendixTableText"/>
              <w:keepNext/>
              <w:spacing w:line="240" w:lineRule="auto"/>
              <w:rPr>
                <w:rFonts w:ascii="Tahoma" w:hAnsi="Tahoma" w:cs="Tahoma"/>
                <w:lang w:val="pt-BR"/>
              </w:rPr>
            </w:pPr>
            <w:r w:rsidRPr="008D38F6">
              <w:rPr>
                <w:rFonts w:ascii="Tahoma" w:hAnsi="Tahoma" w:cs="Tahoma"/>
                <w:lang w:val="pt-BR"/>
              </w:rPr>
              <w:t>Qualificado</w:t>
            </w:r>
          </w:p>
        </w:tc>
        <w:tc>
          <w:tcPr>
            <w:tcW w:w="1530" w:type="dxa"/>
            <w:vAlign w:val="center"/>
          </w:tcPr>
          <w:p w:rsidR="0043190C" w:rsidRPr="008D38F6" w:rsidRDefault="00F30075" w:rsidP="002A6416">
            <w:pPr>
              <w:pStyle w:val="AppendixTableText"/>
              <w:keepNext/>
              <w:spacing w:line="240" w:lineRule="auto"/>
              <w:rPr>
                <w:lang w:val="pt-BR"/>
              </w:rPr>
            </w:pPr>
            <w:r w:rsidRPr="008D38F6">
              <w:rPr>
                <w:rFonts w:ascii="Tahoma" w:hAnsi="Tahoma" w:cs="Tahoma"/>
                <w:lang w:val="pt-BR"/>
              </w:rPr>
              <w:t>5 IDs de Usuário por</w:t>
            </w:r>
          </w:p>
          <w:p w:rsidR="0043190C" w:rsidRPr="008D38F6" w:rsidRDefault="0043190C" w:rsidP="002A6416">
            <w:pPr>
              <w:pStyle w:val="AppendixTableText"/>
              <w:keepNext/>
              <w:spacing w:line="240" w:lineRule="auto"/>
              <w:rPr>
                <w:lang w:val="pt-BR"/>
              </w:rPr>
            </w:pPr>
            <w:r w:rsidRPr="008D38F6">
              <w:rPr>
                <w:rFonts w:ascii="Tahoma" w:hAnsi="Tahoma" w:cs="Tahoma"/>
                <w:lang w:val="pt-BR"/>
              </w:rPr>
              <w:t>Registro</w:t>
            </w:r>
          </w:p>
          <w:p w:rsidR="0043190C" w:rsidRPr="008D38F6" w:rsidRDefault="0043190C" w:rsidP="002A6416">
            <w:pPr>
              <w:pStyle w:val="AppendixTableText"/>
              <w:keepNext/>
              <w:spacing w:line="240" w:lineRule="auto"/>
              <w:rPr>
                <w:rFonts w:ascii="Tahoma" w:hAnsi="Tahoma" w:cs="Tahoma"/>
                <w:lang w:val="pt-BR"/>
              </w:rPr>
            </w:pPr>
            <w:r w:rsidRPr="008D38F6">
              <w:rPr>
                <w:rFonts w:ascii="Tahoma" w:hAnsi="Tahoma" w:cs="Tahoma"/>
                <w:lang w:val="pt-BR"/>
              </w:rPr>
              <w:t>Qualificado</w:t>
            </w:r>
          </w:p>
        </w:tc>
        <w:tc>
          <w:tcPr>
            <w:tcW w:w="1350" w:type="dxa"/>
            <w:vAlign w:val="center"/>
          </w:tcPr>
          <w:p w:rsidR="0043190C" w:rsidRPr="008D38F6" w:rsidRDefault="00F30075" w:rsidP="002A6416">
            <w:pPr>
              <w:pStyle w:val="AppendixTableText"/>
              <w:keepNext/>
              <w:spacing w:line="240" w:lineRule="auto"/>
              <w:rPr>
                <w:lang w:val="pt-BR"/>
              </w:rPr>
            </w:pPr>
            <w:r w:rsidRPr="008D38F6">
              <w:rPr>
                <w:rFonts w:ascii="Tahoma" w:hAnsi="Tahoma" w:cs="Tahoma"/>
                <w:lang w:val="pt-BR"/>
              </w:rPr>
              <w:t>10 IDs de Usuário por</w:t>
            </w:r>
          </w:p>
          <w:p w:rsidR="0043190C" w:rsidRPr="008D38F6" w:rsidRDefault="0043190C" w:rsidP="002A6416">
            <w:pPr>
              <w:pStyle w:val="AppendixTableText"/>
              <w:keepNext/>
              <w:spacing w:line="240" w:lineRule="auto"/>
              <w:rPr>
                <w:lang w:val="pt-BR"/>
              </w:rPr>
            </w:pPr>
            <w:r w:rsidRPr="008D38F6">
              <w:rPr>
                <w:rFonts w:ascii="Tahoma" w:hAnsi="Tahoma" w:cs="Tahoma"/>
                <w:lang w:val="pt-BR"/>
              </w:rPr>
              <w:t>Registro</w:t>
            </w:r>
          </w:p>
          <w:p w:rsidR="0043190C" w:rsidRPr="008D38F6" w:rsidRDefault="0043190C" w:rsidP="002A6416">
            <w:pPr>
              <w:pStyle w:val="AppendixTableText"/>
              <w:keepNext/>
              <w:spacing w:line="240" w:lineRule="auto"/>
              <w:rPr>
                <w:rFonts w:ascii="Tahoma" w:hAnsi="Tahoma" w:cs="Tahoma"/>
                <w:lang w:val="pt-BR"/>
              </w:rPr>
            </w:pPr>
            <w:r w:rsidRPr="008D38F6">
              <w:rPr>
                <w:rFonts w:ascii="Tahoma" w:hAnsi="Tahoma" w:cs="Tahoma"/>
                <w:lang w:val="pt-BR"/>
              </w:rPr>
              <w:t>Qualificado</w:t>
            </w:r>
          </w:p>
        </w:tc>
        <w:tc>
          <w:tcPr>
            <w:tcW w:w="1611" w:type="dxa"/>
            <w:vAlign w:val="center"/>
          </w:tcPr>
          <w:p w:rsidR="00B718F6" w:rsidRPr="008D38F6" w:rsidRDefault="0043190C" w:rsidP="00B718F6">
            <w:pPr>
              <w:pStyle w:val="AppendixTableText"/>
              <w:keepNext/>
              <w:spacing w:line="240" w:lineRule="auto"/>
              <w:rPr>
                <w:rFonts w:ascii="Tahoma" w:hAnsi="Tahoma" w:cs="Tahoma"/>
                <w:lang w:val="pt-BR"/>
              </w:rPr>
            </w:pPr>
            <w:r w:rsidRPr="008D38F6">
              <w:rPr>
                <w:rFonts w:ascii="Tahoma" w:hAnsi="Tahoma" w:cs="Tahoma"/>
                <w:lang w:val="pt-BR"/>
              </w:rPr>
              <w:t>1 ID de Usuário por registro/</w:t>
            </w:r>
          </w:p>
          <w:p w:rsidR="0043190C" w:rsidRPr="00416070" w:rsidRDefault="0043190C" w:rsidP="00B718F6">
            <w:pPr>
              <w:pStyle w:val="AppendixTableText"/>
              <w:keepNext/>
              <w:spacing w:line="240" w:lineRule="auto"/>
              <w:rPr>
                <w:rFonts w:ascii="Tahoma" w:hAnsi="Tahoma" w:cs="Tahoma"/>
              </w:rPr>
            </w:pPr>
            <w:r w:rsidRPr="00416070">
              <w:rPr>
                <w:rFonts w:ascii="Tahoma" w:hAnsi="Tahoma" w:cs="Tahoma"/>
              </w:rPr>
              <w:t>contrato</w:t>
            </w:r>
          </w:p>
        </w:tc>
      </w:tr>
    </w:tbl>
    <w:p w:rsidR="009D26EE" w:rsidRPr="008D38F6" w:rsidRDefault="009D26EE" w:rsidP="00792D1E">
      <w:pPr>
        <w:pStyle w:val="AppendixFlushBulletedList"/>
        <w:tabs>
          <w:tab w:val="clear" w:pos="360"/>
          <w:tab w:val="num" w:pos="0"/>
        </w:tabs>
        <w:ind w:left="0" w:firstLine="0"/>
        <w:rPr>
          <w:lang w:val="pt-BR"/>
        </w:rPr>
      </w:pPr>
      <w:r w:rsidRPr="008D38F6">
        <w:rPr>
          <w:rFonts w:ascii="Tahoma" w:hAnsi="Tahoma" w:cs="Tahoma"/>
          <w:sz w:val="18"/>
          <w:szCs w:val="18"/>
          <w:lang w:val="pt-BR"/>
        </w:rPr>
        <w:t>Cada ID de Usuário qualifica um indivíduo para registrar e obter acesso ao site de serviços online apenas para</w:t>
      </w:r>
      <w:r w:rsidR="00273C7F" w:rsidRPr="008D38F6">
        <w:rPr>
          <w:rFonts w:ascii="Tahoma" w:hAnsi="Tahoma" w:cs="Tahoma"/>
          <w:sz w:val="18"/>
          <w:szCs w:val="18"/>
          <w:lang w:val="pt-BR"/>
        </w:rPr>
        <w:t> </w:t>
      </w:r>
      <w:r w:rsidRPr="008D38F6">
        <w:rPr>
          <w:rFonts w:ascii="Tahoma" w:hAnsi="Tahoma" w:cs="Tahoma"/>
          <w:sz w:val="18"/>
          <w:szCs w:val="18"/>
          <w:lang w:val="pt-BR"/>
        </w:rPr>
        <w:t>Assinantes, o que inclui, mas não se limita a: Atendimento via Chat, Grupos de Notícias Gerenciados e</w:t>
      </w:r>
      <w:r w:rsidR="00273C7F" w:rsidRPr="008D38F6">
        <w:rPr>
          <w:rFonts w:ascii="Tahoma" w:hAnsi="Tahoma" w:cs="Tahoma"/>
          <w:sz w:val="18"/>
          <w:szCs w:val="18"/>
          <w:lang w:val="pt-BR"/>
        </w:rPr>
        <w:t> </w:t>
      </w:r>
      <w:r w:rsidRPr="008D38F6">
        <w:rPr>
          <w:rFonts w:ascii="Tahoma" w:hAnsi="Tahoma" w:cs="Tahoma"/>
          <w:sz w:val="18"/>
          <w:szCs w:val="18"/>
          <w:lang w:val="pt-BR"/>
        </w:rPr>
        <w:t>conteúdos premium.</w:t>
      </w:r>
    </w:p>
    <w:p w:rsidR="00792D1E" w:rsidRPr="008D38F6" w:rsidRDefault="00792D1E" w:rsidP="00792D1E">
      <w:pPr>
        <w:pStyle w:val="AppendixFlushBulletedList"/>
        <w:tabs>
          <w:tab w:val="clear" w:pos="360"/>
          <w:tab w:val="num" w:pos="0"/>
        </w:tabs>
        <w:ind w:left="0" w:firstLine="0"/>
        <w:rPr>
          <w:rFonts w:ascii="Tahoma" w:hAnsi="Tahoma" w:cs="Tahoma"/>
          <w:sz w:val="18"/>
          <w:szCs w:val="18"/>
          <w:lang w:val="pt-BR"/>
        </w:rPr>
      </w:pPr>
    </w:p>
    <w:p w:rsidR="008C0608" w:rsidRPr="008D38F6" w:rsidRDefault="008C0608" w:rsidP="007E2720">
      <w:pPr>
        <w:pStyle w:val="AppendixFlushBulletedList"/>
        <w:tabs>
          <w:tab w:val="clear" w:pos="360"/>
          <w:tab w:val="num" w:pos="0"/>
        </w:tabs>
        <w:ind w:left="0" w:firstLine="0"/>
        <w:rPr>
          <w:lang w:val="pt-BR"/>
        </w:rPr>
      </w:pPr>
      <w:r w:rsidRPr="008D38F6">
        <w:rPr>
          <w:rFonts w:ascii="Tahoma" w:hAnsi="Tahoma" w:cs="Tahoma"/>
          <w:sz w:val="18"/>
          <w:szCs w:val="18"/>
          <w:lang w:val="pt-BR"/>
        </w:rPr>
        <w:t>Os clientes de Licença Open, Open Value, Open Value Subscription – Soluções Educacionais, Licença Academic Select</w:t>
      </w:r>
      <w:r w:rsidR="00B718F6" w:rsidRPr="008D38F6">
        <w:rPr>
          <w:rFonts w:ascii="Tahoma" w:hAnsi="Tahoma" w:cs="Tahoma"/>
          <w:sz w:val="18"/>
          <w:szCs w:val="18"/>
          <w:lang w:val="pt-BR"/>
        </w:rPr>
        <w:t> </w:t>
      </w:r>
      <w:r w:rsidRPr="008D38F6">
        <w:rPr>
          <w:rFonts w:ascii="Tahoma" w:hAnsi="Tahoma" w:cs="Tahoma"/>
          <w:sz w:val="18"/>
          <w:szCs w:val="18"/>
          <w:lang w:val="pt-BR"/>
        </w:rPr>
        <w:t>e Select Plus para Academic devem adquirir o Software Assurance para um mínimo de cinco licenças de</w:t>
      </w:r>
      <w:r w:rsidR="007E2720" w:rsidRPr="008D38F6">
        <w:rPr>
          <w:rFonts w:ascii="Tahoma" w:hAnsi="Tahoma" w:cs="Tahoma"/>
          <w:sz w:val="18"/>
          <w:szCs w:val="18"/>
          <w:lang w:val="pt-BR"/>
        </w:rPr>
        <w:t> </w:t>
      </w:r>
      <w:r w:rsidRPr="008D38F6">
        <w:rPr>
          <w:rFonts w:ascii="Tahoma" w:hAnsi="Tahoma" w:cs="Tahoma"/>
          <w:sz w:val="18"/>
          <w:szCs w:val="18"/>
          <w:lang w:val="pt-BR"/>
        </w:rPr>
        <w:t>servidor para produtos qualificados com a finalidade de se qualificarem para esse benefício.</w:t>
      </w:r>
    </w:p>
    <w:p w:rsidR="00792D1E" w:rsidRPr="008D38F6" w:rsidRDefault="00792D1E" w:rsidP="00792D1E">
      <w:pPr>
        <w:pStyle w:val="AppendixFlushBulletedList"/>
        <w:tabs>
          <w:tab w:val="clear" w:pos="360"/>
          <w:tab w:val="num" w:pos="0"/>
        </w:tabs>
        <w:ind w:left="0" w:firstLine="0"/>
        <w:rPr>
          <w:rFonts w:ascii="Tahoma" w:hAnsi="Tahoma" w:cs="Tahoma"/>
          <w:sz w:val="18"/>
          <w:szCs w:val="18"/>
          <w:lang w:val="pt-BR"/>
        </w:rPr>
      </w:pPr>
    </w:p>
    <w:p w:rsidR="00023FE7" w:rsidRPr="008D38F6" w:rsidRDefault="009D26EE" w:rsidP="00792D1E">
      <w:pPr>
        <w:pStyle w:val="AppendixBodyText"/>
        <w:spacing w:after="0"/>
        <w:rPr>
          <w:lang w:val="pt-BR"/>
        </w:rPr>
      </w:pPr>
      <w:r w:rsidRPr="008D38F6">
        <w:rPr>
          <w:rFonts w:ascii="Tahoma" w:hAnsi="Tahoma" w:cs="Tahoma"/>
          <w:sz w:val="18"/>
          <w:szCs w:val="18"/>
          <w:lang w:val="pt-BR"/>
        </w:rPr>
        <w:t>O uso de software dos Serviços de Assinatura do TechNet SA pelos clientes está sujeito aos termos e condições de</w:t>
      </w:r>
      <w:r w:rsidR="00273C7F" w:rsidRPr="008D38F6">
        <w:rPr>
          <w:rFonts w:ascii="Tahoma" w:hAnsi="Tahoma" w:cs="Tahoma"/>
          <w:sz w:val="18"/>
          <w:szCs w:val="18"/>
          <w:lang w:val="pt-BR"/>
        </w:rPr>
        <w:t> </w:t>
      </w:r>
      <w:r w:rsidRPr="008D38F6">
        <w:rPr>
          <w:rFonts w:ascii="Tahoma" w:hAnsi="Tahoma" w:cs="Tahoma"/>
          <w:sz w:val="18"/>
          <w:szCs w:val="18"/>
          <w:lang w:val="pt-BR"/>
        </w:rPr>
        <w:t>seu contrato de licença.</w:t>
      </w:r>
    </w:p>
    <w:p w:rsidR="004D4D43" w:rsidRPr="008D38F6" w:rsidRDefault="004D4D43" w:rsidP="00F0652C">
      <w:pPr>
        <w:pStyle w:val="Heading3"/>
        <w:rPr>
          <w:rFonts w:ascii="Tahoma" w:hAnsi="Tahoma" w:cs="Tahoma"/>
          <w:b w:val="0"/>
          <w:sz w:val="18"/>
          <w:szCs w:val="18"/>
          <w:lang w:val="pt-BR"/>
        </w:rPr>
      </w:pPr>
    </w:p>
    <w:p w:rsidR="007D2517" w:rsidRPr="008D38F6" w:rsidRDefault="007D2517" w:rsidP="007D2517">
      <w:pPr>
        <w:rPr>
          <w:lang w:val="pt-BR" w:eastAsia="x-none"/>
        </w:rPr>
      </w:pPr>
    </w:p>
    <w:p w:rsidR="007D2517" w:rsidRPr="008D38F6" w:rsidRDefault="007D2517" w:rsidP="007D2517">
      <w:pPr>
        <w:rPr>
          <w:lang w:val="pt-BR" w:eastAsia="x-none"/>
        </w:rPr>
      </w:pPr>
    </w:p>
    <w:p w:rsidR="007D2517" w:rsidRPr="008D38F6" w:rsidRDefault="007D2517" w:rsidP="007D2517">
      <w:pPr>
        <w:rPr>
          <w:lang w:val="pt-BR" w:eastAsia="x-none"/>
        </w:rPr>
      </w:pPr>
    </w:p>
    <w:p w:rsidR="007D2517" w:rsidRPr="008D38F6" w:rsidRDefault="007D2517" w:rsidP="007D2517">
      <w:pPr>
        <w:rPr>
          <w:lang w:val="pt-BR" w:eastAsia="x-none"/>
        </w:rPr>
      </w:pPr>
    </w:p>
    <w:p w:rsidR="007D2517" w:rsidRPr="008D38F6" w:rsidRDefault="007D2517" w:rsidP="007D2517">
      <w:pPr>
        <w:rPr>
          <w:lang w:val="pt-BR" w:eastAsia="x-none"/>
        </w:rPr>
      </w:pPr>
    </w:p>
    <w:p w:rsidR="007D2517" w:rsidRPr="008D38F6" w:rsidRDefault="007D2517" w:rsidP="007D2517">
      <w:pPr>
        <w:rPr>
          <w:lang w:val="pt-BR" w:eastAsia="x-none"/>
        </w:rPr>
      </w:pPr>
    </w:p>
    <w:p w:rsidR="007D2517" w:rsidRPr="008D38F6" w:rsidRDefault="007D2517" w:rsidP="007D2517">
      <w:pPr>
        <w:rPr>
          <w:lang w:val="pt-BR" w:eastAsia="x-none"/>
        </w:rPr>
      </w:pPr>
    </w:p>
    <w:p w:rsidR="007D2517" w:rsidRPr="008D38F6" w:rsidRDefault="007D2517" w:rsidP="007D2517">
      <w:pPr>
        <w:rPr>
          <w:lang w:val="pt-BR" w:eastAsia="x-none"/>
        </w:rPr>
      </w:pPr>
    </w:p>
    <w:p w:rsidR="007D2517" w:rsidRPr="008D38F6" w:rsidRDefault="007D2517" w:rsidP="007D2517">
      <w:pPr>
        <w:rPr>
          <w:lang w:val="pt-BR" w:eastAsia="x-none"/>
        </w:rPr>
      </w:pPr>
    </w:p>
    <w:p w:rsidR="00023FE7" w:rsidRPr="007E2720" w:rsidRDefault="00023FE7" w:rsidP="00F0652C">
      <w:pPr>
        <w:pStyle w:val="Heading3"/>
        <w:rPr>
          <w:rFonts w:ascii="Tahoma" w:hAnsi="Tahoma" w:cs="Tahoma"/>
          <w:sz w:val="24"/>
          <w:szCs w:val="24"/>
        </w:rPr>
      </w:pPr>
      <w:bookmarkStart w:id="803" w:name="_Toc336338241"/>
      <w:bookmarkStart w:id="804" w:name="_Toc352234309"/>
      <w:r w:rsidRPr="007E2720">
        <w:rPr>
          <w:rFonts w:ascii="Tahoma" w:hAnsi="Tahoma" w:cs="Tahoma"/>
          <w:sz w:val="24"/>
          <w:szCs w:val="24"/>
        </w:rPr>
        <w:lastRenderedPageBreak/>
        <w:t>TechNet Plus Direct</w:t>
      </w:r>
      <w:bookmarkEnd w:id="803"/>
      <w:bookmarkEnd w:id="804"/>
    </w:p>
    <w:p w:rsidR="00F0652C" w:rsidRPr="008D38F6" w:rsidRDefault="00F0652C" w:rsidP="00F0652C">
      <w:pPr>
        <w:rPr>
          <w:sz w:val="16"/>
          <w:szCs w:val="16"/>
          <w:lang w:val="pt-BR"/>
        </w:rPr>
      </w:pPr>
    </w:p>
    <w:p w:rsidR="00792D1E" w:rsidRPr="00416070" w:rsidRDefault="00A65414" w:rsidP="00792D1E">
      <w:pPr>
        <w:pStyle w:val="AppendixBodyText"/>
        <w:spacing w:after="0"/>
      </w:pPr>
      <w:r w:rsidRPr="008D38F6">
        <w:rPr>
          <w:rFonts w:ascii="Tahoma" w:hAnsi="Tahoma" w:cs="Tahoma"/>
          <w:sz w:val="18"/>
          <w:szCs w:val="18"/>
          <w:lang w:val="pt-BR"/>
        </w:rPr>
        <w:t>Os clientes com Software Assurance para produtos qualificados no pool de servidores estão qualificados para uma Assinatura do TechNet Plus Direct durante o prazo de suas coberturas do Software Assurance.</w:t>
      </w:r>
      <w:r w:rsidR="00FB5496" w:rsidRPr="008D38F6">
        <w:rPr>
          <w:rFonts w:ascii="Tahoma" w:hAnsi="Tahoma" w:cs="Tahoma"/>
          <w:sz w:val="18"/>
          <w:szCs w:val="18"/>
          <w:lang w:val="pt-BR"/>
        </w:rPr>
        <w:t xml:space="preserve"> </w:t>
      </w:r>
      <w:r w:rsidRPr="008D38F6">
        <w:rPr>
          <w:rFonts w:ascii="Tahoma" w:hAnsi="Tahoma" w:cs="Tahoma"/>
          <w:sz w:val="18"/>
          <w:szCs w:val="18"/>
          <w:lang w:val="pt-BR"/>
        </w:rPr>
        <w:t>Isso fornece aos profissionais de TI acesso ao conteúdo do TechNet Plus Direct, o que inclui a Base de Dados de Conhecimento Microsoft, treinamentos técnicos, downloads, patches de segurança, service packs e artigos como fazer.</w:t>
      </w:r>
      <w:r w:rsidR="00FB5496" w:rsidRPr="008D38F6">
        <w:rPr>
          <w:rFonts w:ascii="Tahoma" w:hAnsi="Tahoma" w:cs="Tahoma"/>
          <w:sz w:val="18"/>
          <w:szCs w:val="18"/>
          <w:lang w:val="pt-BR"/>
        </w:rPr>
        <w:t xml:space="preserve"> </w:t>
      </w:r>
      <w:r w:rsidRPr="00416070">
        <w:rPr>
          <w:rFonts w:ascii="Tahoma" w:hAnsi="Tahoma" w:cs="Tahoma"/>
          <w:sz w:val="18"/>
          <w:szCs w:val="18"/>
        </w:rPr>
        <w:t>Além disso, os clientes também receberão os seguintes benefícios:</w:t>
      </w:r>
    </w:p>
    <w:p w:rsidR="00023FE7" w:rsidRPr="00416070" w:rsidRDefault="00023FE7" w:rsidP="00792D1E">
      <w:pPr>
        <w:pStyle w:val="AppendixBodyText"/>
        <w:spacing w:after="0"/>
        <w:rPr>
          <w:rFonts w:ascii="Tahoma" w:hAnsi="Tahoma" w:cs="Tahoma"/>
          <w:sz w:val="16"/>
          <w:szCs w:val="16"/>
        </w:rPr>
      </w:pPr>
    </w:p>
    <w:p w:rsidR="00023FE7" w:rsidRPr="008D38F6" w:rsidRDefault="00023FE7" w:rsidP="002C1048">
      <w:pPr>
        <w:pStyle w:val="AppendixFlushBulletedList"/>
        <w:numPr>
          <w:ilvl w:val="0"/>
          <w:numId w:val="137"/>
        </w:numPr>
        <w:spacing w:after="60"/>
        <w:ind w:left="1440"/>
        <w:rPr>
          <w:lang w:val="pt-BR"/>
        </w:rPr>
      </w:pPr>
      <w:r w:rsidRPr="008D38F6">
        <w:rPr>
          <w:rFonts w:ascii="Tahoma" w:hAnsi="Tahoma" w:cs="Tahoma"/>
          <w:sz w:val="18"/>
          <w:szCs w:val="18"/>
          <w:lang w:val="pt-BR"/>
        </w:rPr>
        <w:t>Acesso para baixar softwares de versão completa licenciados para fins de avaliação; inclui sistemas operacionais e servidores da Microso</w:t>
      </w:r>
      <w:r w:rsidR="007E2720" w:rsidRPr="008D38F6">
        <w:rPr>
          <w:rFonts w:ascii="Tahoma" w:hAnsi="Tahoma" w:cs="Tahoma"/>
          <w:sz w:val="18"/>
          <w:szCs w:val="18"/>
          <w:lang w:val="pt-BR"/>
        </w:rPr>
        <w:t>ft e software do Office System.</w:t>
      </w:r>
    </w:p>
    <w:p w:rsidR="00023FE7" w:rsidRPr="008D38F6" w:rsidRDefault="00023FE7" w:rsidP="002C1048">
      <w:pPr>
        <w:pStyle w:val="AppendixFlushBulletedList"/>
        <w:numPr>
          <w:ilvl w:val="0"/>
          <w:numId w:val="137"/>
        </w:numPr>
        <w:spacing w:after="60"/>
        <w:ind w:left="1440"/>
        <w:rPr>
          <w:lang w:val="pt-BR"/>
        </w:rPr>
      </w:pPr>
      <w:r w:rsidRPr="008D38F6">
        <w:rPr>
          <w:rFonts w:ascii="Tahoma" w:hAnsi="Tahoma" w:cs="Tahoma"/>
          <w:sz w:val="18"/>
          <w:szCs w:val="18"/>
          <w:lang w:val="pt-BR"/>
        </w:rPr>
        <w:t xml:space="preserve">Acesso para baixar software Beta — versões de pré-lançamento de software da Microsoft </w:t>
      </w:r>
    </w:p>
    <w:p w:rsidR="00023FE7" w:rsidRPr="008D38F6" w:rsidRDefault="00023FE7" w:rsidP="002C1048">
      <w:pPr>
        <w:pStyle w:val="AppendixFlushBulletedList"/>
        <w:numPr>
          <w:ilvl w:val="0"/>
          <w:numId w:val="137"/>
        </w:numPr>
        <w:spacing w:after="60"/>
        <w:ind w:left="1440"/>
        <w:rPr>
          <w:lang w:val="pt-BR"/>
        </w:rPr>
      </w:pPr>
      <w:r w:rsidRPr="008D38F6">
        <w:rPr>
          <w:rFonts w:ascii="Tahoma" w:hAnsi="Tahoma" w:cs="Tahoma"/>
          <w:sz w:val="18"/>
          <w:szCs w:val="18"/>
          <w:lang w:val="pt-BR"/>
        </w:rPr>
        <w:t>Dois (2) incidentes de suporte técnico complementares por ano e 20% de desconto para incidentes de suporte por telefone adicio</w:t>
      </w:r>
      <w:r w:rsidR="007E2720" w:rsidRPr="008D38F6">
        <w:rPr>
          <w:rFonts w:ascii="Tahoma" w:hAnsi="Tahoma" w:cs="Tahoma"/>
          <w:sz w:val="18"/>
          <w:szCs w:val="18"/>
          <w:lang w:val="pt-BR"/>
        </w:rPr>
        <w:t>nais adquiridos por um cliente.</w:t>
      </w:r>
    </w:p>
    <w:p w:rsidR="00023FE7" w:rsidRPr="008D38F6" w:rsidRDefault="00023FE7" w:rsidP="002C1048">
      <w:pPr>
        <w:pStyle w:val="AppendixFlushBulletedList"/>
        <w:numPr>
          <w:ilvl w:val="0"/>
          <w:numId w:val="137"/>
        </w:numPr>
        <w:spacing w:after="60"/>
        <w:ind w:left="1440"/>
        <w:rPr>
          <w:lang w:val="pt-BR"/>
        </w:rPr>
      </w:pPr>
      <w:r w:rsidRPr="008D38F6">
        <w:rPr>
          <w:rFonts w:ascii="Tahoma" w:hAnsi="Tahoma" w:cs="Tahoma"/>
          <w:sz w:val="18"/>
          <w:szCs w:val="18"/>
          <w:lang w:val="pt-BR"/>
        </w:rPr>
        <w:t>Suporte a Grupos de Notícias Gerenciados Ilimitado e s</w:t>
      </w:r>
      <w:r w:rsidR="007E2720" w:rsidRPr="008D38F6">
        <w:rPr>
          <w:rFonts w:ascii="Tahoma" w:hAnsi="Tahoma" w:cs="Tahoma"/>
          <w:sz w:val="18"/>
          <w:szCs w:val="18"/>
          <w:lang w:val="pt-BR"/>
        </w:rPr>
        <w:t>erviço de Atendimento via Chat.</w:t>
      </w:r>
    </w:p>
    <w:p w:rsidR="00023FE7" w:rsidRPr="008D38F6" w:rsidRDefault="00023FE7" w:rsidP="00792D1E">
      <w:pPr>
        <w:pStyle w:val="AppendixBodyText"/>
        <w:spacing w:after="0"/>
        <w:rPr>
          <w:rFonts w:ascii="Tahoma" w:hAnsi="Tahoma" w:cs="Tahoma"/>
          <w:sz w:val="16"/>
          <w:szCs w:val="16"/>
          <w:lang w:val="pt-BR"/>
        </w:rPr>
      </w:pPr>
    </w:p>
    <w:p w:rsidR="00023FE7" w:rsidRPr="008D38F6" w:rsidRDefault="00023FE7" w:rsidP="00792D1E">
      <w:pPr>
        <w:pStyle w:val="AppendixBodyText"/>
        <w:spacing w:after="0"/>
        <w:rPr>
          <w:lang w:val="pt-BR"/>
        </w:rPr>
      </w:pPr>
      <w:r w:rsidRPr="008D38F6">
        <w:rPr>
          <w:rFonts w:ascii="Tahoma" w:hAnsi="Tahoma" w:cs="Tahoma"/>
          <w:sz w:val="18"/>
          <w:szCs w:val="18"/>
          <w:lang w:val="pt-BR"/>
        </w:rPr>
        <w:t>Os clientes qualificados recebem uma assinatura por registro qualificado, conforme mostrado a seguir:</w:t>
      </w:r>
    </w:p>
    <w:p w:rsidR="00023FE7" w:rsidRPr="008D38F6" w:rsidRDefault="00023FE7" w:rsidP="00792D1E">
      <w:pPr>
        <w:pStyle w:val="AppendixBodyText"/>
        <w:tabs>
          <w:tab w:val="left" w:pos="1425"/>
        </w:tabs>
        <w:spacing w:after="0"/>
        <w:rPr>
          <w:rFonts w:ascii="Tahoma" w:hAnsi="Tahoma" w:cs="Tahoma"/>
          <w:sz w:val="16"/>
          <w:szCs w:val="16"/>
          <w:lang w:val="pt-BR"/>
        </w:rPr>
      </w:pPr>
    </w:p>
    <w:tbl>
      <w:tblPr>
        <w:tblW w:w="9540" w:type="dxa"/>
        <w:tblInd w:w="99" w:type="dxa"/>
        <w:tblCellMar>
          <w:left w:w="0" w:type="dxa"/>
          <w:right w:w="0" w:type="dxa"/>
        </w:tblCellMar>
        <w:tblLook w:val="0000" w:firstRow="0" w:lastRow="0" w:firstColumn="0" w:lastColumn="0" w:noHBand="0" w:noVBand="0"/>
      </w:tblPr>
      <w:tblGrid>
        <w:gridCol w:w="1710"/>
        <w:gridCol w:w="1364"/>
        <w:gridCol w:w="1606"/>
        <w:gridCol w:w="1800"/>
        <w:gridCol w:w="3060"/>
      </w:tblGrid>
      <w:tr w:rsidR="007D2517" w:rsidRPr="00416070" w:rsidTr="00554B85">
        <w:trPr>
          <w:trHeight w:val="460"/>
        </w:trPr>
        <w:tc>
          <w:tcPr>
            <w:tcW w:w="171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6070" w:rsidRDefault="00270612" w:rsidP="00CA4488">
            <w:pPr>
              <w:jc w:val="center"/>
              <w:rPr>
                <w:rFonts w:cs="Tahoma"/>
                <w:b/>
                <w:bCs/>
                <w:color w:val="000000"/>
                <w:sz w:val="20"/>
                <w:szCs w:val="20"/>
                <w:highlight w:val="yellow"/>
              </w:rPr>
            </w:pPr>
            <w:r w:rsidRPr="00416070">
              <w:rPr>
                <w:rFonts w:cs="Tahoma"/>
                <w:b/>
                <w:bCs/>
                <w:color w:val="000000"/>
                <w:sz w:val="20"/>
                <w:szCs w:val="20"/>
              </w:rPr>
              <w:t>Produto</w:t>
            </w:r>
          </w:p>
        </w:tc>
        <w:tc>
          <w:tcPr>
            <w:tcW w:w="136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6070" w:rsidRDefault="00270612" w:rsidP="00CA4488">
            <w:pPr>
              <w:jc w:val="center"/>
              <w:rPr>
                <w:rFonts w:cs="Tahoma"/>
                <w:b/>
                <w:bCs/>
                <w:color w:val="000000"/>
                <w:sz w:val="20"/>
                <w:szCs w:val="20"/>
                <w:highlight w:val="yellow"/>
              </w:rPr>
            </w:pPr>
            <w:r w:rsidRPr="00416070">
              <w:rPr>
                <w:rFonts w:cs="Tahoma"/>
                <w:b/>
                <w:bCs/>
                <w:color w:val="000000"/>
                <w:sz w:val="20"/>
                <w:szCs w:val="20"/>
              </w:rPr>
              <w:t>Licença Open</w:t>
            </w:r>
          </w:p>
        </w:tc>
        <w:tc>
          <w:tcPr>
            <w:tcW w:w="1606"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6070" w:rsidRDefault="00270612" w:rsidP="00CA4488">
            <w:pPr>
              <w:jc w:val="center"/>
              <w:rPr>
                <w:rFonts w:cs="Tahoma"/>
                <w:b/>
                <w:bCs/>
                <w:color w:val="000000"/>
                <w:sz w:val="20"/>
                <w:szCs w:val="20"/>
                <w:highlight w:val="yellow"/>
              </w:rPr>
            </w:pPr>
            <w:r w:rsidRPr="00416070">
              <w:rPr>
                <w:rFonts w:cs="Tahoma"/>
                <w:b/>
                <w:bCs/>
                <w:color w:val="000000"/>
                <w:sz w:val="20"/>
                <w:szCs w:val="20"/>
              </w:rPr>
              <w:t>Open Value</w:t>
            </w:r>
          </w:p>
        </w:tc>
        <w:tc>
          <w:tcPr>
            <w:tcW w:w="1800" w:type="dxa"/>
            <w:tcBorders>
              <w:top w:val="single" w:sz="8" w:space="0" w:color="auto"/>
              <w:left w:val="nil"/>
              <w:bottom w:val="single" w:sz="8" w:space="0" w:color="auto"/>
              <w:right w:val="single" w:sz="8" w:space="0" w:color="auto"/>
            </w:tcBorders>
            <w:shd w:val="clear" w:color="auto" w:fill="FFCC99"/>
            <w:vAlign w:val="center"/>
          </w:tcPr>
          <w:p w:rsidR="00270612" w:rsidRPr="00416070" w:rsidRDefault="00270612" w:rsidP="00CA4488">
            <w:pPr>
              <w:jc w:val="center"/>
              <w:rPr>
                <w:rFonts w:cs="Tahoma"/>
                <w:b/>
                <w:bCs/>
                <w:color w:val="000000"/>
                <w:sz w:val="20"/>
                <w:szCs w:val="20"/>
              </w:rPr>
            </w:pPr>
            <w:r w:rsidRPr="00416070">
              <w:rPr>
                <w:rFonts w:cs="Tahoma"/>
                <w:b/>
                <w:bCs/>
                <w:color w:val="000000"/>
                <w:sz w:val="20"/>
                <w:szCs w:val="20"/>
              </w:rPr>
              <w:t>Academic</w:t>
            </w:r>
          </w:p>
        </w:tc>
        <w:tc>
          <w:tcPr>
            <w:tcW w:w="30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6070" w:rsidRDefault="00270612" w:rsidP="00554B85">
            <w:pPr>
              <w:jc w:val="center"/>
              <w:rPr>
                <w:rFonts w:cs="Tahoma"/>
                <w:b/>
                <w:bCs/>
                <w:color w:val="000000"/>
                <w:sz w:val="20"/>
                <w:szCs w:val="20"/>
                <w:highlight w:val="yellow"/>
              </w:rPr>
            </w:pPr>
            <w:r w:rsidRPr="00416070">
              <w:rPr>
                <w:rFonts w:cs="Tahoma"/>
                <w:b/>
                <w:bCs/>
                <w:color w:val="000000"/>
                <w:sz w:val="20"/>
                <w:szCs w:val="20"/>
              </w:rPr>
              <w:t>Select (diferente de Academic)/Select Plus (diferente de Academic)</w:t>
            </w:r>
            <w:r w:rsidR="00554B85" w:rsidRPr="00416070">
              <w:rPr>
                <w:rFonts w:cs="Tahoma"/>
                <w:b/>
                <w:bCs/>
                <w:color w:val="000000"/>
                <w:sz w:val="20"/>
                <w:szCs w:val="20"/>
              </w:rPr>
              <w:t xml:space="preserve"> </w:t>
            </w:r>
            <w:r w:rsidRPr="00416070">
              <w:rPr>
                <w:rFonts w:cs="Tahoma"/>
                <w:b/>
                <w:bCs/>
                <w:color w:val="000000"/>
                <w:sz w:val="20"/>
                <w:szCs w:val="20"/>
              </w:rPr>
              <w:t>/</w:t>
            </w:r>
            <w:r w:rsidR="00554B85" w:rsidRPr="00416070">
              <w:rPr>
                <w:rFonts w:cs="Tahoma"/>
                <w:b/>
                <w:bCs/>
                <w:color w:val="000000"/>
                <w:sz w:val="20"/>
                <w:szCs w:val="20"/>
              </w:rPr>
              <w:br/>
            </w:r>
            <w:r w:rsidRPr="00416070">
              <w:rPr>
                <w:rFonts w:cs="Tahoma"/>
                <w:b/>
                <w:bCs/>
                <w:color w:val="000000"/>
                <w:sz w:val="20"/>
                <w:szCs w:val="20"/>
              </w:rPr>
              <w:t>Contrato Enterprise</w:t>
            </w:r>
          </w:p>
        </w:tc>
      </w:tr>
      <w:tr w:rsidR="007D2517" w:rsidRPr="00416070" w:rsidTr="00554B85">
        <w:trPr>
          <w:trHeight w:val="50"/>
        </w:trPr>
        <w:tc>
          <w:tcPr>
            <w:tcW w:w="171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16070" w:rsidRDefault="00270612" w:rsidP="00CA4488">
            <w:pPr>
              <w:rPr>
                <w:rFonts w:cs="Tahoma"/>
                <w:color w:val="000000"/>
                <w:szCs w:val="18"/>
                <w:highlight w:val="yellow"/>
              </w:rPr>
            </w:pPr>
            <w:r w:rsidRPr="00416070">
              <w:rPr>
                <w:rFonts w:cs="Tahoma"/>
                <w:b/>
                <w:bCs/>
                <w:iCs/>
                <w:color w:val="000000"/>
                <w:szCs w:val="18"/>
              </w:rPr>
              <w:t>Licenças de</w:t>
            </w:r>
            <w:r w:rsidRPr="00416070">
              <w:rPr>
                <w:rFonts w:cs="Tahoma"/>
                <w:b/>
                <w:color w:val="000000"/>
                <w:szCs w:val="18"/>
              </w:rPr>
              <w:t xml:space="preserve"> servidor</w:t>
            </w:r>
          </w:p>
        </w:tc>
        <w:tc>
          <w:tcPr>
            <w:tcW w:w="1364"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16070" w:rsidRDefault="00270612" w:rsidP="00CA4488">
            <w:pPr>
              <w:jc w:val="center"/>
              <w:rPr>
                <w:rFonts w:cs="Tahoma"/>
                <w:color w:val="000000"/>
                <w:szCs w:val="18"/>
                <w:highlight w:val="yellow"/>
              </w:rPr>
            </w:pPr>
            <w:r w:rsidRPr="00416070">
              <w:rPr>
                <w:rFonts w:cs="Tahoma"/>
                <w:color w:val="000000"/>
                <w:szCs w:val="18"/>
              </w:rPr>
              <w:t>N/D</w:t>
            </w:r>
          </w:p>
        </w:tc>
        <w:tc>
          <w:tcPr>
            <w:tcW w:w="1606"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16070" w:rsidRDefault="00270612" w:rsidP="00CA4488">
            <w:pPr>
              <w:jc w:val="center"/>
              <w:rPr>
                <w:rFonts w:cs="Tahoma"/>
                <w:color w:val="000000"/>
                <w:szCs w:val="18"/>
                <w:highlight w:val="yellow"/>
              </w:rPr>
            </w:pPr>
            <w:r w:rsidRPr="00416070">
              <w:rPr>
                <w:rFonts w:cs="Tahoma"/>
                <w:color w:val="000000"/>
                <w:szCs w:val="18"/>
              </w:rPr>
              <w:t>1 assinatura por registro</w:t>
            </w:r>
          </w:p>
        </w:tc>
        <w:tc>
          <w:tcPr>
            <w:tcW w:w="1800" w:type="dxa"/>
            <w:tcBorders>
              <w:top w:val="single" w:sz="8" w:space="0" w:color="auto"/>
              <w:left w:val="nil"/>
              <w:bottom w:val="single" w:sz="8" w:space="0" w:color="auto"/>
              <w:right w:val="single" w:sz="8" w:space="0" w:color="auto"/>
            </w:tcBorders>
          </w:tcPr>
          <w:p w:rsidR="00270612" w:rsidRPr="00416070" w:rsidRDefault="00270612" w:rsidP="00C1269D">
            <w:pPr>
              <w:spacing w:before="120"/>
              <w:ind w:left="187"/>
              <w:rPr>
                <w:rFonts w:cs="Tahoma"/>
                <w:color w:val="000000"/>
                <w:szCs w:val="18"/>
              </w:rPr>
            </w:pPr>
            <w:r w:rsidRPr="00416070">
              <w:rPr>
                <w:rFonts w:cs="Tahoma"/>
                <w:color w:val="000000"/>
                <w:szCs w:val="18"/>
              </w:rPr>
              <w:t>1 assinatura por registro “</w:t>
            </w:r>
          </w:p>
        </w:tc>
        <w:tc>
          <w:tcPr>
            <w:tcW w:w="30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16070" w:rsidRDefault="00270612" w:rsidP="00CA4488">
            <w:pPr>
              <w:rPr>
                <w:rFonts w:cs="Tahoma"/>
                <w:color w:val="000000"/>
                <w:szCs w:val="18"/>
              </w:rPr>
            </w:pPr>
            <w:r w:rsidRPr="00416070">
              <w:rPr>
                <w:rFonts w:cs="Tahoma"/>
                <w:color w:val="000000"/>
                <w:szCs w:val="18"/>
              </w:rPr>
              <w:t>1 assinatura por registro</w:t>
            </w:r>
          </w:p>
        </w:tc>
      </w:tr>
    </w:tbl>
    <w:p w:rsidR="00F30075" w:rsidRPr="008D38F6" w:rsidRDefault="000D6A8D" w:rsidP="00F30075">
      <w:pPr>
        <w:tabs>
          <w:tab w:val="num" w:pos="0"/>
        </w:tabs>
        <w:rPr>
          <w:lang w:val="pt-BR"/>
        </w:rPr>
      </w:pPr>
      <w:r w:rsidRPr="008D38F6">
        <w:rPr>
          <w:rFonts w:eastAsia="Times New Roman" w:cs="Tahoma"/>
          <w:b/>
          <w:bCs/>
          <w:i/>
          <w:szCs w:val="18"/>
          <w:lang w:val="pt-BR"/>
        </w:rPr>
        <w:t>*</w:t>
      </w:r>
      <w:r w:rsidRPr="008D38F6">
        <w:rPr>
          <w:rFonts w:eastAsia="Times New Roman" w:cs="Tahoma"/>
          <w:iCs/>
          <w:szCs w:val="18"/>
          <w:lang w:val="pt-BR"/>
        </w:rPr>
        <w:t xml:space="preserve"> </w:t>
      </w:r>
      <w:r w:rsidR="00F30075" w:rsidRPr="008D38F6">
        <w:rPr>
          <w:rFonts w:cs="Tahoma"/>
          <w:i/>
          <w:color w:val="000000"/>
          <w:sz w:val="16"/>
          <w:szCs w:val="16"/>
          <w:lang w:val="pt-BR"/>
        </w:rPr>
        <w:t>Se o cliente tiver uma cobertura ativa do SA para cinco licenças de software de servidor</w:t>
      </w:r>
    </w:p>
    <w:p w:rsidR="00270612" w:rsidRPr="008D38F6" w:rsidRDefault="00270612" w:rsidP="00270612">
      <w:pPr>
        <w:pStyle w:val="AppendixFlushBulletedList"/>
        <w:tabs>
          <w:tab w:val="clear" w:pos="360"/>
          <w:tab w:val="num" w:pos="0"/>
        </w:tabs>
        <w:ind w:left="0" w:firstLine="0"/>
        <w:rPr>
          <w:rFonts w:ascii="Tahoma" w:hAnsi="Tahoma" w:cs="Tahoma"/>
          <w:sz w:val="16"/>
          <w:szCs w:val="16"/>
          <w:lang w:val="pt-BR"/>
        </w:rPr>
      </w:pPr>
    </w:p>
    <w:p w:rsidR="00270612" w:rsidRPr="008D38F6" w:rsidRDefault="00270612" w:rsidP="00270612">
      <w:pPr>
        <w:pStyle w:val="AppendixFlushBulletedList"/>
        <w:tabs>
          <w:tab w:val="clear" w:pos="360"/>
          <w:tab w:val="num" w:pos="0"/>
        </w:tabs>
        <w:ind w:left="0" w:firstLine="0"/>
        <w:rPr>
          <w:rFonts w:ascii="Tahoma" w:hAnsi="Tahoma" w:cs="Tahoma"/>
          <w:sz w:val="18"/>
          <w:szCs w:val="18"/>
          <w:lang w:val="pt-BR"/>
        </w:rPr>
      </w:pPr>
      <w:r w:rsidRPr="008D38F6">
        <w:rPr>
          <w:rFonts w:ascii="Tahoma" w:hAnsi="Tahoma" w:cs="Tahoma"/>
          <w:color w:val="000000"/>
          <w:sz w:val="18"/>
          <w:szCs w:val="18"/>
          <w:lang w:val="pt-BR"/>
        </w:rPr>
        <w:t>O uso de software, software de pré-lançamento e de avaliação do TechNet Plus Direct pelos clientes está sujeito aos</w:t>
      </w:r>
      <w:r w:rsidR="00C1269D" w:rsidRPr="008D38F6">
        <w:rPr>
          <w:rFonts w:ascii="Tahoma" w:hAnsi="Tahoma" w:cs="Tahoma"/>
          <w:color w:val="000000"/>
          <w:sz w:val="18"/>
          <w:szCs w:val="18"/>
          <w:lang w:val="pt-BR"/>
        </w:rPr>
        <w:t> </w:t>
      </w:r>
      <w:r w:rsidRPr="008D38F6">
        <w:rPr>
          <w:rFonts w:ascii="Tahoma" w:hAnsi="Tahoma" w:cs="Tahoma"/>
          <w:color w:val="000000"/>
          <w:sz w:val="18"/>
          <w:szCs w:val="18"/>
          <w:lang w:val="pt-BR"/>
        </w:rPr>
        <w:t>termos e condições de seus contratos de licença.</w:t>
      </w:r>
    </w:p>
    <w:p w:rsidR="00270612" w:rsidRPr="008D38F6" w:rsidRDefault="00270612" w:rsidP="00270612">
      <w:pPr>
        <w:pStyle w:val="AppendixFlushBulletedList"/>
        <w:tabs>
          <w:tab w:val="clear" w:pos="360"/>
          <w:tab w:val="num" w:pos="0"/>
        </w:tabs>
        <w:ind w:left="0" w:firstLine="0"/>
        <w:rPr>
          <w:rFonts w:ascii="Tahoma" w:hAnsi="Tahoma" w:cs="Tahoma"/>
          <w:sz w:val="18"/>
          <w:szCs w:val="18"/>
          <w:lang w:val="pt-BR"/>
        </w:rPr>
      </w:pPr>
      <w:r w:rsidRPr="008D38F6">
        <w:rPr>
          <w:rFonts w:ascii="Tahoma" w:hAnsi="Tahoma" w:cs="Tahoma"/>
          <w:color w:val="000000"/>
          <w:sz w:val="18"/>
          <w:szCs w:val="18"/>
          <w:lang w:val="pt-BR"/>
        </w:rPr>
        <w:t>O software de versão completa licenciado não possui uma bomba relógio e destina-se apenas para fins de avaliação – ela não deve ser usad</w:t>
      </w:r>
      <w:r w:rsidR="00FF3D4D" w:rsidRPr="008D38F6">
        <w:rPr>
          <w:rFonts w:ascii="Tahoma" w:hAnsi="Tahoma" w:cs="Tahoma"/>
          <w:color w:val="000000"/>
          <w:sz w:val="18"/>
          <w:szCs w:val="18"/>
          <w:lang w:val="pt-BR"/>
        </w:rPr>
        <w:t>o em ambientes de produção.</w:t>
      </w:r>
    </w:p>
    <w:p w:rsidR="004D4D43" w:rsidRPr="008D38F6" w:rsidRDefault="004D4D43" w:rsidP="00270612">
      <w:pPr>
        <w:pStyle w:val="AppendixFlushBulletedList"/>
        <w:tabs>
          <w:tab w:val="clear" w:pos="360"/>
          <w:tab w:val="num" w:pos="0"/>
        </w:tabs>
        <w:ind w:left="0" w:firstLine="0"/>
        <w:rPr>
          <w:rFonts w:ascii="Tahoma" w:hAnsi="Tahoma" w:cs="Tahoma"/>
          <w:sz w:val="18"/>
          <w:szCs w:val="18"/>
          <w:lang w:val="pt-BR"/>
        </w:rPr>
      </w:pPr>
    </w:p>
    <w:p w:rsidR="00270612" w:rsidRPr="008D38F6" w:rsidRDefault="00270612" w:rsidP="00FF3D4D">
      <w:pPr>
        <w:pStyle w:val="AppendixFlushBulletedList"/>
        <w:tabs>
          <w:tab w:val="clear" w:pos="360"/>
          <w:tab w:val="num" w:pos="0"/>
        </w:tabs>
        <w:ind w:left="0" w:firstLine="0"/>
        <w:rPr>
          <w:rFonts w:ascii="Tahoma" w:hAnsi="Tahoma" w:cs="Tahoma"/>
          <w:spacing w:val="-2"/>
          <w:sz w:val="18"/>
          <w:szCs w:val="18"/>
          <w:lang w:val="pt-BR"/>
        </w:rPr>
      </w:pPr>
      <w:r w:rsidRPr="008D38F6">
        <w:rPr>
          <w:rFonts w:ascii="Tahoma" w:hAnsi="Tahoma" w:cs="Tahoma"/>
          <w:color w:val="000000"/>
          <w:spacing w:val="-2"/>
          <w:sz w:val="18"/>
          <w:szCs w:val="18"/>
          <w:lang w:val="pt-BR"/>
        </w:rPr>
        <w:t>Os clientes do SA têm direito de compartilhar o conteúdo técnico dentro da organização, como a base de conhecimento, os treinamentos técnicos, os downloads, os service packs e os patches de segurança.</w:t>
      </w:r>
      <w:r w:rsidR="00FB5496" w:rsidRPr="008D38F6">
        <w:rPr>
          <w:rFonts w:ascii="Tahoma" w:hAnsi="Tahoma" w:cs="Tahoma"/>
          <w:color w:val="000000"/>
          <w:spacing w:val="-2"/>
          <w:sz w:val="18"/>
          <w:szCs w:val="18"/>
          <w:lang w:val="pt-BR"/>
        </w:rPr>
        <w:t xml:space="preserve"> </w:t>
      </w:r>
      <w:r w:rsidRPr="008D38F6">
        <w:rPr>
          <w:rFonts w:ascii="Tahoma" w:hAnsi="Tahoma" w:cs="Tahoma"/>
          <w:color w:val="000000"/>
          <w:spacing w:val="-2"/>
          <w:sz w:val="18"/>
          <w:szCs w:val="18"/>
          <w:lang w:val="pt-BR"/>
        </w:rPr>
        <w:t>Entretanto, os</w:t>
      </w:r>
      <w:r w:rsidR="00C1269D" w:rsidRPr="008D38F6">
        <w:rPr>
          <w:rFonts w:ascii="Tahoma" w:hAnsi="Tahoma" w:cs="Tahoma"/>
          <w:color w:val="000000"/>
          <w:spacing w:val="-2"/>
          <w:sz w:val="18"/>
          <w:szCs w:val="18"/>
          <w:lang w:val="pt-BR"/>
        </w:rPr>
        <w:t> </w:t>
      </w:r>
      <w:r w:rsidRPr="008D38F6">
        <w:rPr>
          <w:rFonts w:ascii="Tahoma" w:hAnsi="Tahoma" w:cs="Tahoma"/>
          <w:color w:val="000000"/>
          <w:spacing w:val="-2"/>
          <w:sz w:val="18"/>
          <w:szCs w:val="18"/>
          <w:lang w:val="pt-BR"/>
        </w:rPr>
        <w:t>benefícios a seguir são exclusivos do principal assinante e não podem ser compartilhados: software de versão completa para fins de avaliação, software beta, incidentes de suporte técnico e descontos, grupos de notícias gerenciados e atendimento via</w:t>
      </w:r>
      <w:r w:rsidR="00FF3D4D" w:rsidRPr="008D38F6">
        <w:rPr>
          <w:rFonts w:ascii="Tahoma" w:hAnsi="Tahoma" w:cs="Tahoma"/>
          <w:color w:val="000000"/>
          <w:spacing w:val="-2"/>
          <w:sz w:val="18"/>
          <w:szCs w:val="18"/>
          <w:lang w:val="pt-BR"/>
        </w:rPr>
        <w:t> </w:t>
      </w:r>
      <w:r w:rsidRPr="008D38F6">
        <w:rPr>
          <w:rFonts w:ascii="Tahoma" w:hAnsi="Tahoma" w:cs="Tahoma"/>
          <w:color w:val="000000"/>
          <w:spacing w:val="-2"/>
          <w:sz w:val="18"/>
          <w:szCs w:val="18"/>
          <w:lang w:val="pt-BR"/>
        </w:rPr>
        <w:t>chat, além de outros serviços premium disponibilizados apenas por meio do site do</w:t>
      </w:r>
      <w:r w:rsidR="00C1269D" w:rsidRPr="008D38F6">
        <w:rPr>
          <w:rFonts w:ascii="Tahoma" w:hAnsi="Tahoma" w:cs="Tahoma"/>
          <w:color w:val="000000"/>
          <w:spacing w:val="-2"/>
          <w:sz w:val="18"/>
          <w:szCs w:val="18"/>
          <w:lang w:val="pt-BR"/>
        </w:rPr>
        <w:t> </w:t>
      </w:r>
      <w:r w:rsidR="00FF3D4D" w:rsidRPr="008D38F6">
        <w:rPr>
          <w:rFonts w:ascii="Tahoma" w:hAnsi="Tahoma" w:cs="Tahoma"/>
          <w:color w:val="000000"/>
          <w:spacing w:val="-2"/>
          <w:sz w:val="18"/>
          <w:szCs w:val="18"/>
          <w:lang w:val="pt-BR"/>
        </w:rPr>
        <w:t>TechNet Plus Direct.</w:t>
      </w:r>
    </w:p>
    <w:p w:rsidR="00792D1E" w:rsidRPr="008D38F6" w:rsidRDefault="00792D1E" w:rsidP="00270612">
      <w:pPr>
        <w:pStyle w:val="AppendixFlushBulletedList"/>
        <w:tabs>
          <w:tab w:val="clear" w:pos="360"/>
          <w:tab w:val="num" w:pos="0"/>
        </w:tabs>
        <w:ind w:left="0" w:firstLine="0"/>
        <w:rPr>
          <w:rFonts w:ascii="Tahoma" w:hAnsi="Tahoma" w:cs="Tahoma"/>
          <w:sz w:val="18"/>
          <w:szCs w:val="18"/>
          <w:lang w:val="pt-BR"/>
        </w:rPr>
      </w:pPr>
    </w:p>
    <w:p w:rsidR="00270612" w:rsidRPr="008D38F6" w:rsidRDefault="00270612" w:rsidP="00270612">
      <w:pPr>
        <w:pStyle w:val="AppendixFlushBulletedList"/>
        <w:tabs>
          <w:tab w:val="clear" w:pos="360"/>
          <w:tab w:val="num" w:pos="0"/>
        </w:tabs>
        <w:ind w:left="0" w:firstLine="0"/>
        <w:rPr>
          <w:rFonts w:ascii="Tahoma" w:hAnsi="Tahoma" w:cs="Tahoma"/>
          <w:sz w:val="18"/>
          <w:szCs w:val="18"/>
          <w:lang w:val="pt-BR"/>
        </w:rPr>
      </w:pPr>
      <w:r w:rsidRPr="008D38F6">
        <w:rPr>
          <w:rFonts w:ascii="Tahoma" w:hAnsi="Tahoma" w:cs="Tahoma"/>
          <w:color w:val="000000"/>
          <w:sz w:val="18"/>
          <w:szCs w:val="18"/>
          <w:lang w:val="pt-BR"/>
        </w:rPr>
        <w:t>Nem todos os serviços e benefícios do TechNet Plus Direct estão disponíveis em todos os países/regiões.</w:t>
      </w:r>
    </w:p>
    <w:p w:rsidR="00792D1E" w:rsidRPr="008D38F6" w:rsidRDefault="00792D1E" w:rsidP="00270612">
      <w:pPr>
        <w:pStyle w:val="AppendixFlushBulletedList"/>
        <w:tabs>
          <w:tab w:val="clear" w:pos="360"/>
          <w:tab w:val="num" w:pos="0"/>
        </w:tabs>
        <w:ind w:left="0" w:firstLine="0"/>
        <w:rPr>
          <w:rFonts w:ascii="Tahoma" w:hAnsi="Tahoma" w:cs="Tahoma"/>
          <w:sz w:val="18"/>
          <w:szCs w:val="18"/>
          <w:lang w:val="pt-BR"/>
        </w:rPr>
      </w:pPr>
    </w:p>
    <w:p w:rsidR="00270612" w:rsidRPr="008D38F6" w:rsidRDefault="00270612" w:rsidP="00270612">
      <w:pPr>
        <w:pStyle w:val="AppendixFlushBulletedList"/>
        <w:tabs>
          <w:tab w:val="clear" w:pos="360"/>
          <w:tab w:val="num" w:pos="0"/>
        </w:tabs>
        <w:ind w:left="0" w:firstLine="0"/>
        <w:rPr>
          <w:rFonts w:ascii="Tahoma" w:hAnsi="Tahoma" w:cs="Tahoma"/>
          <w:sz w:val="18"/>
          <w:szCs w:val="18"/>
          <w:lang w:val="pt-BR"/>
        </w:rPr>
      </w:pPr>
      <w:r w:rsidRPr="008D38F6">
        <w:rPr>
          <w:rFonts w:ascii="Tahoma" w:hAnsi="Tahoma" w:cs="Tahoma"/>
          <w:color w:val="000000"/>
          <w:sz w:val="18"/>
          <w:szCs w:val="18"/>
          <w:lang w:val="pt-BR"/>
        </w:rPr>
        <w:t xml:space="preserve">Visite o site </w:t>
      </w:r>
      <w:hyperlink r:id="rId33" w:history="1">
        <w:r w:rsidRPr="008D38F6">
          <w:rPr>
            <w:rStyle w:val="Hyperlink"/>
            <w:rFonts w:ascii="Tahoma" w:hAnsi="Tahoma" w:cs="Tahoma"/>
            <w:color w:val="000000"/>
            <w:sz w:val="18"/>
            <w:szCs w:val="18"/>
            <w:lang w:val="pt-BR"/>
          </w:rPr>
          <w:t>www.microsoft.com/technet/subscription</w:t>
        </w:r>
      </w:hyperlink>
      <w:r w:rsidRPr="008D38F6">
        <w:rPr>
          <w:rFonts w:ascii="Tahoma" w:hAnsi="Tahoma" w:cs="Tahoma"/>
          <w:color w:val="000000"/>
          <w:sz w:val="18"/>
          <w:szCs w:val="18"/>
          <w:lang w:val="pt-BR"/>
        </w:rPr>
        <w:t xml:space="preserve"> para obter mais informações sobre a d</w:t>
      </w:r>
      <w:r w:rsidR="007E2720" w:rsidRPr="008D38F6">
        <w:rPr>
          <w:rFonts w:ascii="Tahoma" w:hAnsi="Tahoma" w:cs="Tahoma"/>
          <w:color w:val="000000"/>
          <w:sz w:val="18"/>
          <w:szCs w:val="18"/>
          <w:lang w:val="pt-BR"/>
        </w:rPr>
        <w:t>isponibilidade por país/região.</w:t>
      </w:r>
    </w:p>
    <w:p w:rsidR="00270612" w:rsidRPr="008D38F6" w:rsidRDefault="00270612" w:rsidP="00270612">
      <w:pPr>
        <w:pStyle w:val="AppendixFlushBulletedList"/>
        <w:tabs>
          <w:tab w:val="clear" w:pos="360"/>
          <w:tab w:val="num" w:pos="0"/>
        </w:tabs>
        <w:ind w:left="0" w:firstLine="0"/>
        <w:rPr>
          <w:rFonts w:ascii="Tahoma" w:hAnsi="Tahoma" w:cs="Tahoma"/>
          <w:sz w:val="18"/>
          <w:szCs w:val="18"/>
          <w:lang w:val="pt-BR"/>
        </w:rPr>
      </w:pPr>
      <w:r w:rsidRPr="008D38F6">
        <w:rPr>
          <w:rFonts w:ascii="Tahoma" w:hAnsi="Tahoma" w:cs="Tahoma"/>
          <w:color w:val="000000"/>
          <w:sz w:val="18"/>
          <w:szCs w:val="18"/>
          <w:lang w:val="pt-BR"/>
        </w:rPr>
        <w:t>Os direitos de uso de software, software de pré-lançamento e de avaliação do TechNet Plus Direct pelos clientes se</w:t>
      </w:r>
      <w:r w:rsidR="00C1269D" w:rsidRPr="008D38F6">
        <w:rPr>
          <w:rFonts w:ascii="Tahoma" w:hAnsi="Tahoma" w:cs="Tahoma"/>
          <w:color w:val="000000"/>
          <w:sz w:val="18"/>
          <w:szCs w:val="18"/>
          <w:lang w:val="pt-BR"/>
        </w:rPr>
        <w:t> </w:t>
      </w:r>
      <w:r w:rsidRPr="008D38F6">
        <w:rPr>
          <w:rFonts w:ascii="Tahoma" w:hAnsi="Tahoma" w:cs="Tahoma"/>
          <w:color w:val="000000"/>
          <w:sz w:val="18"/>
          <w:szCs w:val="18"/>
          <w:lang w:val="pt-BR"/>
        </w:rPr>
        <w:t>encerram no término de suas coberturas do Software Assurance.</w:t>
      </w:r>
    </w:p>
    <w:p w:rsidR="00023FE7" w:rsidRPr="00FF3D4D" w:rsidRDefault="00023FE7">
      <w:pPr>
        <w:pStyle w:val="Heading3"/>
        <w:tabs>
          <w:tab w:val="num" w:pos="0"/>
        </w:tabs>
        <w:rPr>
          <w:rFonts w:ascii="Tahoma" w:hAnsi="Tahoma" w:cs="Tahoma"/>
          <w:b w:val="0"/>
          <w:sz w:val="18"/>
          <w:szCs w:val="18"/>
        </w:rPr>
      </w:pPr>
    </w:p>
    <w:p w:rsidR="004D4D43" w:rsidRPr="00416070" w:rsidRDefault="004D4D43" w:rsidP="004D4D43">
      <w:pPr>
        <w:pStyle w:val="Heading3"/>
        <w:tabs>
          <w:tab w:val="num" w:pos="0"/>
        </w:tabs>
      </w:pPr>
      <w:bookmarkStart w:id="805" w:name="_Toc336338242"/>
      <w:bookmarkStart w:id="806" w:name="_Toc352234310"/>
      <w:r w:rsidRPr="00416070">
        <w:rPr>
          <w:rFonts w:ascii="Tahoma" w:hAnsi="Tahoma" w:cs="Tahoma"/>
          <w:sz w:val="24"/>
        </w:rPr>
        <w:t>Mobilidade de Licença por meio do Software Assurance.</w:t>
      </w:r>
      <w:bookmarkEnd w:id="805"/>
      <w:bookmarkEnd w:id="806"/>
    </w:p>
    <w:p w:rsidR="004D4D43" w:rsidRPr="00416070" w:rsidRDefault="004D4D43" w:rsidP="0007218F">
      <w:pPr>
        <w:pStyle w:val="Heading3"/>
        <w:tabs>
          <w:tab w:val="num" w:pos="0"/>
        </w:tabs>
        <w:rPr>
          <w:rFonts w:ascii="Tahoma" w:hAnsi="Tahoma" w:cs="Tahoma"/>
          <w:sz w:val="16"/>
          <w:szCs w:val="16"/>
        </w:rPr>
      </w:pPr>
    </w:p>
    <w:p w:rsidR="004D4D43" w:rsidRPr="008D38F6" w:rsidRDefault="004D4D43" w:rsidP="002171C3">
      <w:pPr>
        <w:rPr>
          <w:lang w:val="pt-BR"/>
        </w:rPr>
      </w:pPr>
      <w:bookmarkStart w:id="807" w:name="_Toc294048012"/>
      <w:bookmarkStart w:id="808" w:name="_Toc294048569"/>
      <w:bookmarkStart w:id="809" w:name="_Toc294092640"/>
      <w:bookmarkStart w:id="810" w:name="_Toc295819320"/>
      <w:bookmarkStart w:id="811" w:name="_Toc298795971"/>
      <w:bookmarkStart w:id="812" w:name="_Toc299369847"/>
      <w:bookmarkStart w:id="813" w:name="_Toc300391558"/>
      <w:bookmarkStart w:id="814" w:name="_Toc301939835"/>
      <w:bookmarkStart w:id="815" w:name="_Toc304801232"/>
      <w:bookmarkStart w:id="816" w:name="_Toc312399280"/>
      <w:bookmarkStart w:id="817" w:name="_Toc315289087"/>
      <w:bookmarkStart w:id="818" w:name="_Toc317591243"/>
      <w:bookmarkStart w:id="819" w:name="_Toc325313196"/>
      <w:bookmarkStart w:id="820" w:name="_Toc325609219"/>
      <w:r w:rsidRPr="008D38F6">
        <w:rPr>
          <w:lang w:val="pt-BR"/>
        </w:rPr>
        <w:t>A Mobilidade de Licença por meio do Software Assurance permite mover-se entre determinadas licenças nas instalações cobertas por Software Assurance para servidores compartilhados por terceiros.</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rsidR="004D4D43" w:rsidRPr="008D38F6" w:rsidRDefault="004D4D43" w:rsidP="002171C3">
      <w:pPr>
        <w:rPr>
          <w:sz w:val="16"/>
          <w:szCs w:val="16"/>
          <w:lang w:val="pt-BR"/>
        </w:rPr>
      </w:pPr>
    </w:p>
    <w:p w:rsidR="004D4D43" w:rsidRPr="008D38F6" w:rsidRDefault="004D4D43" w:rsidP="002171C3">
      <w:pPr>
        <w:rPr>
          <w:lang w:val="pt-BR"/>
        </w:rPr>
      </w:pPr>
      <w:bookmarkStart w:id="821" w:name="_Toc294048013"/>
      <w:bookmarkStart w:id="822" w:name="_Toc294048570"/>
      <w:bookmarkStart w:id="823" w:name="_Toc294092641"/>
      <w:bookmarkStart w:id="824" w:name="_Toc295819321"/>
      <w:bookmarkStart w:id="825" w:name="_Toc298795972"/>
      <w:bookmarkStart w:id="826" w:name="_Toc299369848"/>
      <w:bookmarkStart w:id="827" w:name="_Toc300391559"/>
      <w:bookmarkStart w:id="828" w:name="_Toc301939836"/>
      <w:bookmarkStart w:id="829" w:name="_Toc304801233"/>
      <w:bookmarkStart w:id="830" w:name="_Toc307350402"/>
      <w:bookmarkStart w:id="831" w:name="_Toc308429813"/>
      <w:bookmarkStart w:id="832" w:name="_Toc312399281"/>
      <w:bookmarkStart w:id="833" w:name="_Toc315289088"/>
      <w:bookmarkStart w:id="834" w:name="_Toc317591244"/>
      <w:bookmarkStart w:id="835" w:name="_Toc323034197"/>
      <w:bookmarkStart w:id="836" w:name="_Toc325313197"/>
      <w:bookmarkStart w:id="837" w:name="_Toc325609220"/>
      <w:r w:rsidRPr="008D38F6">
        <w:rPr>
          <w:lang w:val="pt-BR"/>
        </w:rPr>
        <w:t>Todos os Produtos qualificados no momento para “Mobilidade de Licenças nos Farms de Servidores”, conforme definidos nos Direitos de Uso do Produto (PUR) e cobertos por Software Assurance, estão qualificados para a Mobilidade de Licença por meio do Software Assurance. Além disso, os seguintes Produtos também estão qualificados para Mobilidade de Licenças por meio de Software Assurance:</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rsidR="004D4D43" w:rsidRPr="008D38F6" w:rsidRDefault="004D4D43" w:rsidP="00F86E06">
      <w:pPr>
        <w:rPr>
          <w:sz w:val="16"/>
          <w:szCs w:val="16"/>
          <w:lang w:val="pt-BR"/>
        </w:rPr>
      </w:pPr>
    </w:p>
    <w:p w:rsidR="004D4D43" w:rsidRPr="008D38F6" w:rsidRDefault="004D4D43" w:rsidP="002C1048">
      <w:pPr>
        <w:numPr>
          <w:ilvl w:val="0"/>
          <w:numId w:val="92"/>
        </w:numPr>
        <w:spacing w:after="60"/>
        <w:ind w:left="1440"/>
        <w:rPr>
          <w:lang w:val="pt-BR"/>
        </w:rPr>
      </w:pPr>
      <w:bookmarkStart w:id="838" w:name="_Toc294048014"/>
      <w:bookmarkStart w:id="839" w:name="_Toc294048571"/>
      <w:bookmarkStart w:id="840" w:name="_Toc294092642"/>
      <w:bookmarkStart w:id="841" w:name="_Toc295819322"/>
      <w:bookmarkStart w:id="842" w:name="_Toc298795973"/>
      <w:bookmarkStart w:id="843" w:name="_Toc299369849"/>
      <w:bookmarkStart w:id="844" w:name="_Toc300391560"/>
      <w:bookmarkStart w:id="845" w:name="_Toc301939837"/>
      <w:bookmarkStart w:id="846" w:name="_Toc304801234"/>
      <w:bookmarkStart w:id="847" w:name="_Toc307350403"/>
      <w:bookmarkStart w:id="848" w:name="_Toc308429814"/>
      <w:bookmarkStart w:id="849" w:name="_Toc312399282"/>
      <w:bookmarkStart w:id="850" w:name="_Toc315289089"/>
      <w:bookmarkStart w:id="851" w:name="_Toc317591245"/>
      <w:bookmarkStart w:id="852" w:name="_Toc323034198"/>
      <w:bookmarkStart w:id="853" w:name="_Toc325313198"/>
      <w:bookmarkStart w:id="854" w:name="_Toc325609221"/>
      <w:r w:rsidRPr="008D38F6">
        <w:rPr>
          <w:lang w:val="pt-BR"/>
        </w:rPr>
        <w:t>SQL Server Standard – Por Processador e Servidor/CAL (licenças do servidor e processador somente) com Software Assurance</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rsidR="004D4D43" w:rsidRPr="008D38F6" w:rsidRDefault="004D4D43" w:rsidP="002C1048">
      <w:pPr>
        <w:numPr>
          <w:ilvl w:val="0"/>
          <w:numId w:val="92"/>
        </w:numPr>
        <w:spacing w:after="60"/>
        <w:ind w:left="1440"/>
        <w:rPr>
          <w:lang w:val="pt-BR"/>
        </w:rPr>
      </w:pPr>
      <w:bookmarkStart w:id="855" w:name="_Toc294048015"/>
      <w:bookmarkStart w:id="856" w:name="_Toc294048572"/>
      <w:bookmarkStart w:id="857" w:name="_Toc294092643"/>
      <w:bookmarkStart w:id="858" w:name="_Toc295819323"/>
      <w:bookmarkStart w:id="859" w:name="_Toc298795974"/>
      <w:bookmarkStart w:id="860" w:name="_Toc299369850"/>
      <w:bookmarkStart w:id="861" w:name="_Toc300391561"/>
      <w:bookmarkStart w:id="862" w:name="_Toc301939838"/>
      <w:bookmarkStart w:id="863" w:name="_Toc304801235"/>
      <w:bookmarkStart w:id="864" w:name="_Toc307350404"/>
      <w:bookmarkStart w:id="865" w:name="_Toc308429815"/>
      <w:bookmarkStart w:id="866" w:name="_Toc312399283"/>
      <w:bookmarkStart w:id="867" w:name="_Toc315289090"/>
      <w:bookmarkStart w:id="868" w:name="_Toc317591246"/>
      <w:bookmarkStart w:id="869" w:name="_Toc323034199"/>
      <w:bookmarkStart w:id="870" w:name="_Toc325313199"/>
      <w:bookmarkStart w:id="871" w:name="_Toc325609222"/>
      <w:r w:rsidRPr="008D38F6">
        <w:rPr>
          <w:lang w:val="pt-BR"/>
        </w:rPr>
        <w:lastRenderedPageBreak/>
        <w:t>System Center – todas as Licenças de Gerenciamento do Servidor (MLs), inclusive SMSE e SMSD com Software Assurance</w:t>
      </w:r>
      <w:bookmarkEnd w:id="855"/>
      <w:bookmarkEnd w:id="856"/>
      <w:bookmarkEnd w:id="857"/>
      <w:bookmarkEnd w:id="858"/>
      <w:bookmarkEnd w:id="859"/>
      <w:bookmarkEnd w:id="860"/>
      <w:bookmarkEnd w:id="861"/>
      <w:bookmarkEnd w:id="862"/>
      <w:bookmarkEnd w:id="863"/>
      <w:bookmarkEnd w:id="864"/>
      <w:bookmarkEnd w:id="865"/>
      <w:bookmarkEnd w:id="866"/>
      <w:bookmarkEnd w:id="867"/>
      <w:r w:rsidRPr="008D38F6">
        <w:rPr>
          <w:lang w:val="pt-BR"/>
        </w:rPr>
        <w:t xml:space="preserve"> e System Center 2012 Standard e Datacenter com Software Assurance</w:t>
      </w:r>
      <w:bookmarkEnd w:id="868"/>
      <w:bookmarkEnd w:id="869"/>
      <w:bookmarkEnd w:id="870"/>
      <w:bookmarkEnd w:id="871"/>
    </w:p>
    <w:p w:rsidR="002F0514" w:rsidRPr="008D38F6" w:rsidRDefault="002F0514" w:rsidP="002F0514">
      <w:pPr>
        <w:ind w:left="1080"/>
        <w:rPr>
          <w:lang w:val="pt-BR"/>
        </w:rPr>
      </w:pPr>
    </w:p>
    <w:p w:rsidR="004D4D43" w:rsidRPr="008D38F6" w:rsidRDefault="004D4D43" w:rsidP="002171C3">
      <w:pPr>
        <w:rPr>
          <w:lang w:val="pt-BR"/>
        </w:rPr>
      </w:pPr>
      <w:bookmarkStart w:id="872" w:name="_Toc294048016"/>
      <w:bookmarkStart w:id="873" w:name="_Toc294048573"/>
      <w:bookmarkStart w:id="874" w:name="_Toc294092644"/>
      <w:bookmarkStart w:id="875" w:name="_Toc295819324"/>
      <w:bookmarkStart w:id="876" w:name="_Toc298795975"/>
      <w:bookmarkStart w:id="877" w:name="_Toc299369851"/>
      <w:bookmarkStart w:id="878" w:name="_Toc300391562"/>
      <w:bookmarkStart w:id="879" w:name="_Toc301939839"/>
      <w:bookmarkStart w:id="880" w:name="_Toc304801236"/>
      <w:bookmarkStart w:id="881" w:name="_Toc307350405"/>
      <w:bookmarkStart w:id="882" w:name="_Toc308429816"/>
      <w:bookmarkStart w:id="883" w:name="_Toc312399284"/>
      <w:bookmarkStart w:id="884" w:name="_Toc315289091"/>
      <w:bookmarkStart w:id="885" w:name="_Toc317591247"/>
      <w:bookmarkStart w:id="886" w:name="_Toc323034200"/>
      <w:bookmarkStart w:id="887" w:name="_Toc325313200"/>
      <w:bookmarkStart w:id="888" w:name="_Toc325609223"/>
      <w:r w:rsidRPr="008D38F6">
        <w:rPr>
          <w:lang w:val="pt-BR"/>
        </w:rPr>
        <w:t>Para usar a Mobilidade de Licenças por meio do Software Assurance, os clientes devem:</w:t>
      </w:r>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rsidR="004D4D43" w:rsidRPr="008D38F6" w:rsidRDefault="004D4D43" w:rsidP="00F86E06">
      <w:pPr>
        <w:rPr>
          <w:lang w:val="pt-BR"/>
        </w:rPr>
      </w:pPr>
    </w:p>
    <w:p w:rsidR="004D4D43" w:rsidRPr="008D38F6" w:rsidRDefault="004D4D43" w:rsidP="002C1048">
      <w:pPr>
        <w:numPr>
          <w:ilvl w:val="0"/>
          <w:numId w:val="81"/>
        </w:numPr>
        <w:spacing w:after="60"/>
        <w:ind w:left="1440"/>
        <w:rPr>
          <w:lang w:val="pt-BR"/>
        </w:rPr>
      </w:pPr>
      <w:bookmarkStart w:id="889" w:name="_Toc294048017"/>
      <w:bookmarkStart w:id="890" w:name="_Toc294048574"/>
      <w:bookmarkStart w:id="891" w:name="_Toc294092645"/>
      <w:bookmarkStart w:id="892" w:name="_Toc295819325"/>
      <w:bookmarkStart w:id="893" w:name="_Toc298795976"/>
      <w:bookmarkStart w:id="894" w:name="_Toc299369852"/>
      <w:bookmarkStart w:id="895" w:name="_Toc300391563"/>
      <w:bookmarkStart w:id="896" w:name="_Toc301939840"/>
      <w:bookmarkStart w:id="897" w:name="_Toc304801237"/>
      <w:bookmarkStart w:id="898" w:name="_Toc307350406"/>
      <w:bookmarkStart w:id="899" w:name="_Toc308429817"/>
      <w:bookmarkStart w:id="900" w:name="_Toc312399285"/>
      <w:bookmarkStart w:id="901" w:name="_Toc315289092"/>
      <w:bookmarkStart w:id="902" w:name="_Toc317591248"/>
      <w:bookmarkStart w:id="903" w:name="_Toc323034201"/>
      <w:bookmarkStart w:id="904" w:name="_Toc325313201"/>
      <w:bookmarkStart w:id="905" w:name="_Toc325609224"/>
      <w:r w:rsidRPr="008D38F6">
        <w:rPr>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rsidR="004D4D43" w:rsidRPr="008D38F6" w:rsidRDefault="004D4D43" w:rsidP="002C1048">
      <w:pPr>
        <w:numPr>
          <w:ilvl w:val="0"/>
          <w:numId w:val="81"/>
        </w:numPr>
        <w:spacing w:after="60"/>
        <w:ind w:left="1440"/>
        <w:rPr>
          <w:lang w:val="pt-BR"/>
        </w:rPr>
      </w:pPr>
      <w:bookmarkStart w:id="906" w:name="_Toc294048018"/>
      <w:bookmarkStart w:id="907" w:name="_Toc294048575"/>
      <w:bookmarkStart w:id="908" w:name="_Toc294092646"/>
      <w:bookmarkStart w:id="909" w:name="_Toc295819326"/>
      <w:bookmarkStart w:id="910" w:name="_Toc298795977"/>
      <w:bookmarkStart w:id="911" w:name="_Toc299369853"/>
      <w:bookmarkStart w:id="912" w:name="_Toc300391564"/>
      <w:bookmarkStart w:id="913" w:name="_Toc301939841"/>
      <w:bookmarkStart w:id="914" w:name="_Toc304801238"/>
      <w:bookmarkStart w:id="915" w:name="_Toc307350407"/>
      <w:bookmarkStart w:id="916" w:name="_Toc308429818"/>
      <w:bookmarkStart w:id="917" w:name="_Toc312399286"/>
      <w:bookmarkStart w:id="918" w:name="_Toc315289093"/>
      <w:bookmarkStart w:id="919" w:name="_Toc317591249"/>
      <w:bookmarkStart w:id="920" w:name="_Toc323034202"/>
      <w:bookmarkStart w:id="921" w:name="_Toc325313202"/>
      <w:bookmarkStart w:id="922" w:name="_Toc325609225"/>
      <w:r w:rsidRPr="008D38F6">
        <w:rPr>
          <w:lang w:val="pt-BR"/>
        </w:rPr>
        <w:t>Qualquer atualização de Licença adquirida por meio do Software Assurance substitui a Licença subjacente. Uma lista de Mobilidade de Licenças qualificada por meio de Parceiros do Software Assurance está disponível no site http://www.microsoft.com/licensing/software-assurance/license-mobility e</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p>
    <w:p w:rsidR="004D4D43" w:rsidRPr="008D38F6" w:rsidRDefault="004D4D43" w:rsidP="002C1048">
      <w:pPr>
        <w:numPr>
          <w:ilvl w:val="0"/>
          <w:numId w:val="81"/>
        </w:numPr>
        <w:spacing w:after="60"/>
        <w:ind w:left="1440"/>
        <w:rPr>
          <w:lang w:val="pt-BR"/>
        </w:rPr>
      </w:pPr>
      <w:bookmarkStart w:id="923" w:name="_Toc294048019"/>
      <w:bookmarkStart w:id="924" w:name="_Toc294048576"/>
      <w:bookmarkStart w:id="925" w:name="_Toc294092647"/>
      <w:bookmarkStart w:id="926" w:name="_Toc295819327"/>
      <w:bookmarkStart w:id="927" w:name="_Toc298795978"/>
      <w:bookmarkStart w:id="928" w:name="_Toc299369854"/>
      <w:bookmarkStart w:id="929" w:name="_Toc300391565"/>
      <w:bookmarkStart w:id="930" w:name="_Toc301939842"/>
      <w:bookmarkStart w:id="931" w:name="_Toc304801239"/>
      <w:bookmarkStart w:id="932" w:name="_Toc307350408"/>
      <w:bookmarkStart w:id="933" w:name="_Toc308429819"/>
      <w:bookmarkStart w:id="934" w:name="_Toc312399287"/>
      <w:bookmarkStart w:id="935" w:name="_Toc315289094"/>
      <w:bookmarkStart w:id="936" w:name="_Toc317591250"/>
      <w:bookmarkStart w:id="937" w:name="_Toc323034203"/>
      <w:bookmarkStart w:id="938" w:name="_Toc325313203"/>
      <w:bookmarkStart w:id="939" w:name="_Toc325609226"/>
      <w:r w:rsidRPr="008D38F6">
        <w:rPr>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FB5496" w:rsidRPr="008D38F6">
        <w:rPr>
          <w:lang w:val="pt-BR"/>
        </w:rPr>
        <w:t xml:space="preserve"> </w:t>
      </w:r>
      <w:r w:rsidRPr="008D38F6">
        <w:rPr>
          <w:lang w:val="pt-BR"/>
        </w:rPr>
        <w:t>O formulário de Validação de Mobilidade de Licenças estará disponível para os clientes pelo Parceiro Qualificado da Mobilidade de Licenças por meio de Software Assurance.</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rsidR="004D4D43" w:rsidRPr="008D38F6" w:rsidRDefault="004D4D43" w:rsidP="002171C3">
      <w:pPr>
        <w:rPr>
          <w:lang w:val="pt-BR"/>
        </w:rPr>
      </w:pPr>
    </w:p>
    <w:p w:rsidR="004D4D43" w:rsidRPr="008D38F6" w:rsidRDefault="004D4D43" w:rsidP="002171C3">
      <w:pPr>
        <w:rPr>
          <w:lang w:val="pt-BR"/>
        </w:rPr>
      </w:pPr>
      <w:bookmarkStart w:id="940" w:name="_Toc294048020"/>
      <w:bookmarkStart w:id="941" w:name="_Toc294048577"/>
      <w:bookmarkStart w:id="942" w:name="_Toc294092648"/>
      <w:bookmarkStart w:id="943" w:name="_Toc295819328"/>
      <w:bookmarkStart w:id="944" w:name="_Toc298795979"/>
      <w:bookmarkStart w:id="945" w:name="_Toc299369855"/>
      <w:bookmarkStart w:id="946" w:name="_Toc300391566"/>
      <w:bookmarkStart w:id="947" w:name="_Toc301939843"/>
      <w:bookmarkStart w:id="948" w:name="_Toc304801240"/>
      <w:bookmarkStart w:id="949" w:name="_Toc307350409"/>
      <w:bookmarkStart w:id="950" w:name="_Toc308429820"/>
      <w:bookmarkStart w:id="951" w:name="_Toc312399288"/>
      <w:bookmarkStart w:id="952" w:name="_Toc317591251"/>
      <w:bookmarkStart w:id="953" w:name="_Toc323034204"/>
      <w:bookmarkStart w:id="954" w:name="_Toc325313204"/>
      <w:bookmarkStart w:id="955" w:name="_Toc325609227"/>
      <w:r w:rsidRPr="008D38F6">
        <w:rPr>
          <w:lang w:val="pt-BR"/>
        </w:rPr>
        <w:t>Os direitos dos clientes de executar o software licenciado e gerenciar OSEs em servidores compartilhados por terceiros expiram com a cobertura do Software Assurance naquelas licenças ou em seu acesso correspondente ou</w:t>
      </w:r>
      <w:r w:rsidR="00D06A55" w:rsidRPr="008D38F6">
        <w:rPr>
          <w:lang w:val="pt-BR"/>
        </w:rPr>
        <w:t> </w:t>
      </w:r>
      <w:r w:rsidRPr="008D38F6">
        <w:rPr>
          <w:lang w:val="pt-BR"/>
        </w:rPr>
        <w:t>licenças de gerenciamento.</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p>
    <w:p w:rsidR="004D4D43" w:rsidRPr="008D38F6" w:rsidRDefault="004D4D43" w:rsidP="0007218F">
      <w:pPr>
        <w:rPr>
          <w:lang w:val="pt-BR"/>
        </w:rPr>
      </w:pPr>
    </w:p>
    <w:p w:rsidR="00023FE7" w:rsidRPr="00416070" w:rsidRDefault="00023FE7" w:rsidP="0007218F">
      <w:pPr>
        <w:pStyle w:val="Heading3"/>
        <w:tabs>
          <w:tab w:val="num" w:pos="0"/>
        </w:tabs>
      </w:pPr>
      <w:bookmarkStart w:id="956" w:name="_Toc336338243"/>
      <w:bookmarkStart w:id="957" w:name="_Toc352234311"/>
      <w:r w:rsidRPr="00416070">
        <w:rPr>
          <w:rFonts w:ascii="Tahoma" w:hAnsi="Tahoma" w:cs="Tahoma"/>
          <w:sz w:val="24"/>
        </w:rPr>
        <w:t>Windows Thin PC</w:t>
      </w:r>
      <w:bookmarkEnd w:id="956"/>
      <w:bookmarkEnd w:id="957"/>
    </w:p>
    <w:p w:rsidR="00023FE7" w:rsidRPr="00416070" w:rsidRDefault="00023FE7" w:rsidP="0007218F">
      <w:pPr>
        <w:pStyle w:val="Heading3"/>
        <w:rPr>
          <w:rFonts w:ascii="Tahoma" w:hAnsi="Tahoma" w:cs="Tahoma"/>
          <w:b w:val="0"/>
          <w:sz w:val="18"/>
          <w:szCs w:val="18"/>
        </w:rPr>
      </w:pPr>
    </w:p>
    <w:p w:rsidR="0008414D" w:rsidRPr="008D38F6" w:rsidRDefault="0008414D" w:rsidP="0007218F">
      <w:pPr>
        <w:rPr>
          <w:lang w:val="pt-BR"/>
        </w:rPr>
      </w:pPr>
      <w:r w:rsidRPr="008D38F6">
        <w:rPr>
          <w:rFonts w:eastAsia="Calibri" w:cs="Tahoma"/>
          <w:szCs w:val="20"/>
          <w:lang w:val="pt-BR"/>
        </w:rPr>
        <w:t xml:space="preserve">Os clientes de Licenciamento por Volume com cobertura do Software Assurance ativa para o sistema operacional Windows Desktop ou licenças ativas para VDA ou Windows Intune </w:t>
      </w:r>
      <w:r w:rsidRPr="008D38F6">
        <w:rPr>
          <w:rFonts w:cs="Tahoma"/>
          <w:szCs w:val="18"/>
          <w:lang w:val="pt-BR"/>
        </w:rPr>
        <w:t xml:space="preserve">(Por Dispositivo) </w:t>
      </w:r>
      <w:r w:rsidRPr="008D38F6">
        <w:rPr>
          <w:rFonts w:eastAsia="Calibri" w:cs="Tahoma"/>
          <w:szCs w:val="20"/>
          <w:lang w:val="pt-BR"/>
        </w:rPr>
        <w:t>estão qualificados para o benefício.</w:t>
      </w:r>
      <w:r w:rsidR="00FB5496" w:rsidRPr="008D38F6">
        <w:rPr>
          <w:rFonts w:eastAsia="Calibri" w:cs="Tahoma"/>
          <w:szCs w:val="20"/>
          <w:lang w:val="pt-BR"/>
        </w:rPr>
        <w:t xml:space="preserve"> </w:t>
      </w:r>
      <w:r w:rsidRPr="008D38F6">
        <w:rPr>
          <w:rFonts w:eastAsia="Calibri" w:cs="Tahoma"/>
          <w:szCs w:val="20"/>
          <w:lang w:val="pt-BR"/>
        </w:rPr>
        <w:t xml:space="preserve">Os clientes que acessam esse benefício </w:t>
      </w:r>
      <w:r w:rsidRPr="008D38F6">
        <w:rPr>
          <w:rFonts w:eastAsia="Calibri" w:cs="Tahoma"/>
          <w:color w:val="000000"/>
          <w:szCs w:val="20"/>
          <w:lang w:val="pt-BR"/>
        </w:rPr>
        <w:t xml:space="preserve">de acordo com o </w:t>
      </w:r>
      <w:r w:rsidRPr="008D38F6">
        <w:rPr>
          <w:rFonts w:eastAsia="Calibri" w:cs="Tahoma"/>
          <w:szCs w:val="20"/>
          <w:lang w:val="pt-BR"/>
        </w:rPr>
        <w:t>VDA devem ter um sistema operacional qualificado</w:t>
      </w:r>
      <w:r w:rsidRPr="008D38F6">
        <w:rPr>
          <w:rFonts w:eastAsia="Calibri" w:cs="Tahoma"/>
          <w:color w:val="1F497D"/>
          <w:szCs w:val="20"/>
          <w:lang w:val="pt-BR"/>
        </w:rPr>
        <w:t xml:space="preserve"> </w:t>
      </w:r>
      <w:r w:rsidRPr="008D38F6">
        <w:rPr>
          <w:rFonts w:eastAsia="Calibri" w:cs="Tahoma"/>
          <w:color w:val="000000"/>
          <w:szCs w:val="20"/>
          <w:lang w:val="pt-BR"/>
        </w:rPr>
        <w:t>instalado em seu dispositivo licenciado d</w:t>
      </w:r>
      <w:r w:rsidRPr="008D38F6">
        <w:rPr>
          <w:rFonts w:eastAsia="Calibri" w:cs="Tahoma"/>
          <w:szCs w:val="20"/>
          <w:lang w:val="pt-BR"/>
        </w:rPr>
        <w:t>e acordo com a tabela de Sistemas Operacionais Qualificados nas</w:t>
      </w:r>
      <w:r w:rsidR="00D06A55" w:rsidRPr="008D38F6">
        <w:rPr>
          <w:rFonts w:eastAsia="Calibri" w:cs="Tahoma"/>
          <w:szCs w:val="20"/>
          <w:lang w:val="pt-BR"/>
        </w:rPr>
        <w:t> </w:t>
      </w:r>
      <w:r w:rsidRPr="008D38F6">
        <w:rPr>
          <w:rFonts w:eastAsia="Calibri" w:cs="Tahoma"/>
          <w:color w:val="000000"/>
          <w:szCs w:val="20"/>
          <w:lang w:val="pt-BR"/>
        </w:rPr>
        <w:t xml:space="preserve">Notas do Produto, </w:t>
      </w:r>
      <w:r w:rsidRPr="008D38F6">
        <w:rPr>
          <w:rFonts w:eastAsia="Calibri" w:cs="Tahoma"/>
          <w:szCs w:val="20"/>
          <w:lang w:val="pt-BR"/>
        </w:rPr>
        <w:t>seção Pool de Sistemas deste documento.</w:t>
      </w:r>
    </w:p>
    <w:p w:rsidR="0008414D" w:rsidRPr="008D38F6" w:rsidRDefault="0008414D" w:rsidP="0007218F">
      <w:pPr>
        <w:rPr>
          <w:lang w:val="pt-BR"/>
        </w:rPr>
      </w:pPr>
    </w:p>
    <w:p w:rsidR="0008414D" w:rsidRPr="008D38F6" w:rsidRDefault="0008414D" w:rsidP="0007218F">
      <w:pPr>
        <w:rPr>
          <w:lang w:val="pt-BR"/>
        </w:rPr>
      </w:pPr>
      <w:r w:rsidRPr="008D38F6">
        <w:rPr>
          <w:rFonts w:eastAsia="Calibri" w:cs="Tahoma"/>
          <w:szCs w:val="20"/>
          <w:lang w:val="pt-BR"/>
        </w:rPr>
        <w:t>O Windows Thin PC é uma solução de sistema operacional com base no Windows de superfície menor desenvolvido para os clientes que gostariam de adaptar seus PCs com Windows 8 existentes</w:t>
      </w:r>
      <w:r w:rsidRPr="008D38F6">
        <w:rPr>
          <w:rFonts w:eastAsia="Calibri" w:cs="Tahoma"/>
          <w:color w:val="1F497D"/>
          <w:szCs w:val="20"/>
          <w:lang w:val="pt-BR"/>
        </w:rPr>
        <w:t xml:space="preserve"> </w:t>
      </w:r>
      <w:r w:rsidRPr="008D38F6">
        <w:rPr>
          <w:rFonts w:eastAsia="Calibri" w:cs="Tahoma"/>
          <w:szCs w:val="20"/>
          <w:lang w:val="pt-BR"/>
        </w:rPr>
        <w:t>para se conectar a um desktop centralizado sem ter que comprar novo hardware thin client.</w:t>
      </w:r>
      <w:r w:rsidR="00FB5496" w:rsidRPr="008D38F6">
        <w:rPr>
          <w:rFonts w:eastAsia="Calibri" w:cs="Tahoma"/>
          <w:szCs w:val="20"/>
          <w:lang w:val="pt-BR"/>
        </w:rPr>
        <w:t xml:space="preserve"> </w:t>
      </w:r>
      <w:r w:rsidRPr="008D38F6">
        <w:rPr>
          <w:rFonts w:eastAsia="Calibri" w:cs="Tahoma"/>
          <w:szCs w:val="20"/>
          <w:lang w:val="pt-BR"/>
        </w:rPr>
        <w:t>Os clientes qualificados podem usar o Windows Thin PC</w:t>
      </w:r>
      <w:r w:rsidR="00D06A55" w:rsidRPr="008D38F6">
        <w:rPr>
          <w:rFonts w:eastAsia="Calibri" w:cs="Tahoma"/>
          <w:szCs w:val="20"/>
          <w:lang w:val="pt-BR"/>
        </w:rPr>
        <w:t> </w:t>
      </w:r>
      <w:r w:rsidRPr="008D38F6">
        <w:rPr>
          <w:rFonts w:eastAsia="Calibri" w:cs="Tahoma"/>
          <w:szCs w:val="20"/>
          <w:lang w:val="pt-BR"/>
        </w:rPr>
        <w:t>no lugar de instâncias do sistema operacional Windows Desktop que têm permissão para serem usados sob a</w:t>
      </w:r>
      <w:r w:rsidR="00D06A55" w:rsidRPr="008D38F6">
        <w:rPr>
          <w:rFonts w:eastAsia="Calibri" w:cs="Tahoma"/>
          <w:szCs w:val="20"/>
          <w:lang w:val="pt-BR"/>
        </w:rPr>
        <w:t> </w:t>
      </w:r>
      <w:r w:rsidRPr="008D38F6">
        <w:rPr>
          <w:rFonts w:eastAsia="Calibri" w:cs="Tahoma"/>
          <w:szCs w:val="20"/>
          <w:lang w:val="pt-BR"/>
        </w:rPr>
        <w:t xml:space="preserve">cobertura do Windows Software Assurance, Windows Intune </w:t>
      </w:r>
      <w:r w:rsidRPr="008D38F6">
        <w:rPr>
          <w:rFonts w:cs="Tahoma"/>
          <w:szCs w:val="18"/>
          <w:lang w:val="pt-BR"/>
        </w:rPr>
        <w:t>(Por Dispositivo)</w:t>
      </w:r>
      <w:r w:rsidRPr="008D38F6">
        <w:rPr>
          <w:rFonts w:eastAsia="Calibri" w:cs="Tahoma"/>
          <w:color w:val="000000"/>
          <w:szCs w:val="20"/>
          <w:lang w:val="pt-BR"/>
        </w:rPr>
        <w:t xml:space="preserve"> ou licenças do Windows </w:t>
      </w:r>
      <w:r w:rsidRPr="008D38F6">
        <w:rPr>
          <w:rFonts w:eastAsia="Calibri" w:cs="Tahoma"/>
          <w:szCs w:val="20"/>
          <w:lang w:val="pt-BR"/>
        </w:rPr>
        <w:t>VDA.</w:t>
      </w:r>
      <w:r w:rsidR="00FB5496" w:rsidRPr="008D38F6">
        <w:rPr>
          <w:rFonts w:eastAsia="Calibri" w:cs="Tahoma"/>
          <w:szCs w:val="20"/>
          <w:lang w:val="pt-BR"/>
        </w:rPr>
        <w:t xml:space="preserve"> </w:t>
      </w:r>
      <w:r w:rsidRPr="008D38F6">
        <w:rPr>
          <w:rFonts w:eastAsia="Calibri" w:cs="Tahoma"/>
          <w:szCs w:val="20"/>
          <w:lang w:val="pt-BR"/>
        </w:rPr>
        <w:t>O</w:t>
      </w:r>
      <w:r w:rsidR="00D06A55" w:rsidRPr="008D38F6">
        <w:rPr>
          <w:rFonts w:eastAsia="Calibri" w:cs="Tahoma"/>
          <w:szCs w:val="20"/>
          <w:lang w:val="pt-BR"/>
        </w:rPr>
        <w:t> </w:t>
      </w:r>
      <w:r w:rsidRPr="008D38F6">
        <w:rPr>
          <w:rFonts w:eastAsia="Calibri" w:cs="Tahoma"/>
          <w:szCs w:val="20"/>
          <w:lang w:val="pt-BR"/>
        </w:rPr>
        <w:t>uso</w:t>
      </w:r>
      <w:r w:rsidR="00D06A55" w:rsidRPr="008D38F6">
        <w:rPr>
          <w:rFonts w:eastAsia="Calibri" w:cs="Tahoma"/>
          <w:szCs w:val="20"/>
          <w:lang w:val="pt-BR"/>
        </w:rPr>
        <w:t> </w:t>
      </w:r>
      <w:r w:rsidRPr="008D38F6">
        <w:rPr>
          <w:rFonts w:eastAsia="Calibri" w:cs="Tahoma"/>
          <w:szCs w:val="20"/>
          <w:lang w:val="pt-BR"/>
        </w:rPr>
        <w:t>do Windows Thin PC pelos clientes está sujeito aos termos e condições de seus contratos de licença.</w:t>
      </w:r>
    </w:p>
    <w:p w:rsidR="00023FE7" w:rsidRPr="008D38F6" w:rsidRDefault="00023FE7" w:rsidP="0007218F">
      <w:pPr>
        <w:rPr>
          <w:lang w:val="pt-BR"/>
        </w:rPr>
      </w:pPr>
    </w:p>
    <w:p w:rsidR="00F30075" w:rsidRPr="008D38F6" w:rsidRDefault="00F30075" w:rsidP="0007218F">
      <w:pPr>
        <w:outlineLvl w:val="2"/>
        <w:rPr>
          <w:lang w:val="pt-BR"/>
        </w:rPr>
      </w:pPr>
      <w:bookmarkStart w:id="958" w:name="_Toc291204568"/>
      <w:r w:rsidRPr="008D38F6">
        <w:rPr>
          <w:rFonts w:cs="Tahoma"/>
          <w:b/>
          <w:sz w:val="24"/>
          <w:szCs w:val="20"/>
          <w:lang w:val="pt-BR"/>
        </w:rPr>
        <w:t>Suporte Estendido a Hotfix</w:t>
      </w:r>
      <w:bookmarkEnd w:id="958"/>
    </w:p>
    <w:p w:rsidR="00F30075" w:rsidRPr="008D38F6" w:rsidRDefault="00F30075" w:rsidP="0007218F">
      <w:pPr>
        <w:outlineLvl w:val="2"/>
        <w:rPr>
          <w:lang w:val="pt-BR"/>
        </w:rPr>
      </w:pPr>
    </w:p>
    <w:p w:rsidR="00F30075" w:rsidRPr="008D38F6" w:rsidRDefault="00F30075" w:rsidP="00F30075">
      <w:pPr>
        <w:rPr>
          <w:lang w:val="pt-BR"/>
        </w:rPr>
      </w:pPr>
      <w:r w:rsidRPr="008D38F6">
        <w:rPr>
          <w:rFonts w:cs="Tahoma"/>
          <w:lang w:val="pt-BR"/>
        </w:rPr>
        <w:t>O Suporte Estendido a Hotfix está disponível para os clientes a seguir:</w:t>
      </w:r>
    </w:p>
    <w:p w:rsidR="0007218F" w:rsidRPr="008D38F6" w:rsidRDefault="0007218F" w:rsidP="00F30075">
      <w:pPr>
        <w:rPr>
          <w:lang w:val="pt-BR"/>
        </w:rPr>
      </w:pPr>
    </w:p>
    <w:p w:rsidR="00F30075" w:rsidRPr="008D38F6" w:rsidRDefault="00F30075" w:rsidP="002C1048">
      <w:pPr>
        <w:numPr>
          <w:ilvl w:val="0"/>
          <w:numId w:val="62"/>
        </w:numPr>
        <w:spacing w:after="60"/>
        <w:ind w:left="1440"/>
        <w:contextualSpacing/>
        <w:jc w:val="both"/>
        <w:rPr>
          <w:lang w:val="pt-BR"/>
        </w:rPr>
      </w:pPr>
      <w:r w:rsidRPr="008D38F6">
        <w:rPr>
          <w:rFonts w:eastAsia="Calibri" w:cs="Tahoma"/>
          <w:szCs w:val="18"/>
          <w:lang w:val="pt-BR"/>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rsidR="00F30075" w:rsidRPr="008D38F6" w:rsidRDefault="00F30075" w:rsidP="002C1048">
      <w:pPr>
        <w:numPr>
          <w:ilvl w:val="0"/>
          <w:numId w:val="62"/>
        </w:numPr>
        <w:spacing w:after="60"/>
        <w:ind w:left="1440"/>
        <w:jc w:val="both"/>
        <w:rPr>
          <w:lang w:val="pt-BR"/>
        </w:rPr>
      </w:pPr>
      <w:r w:rsidRPr="008D38F6">
        <w:rPr>
          <w:rFonts w:cs="Tahoma"/>
          <w:szCs w:val="18"/>
          <w:lang w:val="pt-BR"/>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w:t>
      </w:r>
      <w:r w:rsidR="00D06A55" w:rsidRPr="008D38F6">
        <w:rPr>
          <w:rFonts w:cs="Tahoma"/>
          <w:szCs w:val="18"/>
          <w:lang w:val="pt-BR"/>
        </w:rPr>
        <w:t> </w:t>
      </w:r>
      <w:r w:rsidRPr="008D38F6">
        <w:rPr>
          <w:rFonts w:cs="Tahoma"/>
          <w:szCs w:val="18"/>
          <w:lang w:val="pt-BR"/>
        </w:rPr>
        <w:t>Hotfix para sistema operacional de desktop Windows</w:t>
      </w:r>
    </w:p>
    <w:p w:rsidR="00F30075" w:rsidRPr="008D38F6" w:rsidRDefault="00F30075" w:rsidP="002C1048">
      <w:pPr>
        <w:numPr>
          <w:ilvl w:val="0"/>
          <w:numId w:val="62"/>
        </w:numPr>
        <w:spacing w:after="60"/>
        <w:ind w:left="1440"/>
        <w:jc w:val="both"/>
        <w:rPr>
          <w:lang w:val="pt-BR"/>
        </w:rPr>
      </w:pPr>
      <w:r w:rsidRPr="008D38F6">
        <w:rPr>
          <w:rFonts w:cs="Tahoma"/>
          <w:szCs w:val="18"/>
          <w:lang w:val="pt-BR"/>
        </w:rPr>
        <w:t>Os clientes com assinaturas ativas do Windows Intune (Por Dispositivo) estão qualificados para o</w:t>
      </w:r>
      <w:r w:rsidR="00D06A55" w:rsidRPr="008D38F6">
        <w:rPr>
          <w:rFonts w:cs="Tahoma"/>
          <w:szCs w:val="18"/>
          <w:lang w:val="pt-BR"/>
        </w:rPr>
        <w:t> </w:t>
      </w:r>
      <w:r w:rsidRPr="008D38F6">
        <w:rPr>
          <w:rFonts w:cs="Tahoma"/>
          <w:szCs w:val="18"/>
          <w:lang w:val="pt-BR"/>
        </w:rPr>
        <w:t>Suporte Estendido a Hotfix do sistema operacional de desktop Windows</w:t>
      </w:r>
    </w:p>
    <w:p w:rsidR="0007218F" w:rsidRPr="00416070" w:rsidRDefault="007627B7" w:rsidP="002C1048">
      <w:pPr>
        <w:numPr>
          <w:ilvl w:val="0"/>
          <w:numId w:val="62"/>
        </w:numPr>
        <w:spacing w:after="60"/>
        <w:ind w:left="1440"/>
        <w:contextualSpacing/>
      </w:pPr>
      <w:r w:rsidRPr="008D38F6">
        <w:rPr>
          <w:rFonts w:eastAsia="Calibri" w:cs="Tahoma"/>
          <w:szCs w:val="18"/>
          <w:lang w:val="pt-BR"/>
        </w:rPr>
        <w:t>Os clientes (que não forem do Academic) com Software Assurance em pelo menos um produto de</w:t>
      </w:r>
      <w:r w:rsidR="00D06A55" w:rsidRPr="008D38F6">
        <w:rPr>
          <w:rFonts w:eastAsia="Calibri" w:cs="Tahoma"/>
          <w:szCs w:val="18"/>
          <w:lang w:val="pt-BR"/>
        </w:rPr>
        <w:t> </w:t>
      </w:r>
      <w:r w:rsidRPr="008D38F6">
        <w:rPr>
          <w:rFonts w:eastAsia="Calibri" w:cs="Tahoma"/>
          <w:szCs w:val="18"/>
          <w:lang w:val="pt-BR"/>
        </w:rPr>
        <w:t>servidor estão qualificados para o Suporte Estendido a Hotfix para produtos de Servidor.</w:t>
      </w:r>
      <w:r w:rsidR="00FB5496" w:rsidRPr="008D38F6">
        <w:rPr>
          <w:rFonts w:eastAsia="Calibri" w:cs="Tahoma"/>
          <w:szCs w:val="18"/>
          <w:lang w:val="pt-BR"/>
        </w:rPr>
        <w:t xml:space="preserve"> </w:t>
      </w:r>
      <w:r w:rsidRPr="00416070">
        <w:rPr>
          <w:rFonts w:cs="Tahoma"/>
          <w:szCs w:val="18"/>
        </w:rPr>
        <w:t>Os</w:t>
      </w:r>
      <w:r w:rsidR="00D06A55" w:rsidRPr="00416070">
        <w:rPr>
          <w:rFonts w:cs="Tahoma"/>
          <w:szCs w:val="18"/>
        </w:rPr>
        <w:t> </w:t>
      </w:r>
      <w:r w:rsidRPr="00416070">
        <w:rPr>
          <w:rFonts w:cs="Tahoma"/>
          <w:szCs w:val="18"/>
        </w:rPr>
        <w:t>produtos de servidor a seguir têm cobertura:</w:t>
      </w:r>
    </w:p>
    <w:p w:rsidR="007627B7" w:rsidRPr="00416070" w:rsidRDefault="007627B7" w:rsidP="002C1048">
      <w:pPr>
        <w:numPr>
          <w:ilvl w:val="2"/>
          <w:numId w:val="62"/>
        </w:numPr>
        <w:spacing w:after="60"/>
        <w:ind w:left="1980"/>
        <w:contextualSpacing/>
      </w:pPr>
      <w:r w:rsidRPr="00416070">
        <w:rPr>
          <w:rFonts w:cs="Tahoma"/>
          <w:iCs/>
          <w:color w:val="000000"/>
          <w:szCs w:val="18"/>
        </w:rPr>
        <w:t>Microsoft Exchange Server, Microsoft SQL Server, System Center 2012 e Windows Server.</w:t>
      </w:r>
    </w:p>
    <w:p w:rsidR="00023FE7" w:rsidRPr="008D38F6" w:rsidRDefault="00023FE7">
      <w:pPr>
        <w:rPr>
          <w:lang w:val="pt-BR"/>
        </w:rPr>
      </w:pPr>
      <w:r w:rsidRPr="008D38F6">
        <w:rPr>
          <w:rFonts w:cs="Tahoma"/>
          <w:szCs w:val="18"/>
          <w:lang w:val="pt-BR"/>
        </w:rPr>
        <w:lastRenderedPageBreak/>
        <w:t>O Suporte Estendido a Hotfix é um benefício para versões de software mais antigas que fizeram a transição de Suporte Base para Suporte Estendido.</w:t>
      </w:r>
      <w:r w:rsidR="00FB5496" w:rsidRPr="008D38F6">
        <w:rPr>
          <w:rFonts w:cs="Tahoma"/>
          <w:szCs w:val="18"/>
          <w:lang w:val="pt-BR"/>
        </w:rPr>
        <w:t xml:space="preserve"> </w:t>
      </w:r>
      <w:r w:rsidRPr="008D38F6">
        <w:rPr>
          <w:rFonts w:cs="Tahoma"/>
          <w:szCs w:val="18"/>
          <w:lang w:val="pt-BR"/>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 período de 90 dias da transição de um produto para o Suporte Estendido.</w:t>
      </w:r>
    </w:p>
    <w:p w:rsidR="00023FE7" w:rsidRPr="008D38F6" w:rsidRDefault="00023FE7">
      <w:pPr>
        <w:rPr>
          <w:lang w:val="pt-BR"/>
        </w:rPr>
      </w:pPr>
    </w:p>
    <w:p w:rsidR="00023FE7" w:rsidRPr="008D38F6" w:rsidRDefault="00023FE7">
      <w:pPr>
        <w:rPr>
          <w:lang w:val="pt-BR"/>
        </w:rPr>
      </w:pPr>
      <w:r w:rsidRPr="008D38F6">
        <w:rPr>
          <w:rStyle w:val="PageNumber"/>
          <w:rFonts w:cs="Tahoma"/>
          <w:szCs w:val="18"/>
          <w:lang w:val="pt-BR"/>
        </w:rPr>
        <w:t>O</w:t>
      </w:r>
      <w:r w:rsidRPr="008D38F6">
        <w:rPr>
          <w:rFonts w:cs="Tahoma"/>
          <w:szCs w:val="18"/>
          <w:lang w:val="pt-BR"/>
        </w:rPr>
        <w:t>s clientes são responsáveis pelos valores de Hotfixes individuais.</w:t>
      </w:r>
      <w:r w:rsidR="00FB5496" w:rsidRPr="008D38F6">
        <w:rPr>
          <w:rFonts w:cs="Tahoma"/>
          <w:szCs w:val="18"/>
          <w:lang w:val="pt-BR"/>
        </w:rPr>
        <w:t xml:space="preserve"> </w:t>
      </w:r>
      <w:r w:rsidRPr="008D38F6">
        <w:rPr>
          <w:rFonts w:cs="Tahoma"/>
          <w:szCs w:val="18"/>
          <w:lang w:val="pt-BR"/>
        </w:rPr>
        <w:t>Um contrato de Suporte Premier ou Essential é</w:t>
      </w:r>
      <w:r w:rsidR="00D06A55" w:rsidRPr="008D38F6">
        <w:rPr>
          <w:rFonts w:cs="Tahoma"/>
          <w:szCs w:val="18"/>
          <w:lang w:val="pt-BR"/>
        </w:rPr>
        <w:t> </w:t>
      </w:r>
      <w:r w:rsidRPr="008D38F6">
        <w:rPr>
          <w:rFonts w:cs="Tahoma"/>
          <w:szCs w:val="18"/>
          <w:lang w:val="pt-BR"/>
        </w:rPr>
        <w:t>uma pré-requisito para a qualificação.</w:t>
      </w:r>
    </w:p>
    <w:p w:rsidR="000429EF" w:rsidRPr="007E2720" w:rsidRDefault="000429EF">
      <w:pPr>
        <w:pStyle w:val="Heading3"/>
        <w:rPr>
          <w:rFonts w:ascii="Tahoma" w:hAnsi="Tahoma" w:cs="Tahoma"/>
          <w:b w:val="0"/>
          <w:bCs/>
          <w:sz w:val="18"/>
          <w:szCs w:val="18"/>
        </w:rPr>
      </w:pPr>
    </w:p>
    <w:p w:rsidR="00023FE7" w:rsidRPr="00416070" w:rsidRDefault="00023FE7">
      <w:pPr>
        <w:pStyle w:val="Heading3"/>
      </w:pPr>
      <w:bookmarkStart w:id="959" w:name="_Toc336338244"/>
      <w:bookmarkStart w:id="960" w:name="_Toc352234312"/>
      <w:r w:rsidRPr="00416070">
        <w:rPr>
          <w:rFonts w:ascii="Tahoma" w:hAnsi="Tahoma" w:cs="Tahoma"/>
          <w:sz w:val="24"/>
        </w:rPr>
        <w:t>Microsoft Desktop Optimization Pack para Software Assurance</w:t>
      </w:r>
      <w:bookmarkEnd w:id="959"/>
      <w:bookmarkEnd w:id="960"/>
    </w:p>
    <w:p w:rsidR="00023FE7" w:rsidRPr="00416070" w:rsidRDefault="00023FE7"/>
    <w:p w:rsidR="00F30075" w:rsidRPr="008D38F6" w:rsidRDefault="00F30075" w:rsidP="00F30075">
      <w:pPr>
        <w:rPr>
          <w:lang w:val="pt-BR"/>
        </w:rPr>
      </w:pPr>
      <w:r w:rsidRPr="008D38F6">
        <w:rPr>
          <w:rFonts w:eastAsia="MS PGothic" w:cs="Tahoma"/>
          <w:szCs w:val="18"/>
          <w:lang w:val="pt-BR"/>
        </w:rPr>
        <w:t>O Microsoft Desktop Optimization Pack for Software Assurance (MDOP) é uma compra opcional disponível apenas para os clientes que possuem o seguinte:</w:t>
      </w:r>
    </w:p>
    <w:p w:rsidR="00E762F8" w:rsidRPr="008D38F6" w:rsidRDefault="00E762F8" w:rsidP="00F30075">
      <w:pPr>
        <w:rPr>
          <w:lang w:val="pt-BR"/>
        </w:rPr>
      </w:pPr>
    </w:p>
    <w:p w:rsidR="00F30075" w:rsidRPr="008D38F6" w:rsidRDefault="00F30075" w:rsidP="002C1048">
      <w:pPr>
        <w:numPr>
          <w:ilvl w:val="0"/>
          <w:numId w:val="61"/>
        </w:numPr>
        <w:spacing w:after="60" w:line="276" w:lineRule="auto"/>
        <w:ind w:left="1440" w:hanging="274"/>
        <w:rPr>
          <w:lang w:val="pt-BR"/>
        </w:rPr>
      </w:pPr>
      <w:r w:rsidRPr="008D38F6">
        <w:rPr>
          <w:rFonts w:eastAsia="MS PGothic" w:cs="Tahoma"/>
          <w:szCs w:val="18"/>
          <w:lang w:val="pt-BR"/>
        </w:rPr>
        <w:t>Software Assurance ativo para suas licenças do sistema operacional de desktop Windows</w:t>
      </w:r>
    </w:p>
    <w:p w:rsidR="00F30075" w:rsidRPr="008D38F6" w:rsidRDefault="00F30075" w:rsidP="002C1048">
      <w:pPr>
        <w:numPr>
          <w:ilvl w:val="0"/>
          <w:numId w:val="61"/>
        </w:numPr>
        <w:spacing w:after="60" w:line="276" w:lineRule="auto"/>
        <w:ind w:left="1440" w:hanging="274"/>
        <w:rPr>
          <w:lang w:val="pt-BR"/>
        </w:rPr>
      </w:pPr>
      <w:r w:rsidRPr="008D38F6">
        <w:rPr>
          <w:rFonts w:eastAsia="MS PGothic" w:cs="Tahoma"/>
          <w:szCs w:val="18"/>
          <w:lang w:val="pt-BR"/>
        </w:rPr>
        <w:t>Assinaturas ativas do Windows Virtual Desktop Access ou</w:t>
      </w:r>
    </w:p>
    <w:p w:rsidR="00F30075" w:rsidRPr="008D38F6" w:rsidRDefault="00F30075" w:rsidP="002C1048">
      <w:pPr>
        <w:numPr>
          <w:ilvl w:val="0"/>
          <w:numId w:val="61"/>
        </w:numPr>
        <w:spacing w:after="60" w:line="276" w:lineRule="auto"/>
        <w:ind w:left="1440" w:hanging="274"/>
        <w:rPr>
          <w:lang w:val="pt-BR"/>
        </w:rPr>
      </w:pPr>
      <w:r w:rsidRPr="008D38F6">
        <w:rPr>
          <w:rFonts w:eastAsia="MS PGothic" w:cs="Tahoma"/>
          <w:szCs w:val="18"/>
          <w:lang w:val="pt-BR"/>
        </w:rPr>
        <w:t xml:space="preserve">Assinaturas ativas do Windows Intune </w:t>
      </w:r>
      <w:r w:rsidRPr="008D38F6">
        <w:rPr>
          <w:rFonts w:cs="Tahoma"/>
          <w:szCs w:val="18"/>
          <w:lang w:val="pt-BR"/>
        </w:rPr>
        <w:t>(Por Dispositivo) ou</w:t>
      </w:r>
    </w:p>
    <w:p w:rsidR="00421D4A" w:rsidRPr="008D38F6" w:rsidRDefault="00421D4A" w:rsidP="00737831">
      <w:pPr>
        <w:numPr>
          <w:ilvl w:val="0"/>
          <w:numId w:val="61"/>
        </w:numPr>
        <w:spacing w:after="200" w:line="276" w:lineRule="auto"/>
        <w:ind w:left="1440" w:hanging="270"/>
        <w:rPr>
          <w:lang w:val="pt-BR"/>
        </w:rPr>
      </w:pPr>
      <w:r w:rsidRPr="008D38F6">
        <w:rPr>
          <w:rFonts w:eastAsia="MS PGothic" w:cs="Tahoma"/>
          <w:color w:val="000000"/>
          <w:szCs w:val="18"/>
          <w:lang w:val="pt-BR"/>
        </w:rPr>
        <w:t xml:space="preserve">Assinaturas ativas para </w:t>
      </w:r>
      <w:r w:rsidRPr="008D38F6">
        <w:rPr>
          <w:rFonts w:eastAsia="MS PGothic" w:cs="Tahoma"/>
          <w:szCs w:val="18"/>
          <w:lang w:val="pt-BR"/>
        </w:rPr>
        <w:t>Licença de Assinatura do Windows Companion</w:t>
      </w:r>
    </w:p>
    <w:p w:rsidR="00023FE7" w:rsidRPr="008D38F6" w:rsidRDefault="008C0608">
      <w:pPr>
        <w:rPr>
          <w:lang w:val="pt-BR"/>
        </w:rPr>
      </w:pPr>
      <w:r w:rsidRPr="008D38F6">
        <w:rPr>
          <w:rFonts w:eastAsia="MS PGothic" w:cs="Tahoma"/>
          <w:szCs w:val="18"/>
          <w:lang w:val="pt-BR"/>
        </w:rPr>
        <w:t xml:space="preserve"> </w:t>
      </w:r>
    </w:p>
    <w:p w:rsidR="00023FE7" w:rsidRPr="008D38F6" w:rsidRDefault="00023FE7">
      <w:pPr>
        <w:rPr>
          <w:lang w:val="pt-BR"/>
        </w:rPr>
      </w:pPr>
      <w:r w:rsidRPr="008D38F6">
        <w:rPr>
          <w:rFonts w:eastAsia="MS PGothic" w:cs="Tahoma"/>
          <w:color w:val="000000"/>
          <w:szCs w:val="18"/>
          <w:lang w:val="pt-BR"/>
        </w:rPr>
        <w:t>Para obter mais informações sobre esse produto, consulte as Notas do Produto na seção de pool de sistemas deste</w:t>
      </w:r>
      <w:r w:rsidR="00554B85" w:rsidRPr="008D38F6">
        <w:rPr>
          <w:rFonts w:eastAsia="MS PGothic" w:cs="Tahoma"/>
          <w:color w:val="000000"/>
          <w:szCs w:val="18"/>
          <w:lang w:val="pt-BR"/>
        </w:rPr>
        <w:t> </w:t>
      </w:r>
      <w:r w:rsidR="007E2720" w:rsidRPr="008D38F6">
        <w:rPr>
          <w:rFonts w:eastAsia="MS PGothic" w:cs="Tahoma"/>
          <w:color w:val="000000"/>
          <w:szCs w:val="18"/>
          <w:lang w:val="pt-BR"/>
        </w:rPr>
        <w:t>documento.</w:t>
      </w:r>
    </w:p>
    <w:p w:rsidR="00023FE7" w:rsidRPr="008D38F6" w:rsidRDefault="00023FE7">
      <w:pPr>
        <w:rPr>
          <w:lang w:val="pt-BR"/>
        </w:rPr>
      </w:pPr>
    </w:p>
    <w:p w:rsidR="002D7B73" w:rsidRPr="008D38F6" w:rsidRDefault="008C0608" w:rsidP="002D7B73">
      <w:pPr>
        <w:rPr>
          <w:lang w:val="pt-BR"/>
        </w:rPr>
      </w:pPr>
      <w:r w:rsidRPr="008D38F6">
        <w:rPr>
          <w:rFonts w:cs="Tahoma"/>
          <w:b/>
          <w:color w:val="000000"/>
          <w:sz w:val="24"/>
          <w:szCs w:val="18"/>
          <w:lang w:val="pt-BR"/>
        </w:rPr>
        <w:t>Direitos de Virtualização para Desktops Windows Licenciados</w:t>
      </w:r>
    </w:p>
    <w:p w:rsidR="0043735F" w:rsidRPr="008D38F6" w:rsidRDefault="0043735F" w:rsidP="008C0608">
      <w:pPr>
        <w:rPr>
          <w:lang w:val="pt-BR"/>
        </w:rPr>
      </w:pPr>
    </w:p>
    <w:p w:rsidR="008C0608" w:rsidRPr="008D38F6" w:rsidRDefault="008C0608" w:rsidP="008C0608">
      <w:pPr>
        <w:rPr>
          <w:lang w:val="pt-BR"/>
        </w:rPr>
      </w:pPr>
      <w:r w:rsidRPr="008D38F6">
        <w:rPr>
          <w:rFonts w:cs="Tahoma"/>
          <w:color w:val="000000"/>
          <w:szCs w:val="18"/>
          <w:lang w:val="pt-BR"/>
        </w:rPr>
        <w:t>Os clientes de Licenciamento por Volume possuem um pouco de flexibilidade na maneira como podem implantar o</w:t>
      </w:r>
      <w:r w:rsidR="00D06A55" w:rsidRPr="008D38F6">
        <w:rPr>
          <w:rFonts w:cs="Tahoma"/>
          <w:color w:val="000000"/>
          <w:szCs w:val="18"/>
          <w:lang w:val="pt-BR"/>
        </w:rPr>
        <w:t> </w:t>
      </w:r>
      <w:r w:rsidRPr="008D38F6">
        <w:rPr>
          <w:rFonts w:cs="Tahoma"/>
          <w:color w:val="000000"/>
          <w:szCs w:val="18"/>
          <w:lang w:val="pt-BR"/>
        </w:rPr>
        <w:t>Windows 8 em suas organizações.</w:t>
      </w:r>
    </w:p>
    <w:p w:rsidR="008C0608" w:rsidRPr="008D38F6" w:rsidRDefault="008C0608" w:rsidP="008C0608">
      <w:pPr>
        <w:jc w:val="both"/>
        <w:rPr>
          <w:lang w:val="pt-BR"/>
        </w:rPr>
      </w:pPr>
      <w:r w:rsidRPr="008D38F6">
        <w:rPr>
          <w:rFonts w:cs="Tahoma"/>
          <w:szCs w:val="18"/>
          <w:lang w:val="pt-BR"/>
        </w:rPr>
        <w:t>Os clientes que tiverem um ou ambos dos seguintes produtos podem aproveitar os direitos de uso da virtualização:</w:t>
      </w:r>
    </w:p>
    <w:p w:rsidR="00BF1889" w:rsidRPr="008D38F6" w:rsidRDefault="00BF1889" w:rsidP="008C0608">
      <w:pPr>
        <w:jc w:val="both"/>
        <w:rPr>
          <w:lang w:val="pt-BR"/>
        </w:rPr>
      </w:pPr>
    </w:p>
    <w:p w:rsidR="00F30075" w:rsidRPr="008D38F6" w:rsidRDefault="00F30075" w:rsidP="002C1048">
      <w:pPr>
        <w:numPr>
          <w:ilvl w:val="0"/>
          <w:numId w:val="51"/>
        </w:numPr>
        <w:spacing w:after="60" w:line="276" w:lineRule="auto"/>
        <w:ind w:left="1440"/>
        <w:rPr>
          <w:lang w:val="pt-BR"/>
        </w:rPr>
      </w:pPr>
      <w:r w:rsidRPr="008D38F6">
        <w:rPr>
          <w:rFonts w:eastAsia="MS PGothic" w:cs="Tahoma"/>
          <w:szCs w:val="18"/>
          <w:lang w:val="pt-BR"/>
        </w:rPr>
        <w:t>Software Assurance ativo para suas licenças do sistema operacional de desktop Windows</w:t>
      </w:r>
    </w:p>
    <w:p w:rsidR="00AC246A" w:rsidRPr="008D38F6" w:rsidRDefault="00F30075" w:rsidP="002C1048">
      <w:pPr>
        <w:numPr>
          <w:ilvl w:val="0"/>
          <w:numId w:val="51"/>
        </w:numPr>
        <w:spacing w:after="60" w:line="276" w:lineRule="auto"/>
        <w:ind w:left="1440"/>
        <w:jc w:val="both"/>
        <w:rPr>
          <w:lang w:val="pt-BR"/>
        </w:rPr>
      </w:pPr>
      <w:r w:rsidRPr="008D38F6">
        <w:rPr>
          <w:rFonts w:cs="Tahoma"/>
          <w:szCs w:val="18"/>
          <w:lang w:val="pt-BR"/>
        </w:rPr>
        <w:t>Benefício de Serviços Online fornecidos com compras do Windows Intune (Por Dispositivo)</w:t>
      </w:r>
    </w:p>
    <w:p w:rsidR="00F30075" w:rsidRPr="008D38F6" w:rsidRDefault="00F30075" w:rsidP="002C1048">
      <w:pPr>
        <w:numPr>
          <w:ilvl w:val="0"/>
          <w:numId w:val="51"/>
        </w:numPr>
        <w:spacing w:after="60" w:line="276" w:lineRule="auto"/>
        <w:ind w:left="1440"/>
        <w:jc w:val="both"/>
        <w:rPr>
          <w:lang w:val="pt-BR"/>
        </w:rPr>
      </w:pPr>
      <w:r w:rsidRPr="008D38F6">
        <w:rPr>
          <w:rFonts w:cs="Tahoma"/>
          <w:szCs w:val="18"/>
          <w:lang w:val="pt-BR"/>
        </w:rPr>
        <w:t>Assinaturas ativas do Windows Intune (Por Dispositivo)</w:t>
      </w:r>
    </w:p>
    <w:p w:rsidR="00F30075" w:rsidRPr="008D38F6" w:rsidRDefault="00F30075" w:rsidP="008C0608">
      <w:pPr>
        <w:rPr>
          <w:lang w:val="pt-BR"/>
        </w:rPr>
      </w:pPr>
    </w:p>
    <w:p w:rsidR="002E38CD" w:rsidRPr="008D38F6" w:rsidRDefault="002E38CD" w:rsidP="008C0608">
      <w:pPr>
        <w:rPr>
          <w:lang w:val="pt-BR"/>
        </w:rPr>
      </w:pPr>
    </w:p>
    <w:p w:rsidR="002D7B73" w:rsidRPr="008D38F6" w:rsidRDefault="002D7B73" w:rsidP="008C0608">
      <w:pPr>
        <w:rPr>
          <w:lang w:val="pt-BR"/>
        </w:rPr>
      </w:pPr>
      <w:r w:rsidRPr="008D38F6">
        <w:rPr>
          <w:rFonts w:cs="Tahoma"/>
          <w:color w:val="000000"/>
          <w:szCs w:val="18"/>
          <w:lang w:val="pt-BR"/>
        </w:rPr>
        <w:t>Esse direito de uso permite a execução do software em até quatro máquinas virtuais locais.</w:t>
      </w:r>
      <w:r w:rsidR="00FB5496" w:rsidRPr="008D38F6">
        <w:rPr>
          <w:rFonts w:cs="Tahoma"/>
          <w:color w:val="000000"/>
          <w:szCs w:val="18"/>
          <w:lang w:val="pt-BR"/>
        </w:rPr>
        <w:t xml:space="preserve"> </w:t>
      </w:r>
      <w:r w:rsidRPr="008D38F6">
        <w:rPr>
          <w:rFonts w:cs="Tahoma"/>
          <w:color w:val="000000"/>
          <w:szCs w:val="18"/>
          <w:lang w:val="pt-BR"/>
        </w:rPr>
        <w:t>Ao passo que o direito do cliente de usar o Windows 8 Enterprise pode ser mantido após o término de sua cobertura do Software Assurance, o</w:t>
      </w:r>
      <w:r w:rsidR="002E38CD" w:rsidRPr="008D38F6">
        <w:rPr>
          <w:rFonts w:cs="Tahoma"/>
          <w:color w:val="000000"/>
          <w:szCs w:val="18"/>
          <w:lang w:val="pt-BR"/>
        </w:rPr>
        <w:t> </w:t>
      </w:r>
      <w:r w:rsidRPr="008D38F6">
        <w:rPr>
          <w:rFonts w:cs="Tahoma"/>
          <w:color w:val="000000"/>
          <w:szCs w:val="18"/>
          <w:lang w:val="pt-BR"/>
        </w:rPr>
        <w:t>Direito de Uso da Virtualização não pode.</w:t>
      </w:r>
      <w:r w:rsidR="00FB5496" w:rsidRPr="008D38F6">
        <w:rPr>
          <w:rFonts w:cs="Tahoma"/>
          <w:color w:val="000000"/>
          <w:szCs w:val="18"/>
          <w:lang w:val="pt-BR"/>
        </w:rPr>
        <w:t xml:space="preserve"> </w:t>
      </w:r>
      <w:r w:rsidRPr="008D38F6">
        <w:rPr>
          <w:rFonts w:cs="Tahoma"/>
          <w:color w:val="000000"/>
          <w:szCs w:val="18"/>
          <w:lang w:val="pt-BR"/>
        </w:rPr>
        <w:t>Para obter mais detalhes sobre direitos de uso, consulte o documento de</w:t>
      </w:r>
      <w:r w:rsidR="002E38CD" w:rsidRPr="008D38F6">
        <w:rPr>
          <w:rFonts w:cs="Tahoma"/>
          <w:color w:val="000000"/>
          <w:szCs w:val="18"/>
          <w:lang w:val="pt-BR"/>
        </w:rPr>
        <w:t> </w:t>
      </w:r>
      <w:r w:rsidRPr="008D38F6">
        <w:rPr>
          <w:rFonts w:cs="Tahoma"/>
          <w:color w:val="000000"/>
          <w:szCs w:val="18"/>
          <w:lang w:val="pt-BR"/>
        </w:rPr>
        <w:t>Direitos de Uso do Produto.</w:t>
      </w:r>
    </w:p>
    <w:p w:rsidR="00C831EC" w:rsidRPr="00416070" w:rsidRDefault="00C831EC" w:rsidP="002D7B73">
      <w:pPr>
        <w:pStyle w:val="Heading3"/>
      </w:pPr>
      <w:bookmarkStart w:id="961" w:name="_Toc257907651"/>
      <w:bookmarkStart w:id="962" w:name="_Toc233026785"/>
    </w:p>
    <w:p w:rsidR="002D7B73" w:rsidRPr="00416070" w:rsidRDefault="002D7B73" w:rsidP="002D7B73">
      <w:pPr>
        <w:pStyle w:val="Heading3"/>
      </w:pPr>
      <w:bookmarkStart w:id="963" w:name="_Toc352234313"/>
      <w:bookmarkStart w:id="964" w:name="_Toc336338245"/>
      <w:r w:rsidRPr="00416070">
        <w:rPr>
          <w:rFonts w:ascii="Tahoma" w:hAnsi="Tahoma"/>
          <w:color w:val="000000"/>
          <w:sz w:val="24"/>
        </w:rPr>
        <w:t>Direitos do Windows Virtual Desktop Access (VDA)</w:t>
      </w:r>
      <w:bookmarkEnd w:id="961"/>
      <w:bookmarkEnd w:id="963"/>
      <w:r w:rsidRPr="00416070">
        <w:rPr>
          <w:rFonts w:ascii="Tahoma" w:hAnsi="Tahoma"/>
          <w:color w:val="000000"/>
          <w:sz w:val="24"/>
        </w:rPr>
        <w:t xml:space="preserve"> </w:t>
      </w:r>
      <w:bookmarkEnd w:id="964"/>
    </w:p>
    <w:p w:rsidR="002D7B73" w:rsidRPr="008D38F6" w:rsidRDefault="002D7B73" w:rsidP="002D7B73">
      <w:pPr>
        <w:rPr>
          <w:lang w:val="pt-BR"/>
        </w:rPr>
      </w:pPr>
    </w:p>
    <w:p w:rsidR="00EC5C9D" w:rsidRPr="008D38F6" w:rsidRDefault="00EC5C9D" w:rsidP="00EC5C9D">
      <w:pPr>
        <w:rPr>
          <w:lang w:val="pt-BR"/>
        </w:rPr>
      </w:pPr>
      <w:r w:rsidRPr="008D38F6">
        <w:rPr>
          <w:rFonts w:eastAsia="Calibri" w:cs="Tahoma"/>
          <w:color w:val="000000"/>
          <w:szCs w:val="18"/>
          <w:lang w:val="pt-BR"/>
        </w:rPr>
        <w:t xml:space="preserve">Os direitos do Windows VDA estão disponíveis para os clientes com Software Assurance para sistema operacional Windows Desktop e clientes licenciados para Windows Intune </w:t>
      </w:r>
      <w:r w:rsidRPr="008D38F6">
        <w:rPr>
          <w:rFonts w:cs="Tahoma"/>
          <w:szCs w:val="18"/>
          <w:lang w:val="pt-BR"/>
        </w:rPr>
        <w:t>(Por Dispositivo)</w:t>
      </w:r>
      <w:r w:rsidRPr="008D38F6">
        <w:rPr>
          <w:rFonts w:eastAsia="Calibri" w:cs="Tahoma"/>
          <w:color w:val="000000"/>
          <w:szCs w:val="18"/>
          <w:lang w:val="pt-BR"/>
        </w:rPr>
        <w:t>.</w:t>
      </w:r>
      <w:r w:rsidR="00FB5496" w:rsidRPr="008D38F6">
        <w:rPr>
          <w:rFonts w:eastAsia="Calibri" w:cs="Tahoma"/>
          <w:color w:val="000000"/>
          <w:szCs w:val="18"/>
          <w:lang w:val="pt-BR"/>
        </w:rPr>
        <w:t xml:space="preserve"> </w:t>
      </w:r>
      <w:r w:rsidRPr="008D38F6">
        <w:rPr>
          <w:rFonts w:eastAsia="Calibri" w:cs="Tahoma"/>
          <w:color w:val="000000"/>
          <w:szCs w:val="18"/>
          <w:lang w:val="pt-BR"/>
        </w:rPr>
        <w:t>Eles também estão disponíveis como uma licença de assinatura separada. O Windows VDA beneficia clientes que desejam implantar o Windows usando dispositivos thin client (geralmente pré-instalados com um sistema operacional embutido). A licença de assinatura do</w:t>
      </w:r>
      <w:r w:rsidR="002E38CD" w:rsidRPr="008D38F6">
        <w:rPr>
          <w:rFonts w:eastAsia="Calibri" w:cs="Tahoma"/>
          <w:color w:val="000000"/>
          <w:szCs w:val="18"/>
          <w:lang w:val="pt-BR"/>
        </w:rPr>
        <w:t> </w:t>
      </w:r>
      <w:r w:rsidRPr="008D38F6">
        <w:rPr>
          <w:rFonts w:eastAsia="Calibri" w:cs="Tahoma"/>
          <w:color w:val="000000"/>
          <w:szCs w:val="18"/>
          <w:lang w:val="pt-BR"/>
        </w:rPr>
        <w:t>VDA fornece aos clientes o direito de executar a versão mais recente do sistema operacional Windows Desktop disponibilizada durante o prazo de suas assinaturas.</w:t>
      </w:r>
    </w:p>
    <w:p w:rsidR="00EC5C9D" w:rsidRPr="008D38F6" w:rsidRDefault="00EC5C9D" w:rsidP="00EC5C9D">
      <w:pPr>
        <w:rPr>
          <w:lang w:val="pt-BR"/>
        </w:rPr>
      </w:pPr>
    </w:p>
    <w:p w:rsidR="00EC5C9D" w:rsidRPr="008D38F6" w:rsidRDefault="00EC5C9D" w:rsidP="00EC5C9D">
      <w:pPr>
        <w:rPr>
          <w:lang w:val="pt-BR"/>
        </w:rPr>
      </w:pPr>
      <w:r w:rsidRPr="008D38F6">
        <w:rPr>
          <w:rFonts w:eastAsia="Calibri" w:cs="Tahoma"/>
          <w:color w:val="000000"/>
          <w:szCs w:val="18"/>
          <w:lang w:val="pt-BR"/>
        </w:rPr>
        <w:t>Para obter mais informações sobre VDA, consulte o documento de Direitos de Uso de Produto.</w:t>
      </w:r>
    </w:p>
    <w:bookmarkEnd w:id="962"/>
    <w:p w:rsidR="00023FE7" w:rsidRPr="008D38F6" w:rsidRDefault="00023FE7">
      <w:pPr>
        <w:rPr>
          <w:lang w:val="pt-BR"/>
        </w:rPr>
      </w:pPr>
    </w:p>
    <w:p w:rsidR="00FE2B0B" w:rsidRPr="008D38F6" w:rsidRDefault="00FE2B0B">
      <w:pPr>
        <w:rPr>
          <w:lang w:val="pt-BR"/>
        </w:rPr>
      </w:pPr>
    </w:p>
    <w:p w:rsidR="00FE2B0B" w:rsidRPr="008D38F6" w:rsidRDefault="00FE2B0B">
      <w:pPr>
        <w:rPr>
          <w:lang w:val="pt-BR"/>
        </w:rPr>
      </w:pPr>
    </w:p>
    <w:p w:rsidR="00FE2B0B" w:rsidRPr="008D38F6" w:rsidRDefault="00FE2B0B">
      <w:pPr>
        <w:rPr>
          <w:lang w:val="pt-BR"/>
        </w:rPr>
      </w:pPr>
    </w:p>
    <w:p w:rsidR="00FE2B0B" w:rsidRPr="008D38F6" w:rsidRDefault="00FE2B0B">
      <w:pPr>
        <w:rPr>
          <w:lang w:val="pt-BR"/>
        </w:rPr>
      </w:pPr>
    </w:p>
    <w:p w:rsidR="00FE2B0B" w:rsidRPr="008D38F6" w:rsidRDefault="00FE2B0B">
      <w:pPr>
        <w:rPr>
          <w:lang w:val="pt-BR"/>
        </w:rPr>
      </w:pPr>
    </w:p>
    <w:p w:rsidR="00023FE7" w:rsidRPr="008D38F6" w:rsidRDefault="00023FE7">
      <w:pPr>
        <w:rPr>
          <w:lang w:val="pt-BR"/>
        </w:rPr>
      </w:pPr>
      <w:bookmarkStart w:id="965" w:name="_Toc336338246"/>
      <w:bookmarkStart w:id="966" w:name="_Toc352234314"/>
      <w:r w:rsidRPr="008D38F6">
        <w:rPr>
          <w:rStyle w:val="Heading3Char"/>
          <w:rFonts w:ascii="Tahoma" w:hAnsi="Tahoma"/>
          <w:sz w:val="24"/>
          <w:lang w:val="pt-BR"/>
        </w:rPr>
        <w:lastRenderedPageBreak/>
        <w:t>Disponibilidade de Licenças Step-up</w:t>
      </w:r>
      <w:bookmarkEnd w:id="965"/>
      <w:bookmarkEnd w:id="966"/>
      <w:r w:rsidRPr="008D38F6">
        <w:rPr>
          <w:rFonts w:cs="Tahoma"/>
          <w:b/>
          <w:sz w:val="24"/>
          <w:szCs w:val="20"/>
          <w:lang w:val="pt-BR"/>
        </w:rPr>
        <w:t>*</w:t>
      </w:r>
    </w:p>
    <w:p w:rsidR="00023FE7" w:rsidRPr="008D38F6" w:rsidRDefault="00023FE7">
      <w:pPr>
        <w:rPr>
          <w:lang w:val="pt-BR"/>
        </w:rPr>
      </w:pPr>
    </w:p>
    <w:p w:rsidR="00023FE7" w:rsidRPr="008D38F6" w:rsidRDefault="00AD6AD6">
      <w:pPr>
        <w:rPr>
          <w:lang w:val="pt-BR"/>
        </w:rPr>
      </w:pPr>
      <w:r w:rsidRPr="008D38F6">
        <w:rPr>
          <w:rFonts w:cs="Tahoma"/>
          <w:szCs w:val="18"/>
          <w:lang w:val="pt-BR"/>
        </w:rPr>
        <w:t>Os clientes podem migrar de uma edição de nível inferior para uma edição de nível superior de determinados produtos com uma Licença Step-up.</w:t>
      </w:r>
      <w:r w:rsidR="00FB5496" w:rsidRPr="008D38F6">
        <w:rPr>
          <w:rFonts w:cs="Tahoma"/>
          <w:szCs w:val="18"/>
          <w:lang w:val="pt-BR"/>
        </w:rPr>
        <w:t xml:space="preserve"> </w:t>
      </w:r>
      <w:r w:rsidRPr="008D38F6">
        <w:rPr>
          <w:rFonts w:cs="Tahoma"/>
          <w:szCs w:val="18"/>
          <w:lang w:val="pt-BR"/>
        </w:rPr>
        <w:t xml:space="preserve">Os clientes devem ter uma licença com Software Assurance ativo para o produto qualificado para </w:t>
      </w:r>
      <w:r w:rsidRPr="008D38F6">
        <w:rPr>
          <w:rFonts w:cs="Tahoma"/>
          <w:color w:val="000000"/>
          <w:szCs w:val="18"/>
          <w:lang w:val="pt-BR"/>
        </w:rPr>
        <w:t>adquirir essa Licença Step-up.</w:t>
      </w:r>
      <w:r w:rsidR="00FB5496" w:rsidRPr="008D38F6">
        <w:rPr>
          <w:rFonts w:cs="Tahoma"/>
          <w:color w:val="000000"/>
          <w:szCs w:val="18"/>
          <w:lang w:val="pt-BR"/>
        </w:rPr>
        <w:t xml:space="preserve"> </w:t>
      </w:r>
      <w:r w:rsidRPr="008D38F6">
        <w:rPr>
          <w:rFonts w:cs="Tahoma"/>
          <w:color w:val="000000"/>
          <w:szCs w:val="18"/>
          <w:lang w:val="pt-BR"/>
        </w:rPr>
        <w:t>A Licença Step-up deve ser adquirida, e é válida apenas quando adquirida, sob os mesmos contrato e registro do Programa de Licenciamento por Volume (se houver), sob o qual a</w:t>
      </w:r>
      <w:r w:rsidR="002E38CD" w:rsidRPr="008D38F6">
        <w:rPr>
          <w:rFonts w:cs="Tahoma"/>
          <w:color w:val="000000"/>
          <w:szCs w:val="18"/>
          <w:lang w:val="pt-BR"/>
        </w:rPr>
        <w:t> </w:t>
      </w:r>
      <w:r w:rsidRPr="008D38F6">
        <w:rPr>
          <w:rFonts w:cs="Tahoma"/>
          <w:color w:val="000000"/>
          <w:szCs w:val="18"/>
          <w:lang w:val="pt-BR"/>
        </w:rPr>
        <w:t>cobertura de Software Assurance do produto</w:t>
      </w:r>
      <w:r w:rsidRPr="008D38F6">
        <w:rPr>
          <w:rFonts w:cs="Tahoma"/>
          <w:szCs w:val="18"/>
          <w:lang w:val="pt-BR"/>
        </w:rPr>
        <w:t xml:space="preserve"> qualificado foi originalmente adquirida.</w:t>
      </w:r>
      <w:r w:rsidR="00FB5496" w:rsidRPr="008D38F6">
        <w:rPr>
          <w:rFonts w:cs="Tahoma"/>
          <w:szCs w:val="18"/>
          <w:lang w:val="pt-BR"/>
        </w:rPr>
        <w:t xml:space="preserve"> </w:t>
      </w:r>
      <w:r w:rsidRPr="008D38F6">
        <w:rPr>
          <w:rFonts w:cs="Tahoma"/>
          <w:szCs w:val="18"/>
          <w:lang w:val="pt-BR"/>
        </w:rPr>
        <w:t>O direito de uso de software do cliente sob uma licença Step-up está condicionado à posse e manutenção de uma Licença do produto qualificado.</w:t>
      </w:r>
      <w:r w:rsidR="00FB5496" w:rsidRPr="008D38F6">
        <w:rPr>
          <w:rFonts w:cs="Tahoma"/>
          <w:szCs w:val="18"/>
          <w:lang w:val="pt-BR"/>
        </w:rPr>
        <w:t xml:space="preserve"> </w:t>
      </w:r>
      <w:r w:rsidRPr="008D38F6">
        <w:rPr>
          <w:rFonts w:cs="Tahoma"/>
          <w:szCs w:val="18"/>
          <w:lang w:val="pt-BR"/>
        </w:rPr>
        <w:t>Os clientes não podem transferir a Licença do produto qualificado separadamente da licença Step-up.</w:t>
      </w:r>
      <w:r w:rsidR="00FB5496" w:rsidRPr="008D38F6">
        <w:rPr>
          <w:rFonts w:cs="Tahoma"/>
          <w:szCs w:val="18"/>
          <w:lang w:val="pt-BR"/>
        </w:rPr>
        <w:t xml:space="preserve"> </w:t>
      </w:r>
      <w:r w:rsidRPr="008D38F6">
        <w:rPr>
          <w:rFonts w:cs="Tahoma"/>
          <w:szCs w:val="18"/>
          <w:lang w:val="pt-BR"/>
        </w:rPr>
        <w:t>Os direitos perpétuos do cliente sob a Licença Step-up substituem a licença básica do produto qualificado.</w:t>
      </w:r>
      <w:r w:rsidR="00FB5496" w:rsidRPr="008D38F6">
        <w:rPr>
          <w:rFonts w:cs="Tahoma"/>
          <w:szCs w:val="18"/>
          <w:lang w:val="pt-BR"/>
        </w:rPr>
        <w:t xml:space="preserve"> </w:t>
      </w:r>
      <w:r w:rsidRPr="008D38F6">
        <w:rPr>
          <w:rFonts w:cs="Tahoma"/>
          <w:szCs w:val="18"/>
          <w:lang w:val="pt-BR"/>
        </w:rPr>
        <w:t>Para obter mais detalhes, consulte o Resumo de Licenciamento por Volume da Licença Step-up para Enterprise Edition no site: http://</w:t>
      </w:r>
      <w:hyperlink r:id="rId34" w:history="1">
        <w:r w:rsidRPr="008D38F6">
          <w:rPr>
            <w:rStyle w:val="Hyperlink"/>
            <w:rFonts w:cs="Tahoma"/>
            <w:szCs w:val="18"/>
            <w:lang w:val="pt-BR"/>
          </w:rPr>
          <w:t>www.microsoft.com/licensing</w:t>
        </w:r>
      </w:hyperlink>
    </w:p>
    <w:p w:rsidR="00023FE7" w:rsidRPr="008D38F6" w:rsidRDefault="00023FE7">
      <w:pPr>
        <w:rPr>
          <w:lang w:val="pt-B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416070" w:rsidTr="001E3F7D">
        <w:trPr>
          <w:tblHeader/>
        </w:trPr>
        <w:tc>
          <w:tcPr>
            <w:tcW w:w="4230" w:type="dxa"/>
            <w:shd w:val="clear" w:color="auto" w:fill="FABF8F"/>
            <w:tcMar>
              <w:top w:w="0" w:type="dxa"/>
              <w:left w:w="108" w:type="dxa"/>
              <w:bottom w:w="0" w:type="dxa"/>
              <w:right w:w="108" w:type="dxa"/>
            </w:tcMar>
            <w:hideMark/>
          </w:tcPr>
          <w:p w:rsidR="003573CD" w:rsidRPr="00416070" w:rsidRDefault="003573CD" w:rsidP="00554A35">
            <w:pPr>
              <w:jc w:val="center"/>
              <w:rPr>
                <w:rFonts w:eastAsia="Calibri" w:cs="Tahoma"/>
                <w:b/>
                <w:sz w:val="20"/>
                <w:szCs w:val="20"/>
              </w:rPr>
            </w:pPr>
            <w:r w:rsidRPr="00416070">
              <w:rPr>
                <w:rFonts w:cs="Tahoma"/>
                <w:b/>
                <w:sz w:val="20"/>
                <w:szCs w:val="20"/>
              </w:rPr>
              <w:t>Step-up de</w:t>
            </w:r>
          </w:p>
        </w:tc>
        <w:tc>
          <w:tcPr>
            <w:tcW w:w="4230" w:type="dxa"/>
            <w:shd w:val="clear" w:color="auto" w:fill="FABF8F"/>
            <w:tcMar>
              <w:top w:w="0" w:type="dxa"/>
              <w:left w:w="108" w:type="dxa"/>
              <w:bottom w:w="0" w:type="dxa"/>
              <w:right w:w="108" w:type="dxa"/>
            </w:tcMar>
            <w:hideMark/>
          </w:tcPr>
          <w:p w:rsidR="003573CD" w:rsidRPr="00416070" w:rsidRDefault="003573CD" w:rsidP="00554A35">
            <w:pPr>
              <w:jc w:val="center"/>
              <w:rPr>
                <w:rFonts w:eastAsia="Calibri" w:cs="Tahoma"/>
                <w:b/>
                <w:sz w:val="20"/>
                <w:szCs w:val="20"/>
              </w:rPr>
            </w:pPr>
            <w:r w:rsidRPr="00416070">
              <w:rPr>
                <w:rFonts w:cs="Tahoma"/>
                <w:b/>
                <w:sz w:val="20"/>
                <w:szCs w:val="20"/>
              </w:rPr>
              <w:t>Step-up para</w:t>
            </w:r>
          </w:p>
        </w:tc>
      </w:tr>
      <w:tr w:rsidR="003573CD" w:rsidRPr="00416070" w:rsidTr="001E3F7D">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BizTalk</w:t>
            </w:r>
            <w:r w:rsidR="00510A6E" w:rsidRPr="00416070">
              <w:rPr>
                <w:rFonts w:cs="Tahoma"/>
                <w:szCs w:val="18"/>
                <w:vertAlign w:val="superscript"/>
              </w:rPr>
              <w:t>®</w:t>
            </w:r>
            <w:r w:rsidRPr="00416070">
              <w:rPr>
                <w:rFonts w:cs="Tahoma"/>
                <w:szCs w:val="18"/>
              </w:rPr>
              <w:t xml:space="preserve"> Server Branch</w:t>
            </w:r>
          </w:p>
        </w:tc>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BizTalk</w:t>
            </w:r>
            <w:r w:rsidR="00510A6E" w:rsidRPr="00416070">
              <w:rPr>
                <w:rFonts w:cs="Tahoma"/>
                <w:szCs w:val="18"/>
                <w:vertAlign w:val="superscript"/>
              </w:rPr>
              <w:t>®</w:t>
            </w:r>
            <w:r w:rsidRPr="00416070">
              <w:rPr>
                <w:rFonts w:cs="Tahoma"/>
                <w:szCs w:val="18"/>
              </w:rPr>
              <w:t xml:space="preserve"> Server Standard</w:t>
            </w:r>
          </w:p>
        </w:tc>
      </w:tr>
      <w:tr w:rsidR="003573CD" w:rsidRPr="00416070" w:rsidTr="001E3F7D">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BizTalk</w:t>
            </w:r>
            <w:r w:rsidR="00510A6E" w:rsidRPr="00416070">
              <w:rPr>
                <w:rFonts w:cs="Tahoma"/>
                <w:szCs w:val="18"/>
                <w:vertAlign w:val="superscript"/>
              </w:rPr>
              <w:t>®</w:t>
            </w:r>
            <w:r w:rsidRPr="00416070">
              <w:rPr>
                <w:rFonts w:cs="Tahoma"/>
                <w:szCs w:val="18"/>
              </w:rPr>
              <w:t xml:space="preserve"> Server Branch</w:t>
            </w:r>
          </w:p>
        </w:tc>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BizTalk</w:t>
            </w:r>
            <w:r w:rsidR="00510A6E" w:rsidRPr="00416070">
              <w:rPr>
                <w:rFonts w:cs="Tahoma"/>
                <w:szCs w:val="18"/>
                <w:vertAlign w:val="superscript"/>
              </w:rPr>
              <w:t>®</w:t>
            </w:r>
            <w:r w:rsidRPr="00416070">
              <w:rPr>
                <w:rFonts w:cs="Tahoma"/>
                <w:szCs w:val="18"/>
              </w:rPr>
              <w:t xml:space="preserve"> Server Enterprise</w:t>
            </w:r>
          </w:p>
        </w:tc>
      </w:tr>
      <w:tr w:rsidR="003573CD" w:rsidRPr="00416070" w:rsidTr="001E3F7D">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BizTalk</w:t>
            </w:r>
            <w:r w:rsidR="00510A6E" w:rsidRPr="00416070">
              <w:rPr>
                <w:rFonts w:cs="Tahoma"/>
                <w:szCs w:val="18"/>
                <w:vertAlign w:val="superscript"/>
              </w:rPr>
              <w:t>®</w:t>
            </w:r>
            <w:r w:rsidRPr="00416070">
              <w:rPr>
                <w:rFonts w:cs="Tahoma"/>
                <w:szCs w:val="18"/>
              </w:rPr>
              <w:t xml:space="preserve"> Server Standard</w:t>
            </w:r>
          </w:p>
        </w:tc>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BizTalk</w:t>
            </w:r>
            <w:r w:rsidR="00510A6E" w:rsidRPr="00416070">
              <w:rPr>
                <w:rFonts w:cs="Tahoma"/>
                <w:szCs w:val="18"/>
                <w:vertAlign w:val="superscript"/>
              </w:rPr>
              <w:t>®</w:t>
            </w:r>
            <w:r w:rsidRPr="00416070">
              <w:rPr>
                <w:rFonts w:cs="Tahoma"/>
                <w:szCs w:val="18"/>
              </w:rPr>
              <w:t xml:space="preserve"> Server Enterprise</w:t>
            </w:r>
          </w:p>
        </w:tc>
      </w:tr>
      <w:tr w:rsidR="003573CD" w:rsidRPr="00416070" w:rsidTr="001E3F7D">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Commerce Server Standard</w:t>
            </w:r>
          </w:p>
        </w:tc>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Commerce Server Enterprise</w:t>
            </w:r>
          </w:p>
        </w:tc>
      </w:tr>
      <w:tr w:rsidR="003573CD" w:rsidRPr="00416070" w:rsidTr="001E3F7D">
        <w:trPr>
          <w:trHeight w:val="238"/>
        </w:trPr>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Core CAL Suite</w:t>
            </w:r>
          </w:p>
        </w:tc>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Enterprise CAL Suite</w:t>
            </w:r>
          </w:p>
        </w:tc>
      </w:tr>
      <w:tr w:rsidR="00E87953" w:rsidRPr="00B06414" w:rsidTr="001E3F7D">
        <w:trPr>
          <w:trHeight w:val="247"/>
        </w:trPr>
        <w:tc>
          <w:tcPr>
            <w:tcW w:w="4230" w:type="dxa"/>
            <w:tcMar>
              <w:top w:w="0" w:type="dxa"/>
              <w:left w:w="108" w:type="dxa"/>
              <w:bottom w:w="0" w:type="dxa"/>
              <w:right w:w="108" w:type="dxa"/>
            </w:tcMar>
          </w:tcPr>
          <w:p w:rsidR="00E87953" w:rsidRPr="008D38F6" w:rsidRDefault="00E87953" w:rsidP="002E38CD">
            <w:pPr>
              <w:rPr>
                <w:rFonts w:cs="Tahoma"/>
                <w:color w:val="000000"/>
                <w:szCs w:val="18"/>
                <w:lang w:val="pt-BR"/>
              </w:rPr>
            </w:pPr>
            <w:r w:rsidRPr="008D38F6">
              <w:rPr>
                <w:rFonts w:cs="Tahoma"/>
                <w:color w:val="000000"/>
                <w:szCs w:val="18"/>
                <w:lang w:val="pt-BR"/>
              </w:rPr>
              <w:t>Bridge do Pacote de CALs Principais para Office</w:t>
            </w:r>
            <w:r w:rsidR="002E38CD" w:rsidRPr="008D38F6">
              <w:rPr>
                <w:rFonts w:cs="Tahoma"/>
                <w:color w:val="000000"/>
                <w:szCs w:val="18"/>
                <w:lang w:val="pt-BR"/>
              </w:rPr>
              <w:t> </w:t>
            </w:r>
            <w:r w:rsidRPr="008D38F6">
              <w:rPr>
                <w:rFonts w:cs="Tahoma"/>
                <w:color w:val="000000"/>
                <w:szCs w:val="18"/>
                <w:lang w:val="pt-BR"/>
              </w:rPr>
              <w:t>365</w:t>
            </w:r>
          </w:p>
        </w:tc>
        <w:tc>
          <w:tcPr>
            <w:tcW w:w="4230" w:type="dxa"/>
            <w:tcMar>
              <w:top w:w="0" w:type="dxa"/>
              <w:left w:w="108" w:type="dxa"/>
              <w:bottom w:w="0" w:type="dxa"/>
              <w:right w:w="108" w:type="dxa"/>
            </w:tcMar>
          </w:tcPr>
          <w:p w:rsidR="00E87953" w:rsidRPr="008D38F6" w:rsidRDefault="00E87953" w:rsidP="00734CF4">
            <w:pPr>
              <w:rPr>
                <w:rFonts w:cs="Tahoma"/>
                <w:color w:val="000000"/>
                <w:szCs w:val="18"/>
                <w:lang w:val="pt-BR"/>
              </w:rPr>
            </w:pPr>
            <w:r w:rsidRPr="008D38F6">
              <w:rPr>
                <w:rFonts w:cs="Tahoma"/>
                <w:color w:val="000000"/>
                <w:szCs w:val="18"/>
                <w:lang w:val="pt-BR"/>
              </w:rPr>
              <w:t>Bridge do Pacote de CALs Empresariais para Office 365</w:t>
            </w:r>
          </w:p>
        </w:tc>
      </w:tr>
      <w:tr w:rsidR="00E87953" w:rsidRPr="00B06414" w:rsidTr="001E3F7D">
        <w:trPr>
          <w:trHeight w:val="247"/>
        </w:trPr>
        <w:tc>
          <w:tcPr>
            <w:tcW w:w="4230" w:type="dxa"/>
            <w:tcMar>
              <w:top w:w="0" w:type="dxa"/>
              <w:left w:w="108" w:type="dxa"/>
              <w:bottom w:w="0" w:type="dxa"/>
              <w:right w:w="108" w:type="dxa"/>
            </w:tcMar>
          </w:tcPr>
          <w:p w:rsidR="00E87953" w:rsidRPr="008D38F6" w:rsidRDefault="00E87953" w:rsidP="007C6582">
            <w:pPr>
              <w:rPr>
                <w:rFonts w:cs="Tahoma"/>
                <w:color w:val="000000"/>
                <w:szCs w:val="18"/>
                <w:lang w:val="pt-BR"/>
              </w:rPr>
            </w:pPr>
            <w:r w:rsidRPr="008D38F6">
              <w:rPr>
                <w:rFonts w:cs="Tahoma"/>
                <w:color w:val="000000"/>
                <w:szCs w:val="18"/>
                <w:lang w:val="pt-BR"/>
              </w:rPr>
              <w:t>Bridge do Pacote de CALs Principais para Windows</w:t>
            </w:r>
            <w:r w:rsidR="00510A6E" w:rsidRPr="008D38F6">
              <w:rPr>
                <w:rFonts w:cs="Tahoma"/>
                <w:color w:val="000000"/>
                <w:szCs w:val="18"/>
                <w:vertAlign w:val="superscript"/>
                <w:lang w:val="pt-BR"/>
              </w:rPr>
              <w:t>®</w:t>
            </w:r>
            <w:r w:rsidRPr="008D38F6">
              <w:rPr>
                <w:rFonts w:cs="Tahoma"/>
                <w:color w:val="000000"/>
                <w:szCs w:val="18"/>
                <w:lang w:val="pt-BR"/>
              </w:rPr>
              <w:t xml:space="preserve"> Intune</w:t>
            </w:r>
          </w:p>
        </w:tc>
        <w:tc>
          <w:tcPr>
            <w:tcW w:w="4230" w:type="dxa"/>
            <w:tcMar>
              <w:top w:w="0" w:type="dxa"/>
              <w:left w:w="108" w:type="dxa"/>
              <w:bottom w:w="0" w:type="dxa"/>
              <w:right w:w="108" w:type="dxa"/>
            </w:tcMar>
          </w:tcPr>
          <w:p w:rsidR="00E87953" w:rsidRPr="008D38F6" w:rsidRDefault="00E87953" w:rsidP="007C6582">
            <w:pPr>
              <w:rPr>
                <w:rFonts w:cs="Tahoma"/>
                <w:color w:val="000000"/>
                <w:szCs w:val="18"/>
                <w:lang w:val="pt-BR"/>
              </w:rPr>
            </w:pPr>
            <w:r w:rsidRPr="008D38F6">
              <w:rPr>
                <w:rFonts w:cs="Tahoma"/>
                <w:color w:val="000000"/>
                <w:szCs w:val="18"/>
                <w:lang w:val="pt-BR"/>
              </w:rPr>
              <w:t>Bridge do Pacote de CALs Empresariais para Windows</w:t>
            </w:r>
            <w:r w:rsidR="00510A6E" w:rsidRPr="008D38F6">
              <w:rPr>
                <w:rFonts w:cs="Tahoma"/>
                <w:color w:val="000000"/>
                <w:szCs w:val="18"/>
                <w:vertAlign w:val="superscript"/>
                <w:lang w:val="pt-BR"/>
              </w:rPr>
              <w:t>®</w:t>
            </w:r>
            <w:r w:rsidRPr="008D38F6">
              <w:rPr>
                <w:rFonts w:cs="Tahoma"/>
                <w:color w:val="000000"/>
                <w:szCs w:val="18"/>
                <w:lang w:val="pt-BR"/>
              </w:rPr>
              <w:t xml:space="preserve"> Intune</w:t>
            </w:r>
          </w:p>
        </w:tc>
      </w:tr>
      <w:tr w:rsidR="000466E8" w:rsidRPr="002B5F9E" w:rsidTr="001E3F7D">
        <w:trPr>
          <w:trHeight w:val="247"/>
        </w:trPr>
        <w:tc>
          <w:tcPr>
            <w:tcW w:w="4230" w:type="dxa"/>
            <w:tcMar>
              <w:top w:w="0" w:type="dxa"/>
              <w:left w:w="108" w:type="dxa"/>
              <w:bottom w:w="0" w:type="dxa"/>
              <w:right w:w="108" w:type="dxa"/>
            </w:tcMar>
          </w:tcPr>
          <w:p w:rsidR="000466E8" w:rsidRPr="008D38F6" w:rsidRDefault="0054507B" w:rsidP="002E38CD">
            <w:pPr>
              <w:rPr>
                <w:rFonts w:cs="Tahoma"/>
                <w:color w:val="000000"/>
                <w:szCs w:val="18"/>
                <w:lang w:val="pt-BR"/>
              </w:rPr>
            </w:pPr>
            <w:r w:rsidRPr="008D38F6">
              <w:rPr>
                <w:rFonts w:cs="Tahoma"/>
                <w:color w:val="000000"/>
                <w:szCs w:val="18"/>
                <w:lang w:val="pt-BR"/>
              </w:rPr>
              <w:t>Bridge do Pacote de CALs Principais para Office</w:t>
            </w:r>
            <w:r w:rsidR="002E38CD" w:rsidRPr="008D38F6">
              <w:rPr>
                <w:rFonts w:cs="Tahoma"/>
                <w:color w:val="000000"/>
                <w:szCs w:val="18"/>
                <w:lang w:val="pt-BR"/>
              </w:rPr>
              <w:t> </w:t>
            </w:r>
            <w:r w:rsidRPr="008D38F6">
              <w:rPr>
                <w:rFonts w:cs="Tahoma"/>
                <w:color w:val="000000"/>
                <w:szCs w:val="18"/>
                <w:lang w:val="pt-BR"/>
              </w:rPr>
              <w:t>365 e Windows</w:t>
            </w:r>
            <w:r w:rsidR="00510A6E" w:rsidRPr="008D38F6">
              <w:rPr>
                <w:rFonts w:cs="Tahoma"/>
                <w:color w:val="000000"/>
                <w:szCs w:val="18"/>
                <w:vertAlign w:val="superscript"/>
                <w:lang w:val="pt-BR"/>
              </w:rPr>
              <w:t>®</w:t>
            </w:r>
            <w:r w:rsidRPr="008D38F6">
              <w:rPr>
                <w:rFonts w:cs="Tahoma"/>
                <w:color w:val="000000"/>
                <w:szCs w:val="18"/>
                <w:lang w:val="pt-BR"/>
              </w:rPr>
              <w:t xml:space="preserve"> Intune</w:t>
            </w:r>
          </w:p>
        </w:tc>
        <w:tc>
          <w:tcPr>
            <w:tcW w:w="4230" w:type="dxa"/>
            <w:tcMar>
              <w:top w:w="0" w:type="dxa"/>
              <w:left w:w="108" w:type="dxa"/>
              <w:bottom w:w="0" w:type="dxa"/>
              <w:right w:w="108" w:type="dxa"/>
            </w:tcMar>
          </w:tcPr>
          <w:p w:rsidR="000466E8" w:rsidRPr="008D38F6" w:rsidRDefault="00C3058D" w:rsidP="007C6582">
            <w:pPr>
              <w:rPr>
                <w:rFonts w:cs="Tahoma"/>
                <w:color w:val="000000"/>
                <w:szCs w:val="18"/>
                <w:lang w:val="pt-BR"/>
              </w:rPr>
            </w:pPr>
            <w:r w:rsidRPr="008D38F6">
              <w:rPr>
                <w:rFonts w:eastAsia="Calibri" w:cs="Tahoma"/>
                <w:szCs w:val="18"/>
                <w:lang w:val="pt-BR"/>
              </w:rPr>
              <w:t>Bridge do Pacote de CALs Empresariais para Office 365 e Windows</w:t>
            </w:r>
            <w:r w:rsidR="00510A6E" w:rsidRPr="008D38F6">
              <w:rPr>
                <w:rFonts w:cs="Tahoma"/>
                <w:color w:val="000000"/>
                <w:szCs w:val="18"/>
                <w:vertAlign w:val="superscript"/>
                <w:lang w:val="pt-BR"/>
              </w:rPr>
              <w:t>®</w:t>
            </w:r>
            <w:r w:rsidRPr="008D38F6">
              <w:rPr>
                <w:rFonts w:cs="Tahoma"/>
                <w:color w:val="000000"/>
                <w:szCs w:val="18"/>
                <w:vertAlign w:val="superscript"/>
                <w:lang w:val="pt-BR"/>
              </w:rPr>
              <w:t xml:space="preserve"> </w:t>
            </w:r>
            <w:r w:rsidRPr="008D38F6">
              <w:rPr>
                <w:rFonts w:eastAsia="Calibri" w:cs="Tahoma"/>
                <w:szCs w:val="18"/>
                <w:lang w:val="pt-BR"/>
              </w:rPr>
              <w:t>Intune</w:t>
            </w:r>
          </w:p>
        </w:tc>
      </w:tr>
      <w:tr w:rsidR="004C6855" w:rsidRPr="002B5F9E" w:rsidTr="001E3F7D">
        <w:trPr>
          <w:trHeight w:val="247"/>
        </w:trPr>
        <w:tc>
          <w:tcPr>
            <w:tcW w:w="4230" w:type="dxa"/>
            <w:tcMar>
              <w:top w:w="0" w:type="dxa"/>
              <w:left w:w="108" w:type="dxa"/>
              <w:bottom w:w="0" w:type="dxa"/>
              <w:right w:w="108" w:type="dxa"/>
            </w:tcMar>
            <w:hideMark/>
          </w:tcPr>
          <w:p w:rsidR="004C6855" w:rsidRPr="008D38F6" w:rsidRDefault="004C6855" w:rsidP="00554A35">
            <w:pPr>
              <w:rPr>
                <w:rFonts w:cs="Tahoma"/>
                <w:szCs w:val="18"/>
                <w:lang w:val="fr-FR"/>
              </w:rPr>
            </w:pPr>
            <w:r w:rsidRPr="008D38F6">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8D38F6" w:rsidRDefault="004C6855" w:rsidP="00933674">
            <w:pPr>
              <w:rPr>
                <w:rFonts w:cs="Tahoma"/>
                <w:szCs w:val="18"/>
                <w:lang w:val="fr-FR"/>
              </w:rPr>
            </w:pPr>
            <w:r w:rsidRPr="008D38F6">
              <w:rPr>
                <w:rFonts w:cs="Tahoma"/>
                <w:color w:val="000000"/>
                <w:szCs w:val="18"/>
                <w:lang w:val="fr-FR"/>
              </w:rPr>
              <w:t>Core Infrastructure Server Suite Datacenter</w:t>
            </w:r>
          </w:p>
        </w:tc>
      </w:tr>
      <w:tr w:rsidR="003573CD" w:rsidRPr="002B5F9E" w:rsidTr="001E3F7D">
        <w:tc>
          <w:tcPr>
            <w:tcW w:w="4230" w:type="dxa"/>
            <w:tcMar>
              <w:top w:w="0" w:type="dxa"/>
              <w:left w:w="108" w:type="dxa"/>
              <w:bottom w:w="0" w:type="dxa"/>
              <w:right w:w="108" w:type="dxa"/>
            </w:tcMar>
            <w:hideMark/>
          </w:tcPr>
          <w:p w:rsidR="003573CD" w:rsidRPr="008D38F6" w:rsidRDefault="003573CD" w:rsidP="00394D2B">
            <w:pPr>
              <w:rPr>
                <w:rFonts w:eastAsia="Calibri" w:cs="Tahoma"/>
                <w:szCs w:val="18"/>
                <w:lang w:val="pt-BR"/>
              </w:rPr>
            </w:pPr>
            <w:r w:rsidRPr="008D38F6">
              <w:rPr>
                <w:rFonts w:cs="Tahoma"/>
                <w:szCs w:val="18"/>
                <w:lang w:val="pt-BR"/>
              </w:rPr>
              <w:t>Desktop Educacional com Core CAL</w:t>
            </w:r>
          </w:p>
        </w:tc>
        <w:tc>
          <w:tcPr>
            <w:tcW w:w="4230" w:type="dxa"/>
            <w:tcMar>
              <w:top w:w="0" w:type="dxa"/>
              <w:left w:w="108" w:type="dxa"/>
              <w:bottom w:w="0" w:type="dxa"/>
              <w:right w:w="108" w:type="dxa"/>
            </w:tcMar>
            <w:hideMark/>
          </w:tcPr>
          <w:p w:rsidR="003573CD" w:rsidRPr="008D38F6" w:rsidRDefault="003573CD" w:rsidP="00394D2B">
            <w:pPr>
              <w:rPr>
                <w:rFonts w:eastAsia="Calibri" w:cs="Tahoma"/>
                <w:szCs w:val="18"/>
                <w:lang w:val="pt-BR"/>
              </w:rPr>
            </w:pPr>
            <w:r w:rsidRPr="008D38F6">
              <w:rPr>
                <w:rFonts w:cs="Tahoma"/>
                <w:szCs w:val="18"/>
                <w:lang w:val="pt-BR"/>
              </w:rPr>
              <w:t>Desktop Educacional com Pacote de CALs Empresariais</w:t>
            </w:r>
          </w:p>
        </w:tc>
      </w:tr>
      <w:tr w:rsidR="003573CD" w:rsidRPr="002B5F9E" w:rsidTr="001E3F7D">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Desktop School com Core CAL</w:t>
            </w:r>
          </w:p>
        </w:tc>
        <w:tc>
          <w:tcPr>
            <w:tcW w:w="4230" w:type="dxa"/>
            <w:tcMar>
              <w:top w:w="0" w:type="dxa"/>
              <w:left w:w="108" w:type="dxa"/>
              <w:bottom w:w="0" w:type="dxa"/>
              <w:right w:w="108" w:type="dxa"/>
            </w:tcMar>
            <w:hideMark/>
          </w:tcPr>
          <w:p w:rsidR="003573CD" w:rsidRPr="008D38F6" w:rsidRDefault="00ED0F02" w:rsidP="00554A35">
            <w:pPr>
              <w:rPr>
                <w:rFonts w:eastAsia="Calibri" w:cs="Tahoma"/>
                <w:szCs w:val="18"/>
                <w:lang w:val="pt-BR"/>
              </w:rPr>
            </w:pPr>
            <w:r w:rsidRPr="008D38F6">
              <w:rPr>
                <w:rFonts w:cs="Tahoma"/>
                <w:szCs w:val="18"/>
                <w:lang w:val="pt-BR"/>
              </w:rPr>
              <w:t>Desktop School com Pacote de CALs Empresariais</w:t>
            </w:r>
          </w:p>
        </w:tc>
      </w:tr>
      <w:tr w:rsidR="003573CD" w:rsidRPr="00416070" w:rsidTr="001E3F7D">
        <w:tc>
          <w:tcPr>
            <w:tcW w:w="4230" w:type="dxa"/>
            <w:tcMar>
              <w:top w:w="0" w:type="dxa"/>
              <w:left w:w="108" w:type="dxa"/>
              <w:bottom w:w="0" w:type="dxa"/>
              <w:right w:w="108" w:type="dxa"/>
            </w:tcMar>
            <w:hideMark/>
          </w:tcPr>
          <w:p w:rsidR="003573CD" w:rsidRPr="00416070" w:rsidRDefault="003573CD" w:rsidP="00554A35">
            <w:pPr>
              <w:rPr>
                <w:rFonts w:eastAsia="Calibri" w:cs="Tahoma"/>
                <w:szCs w:val="18"/>
                <w:lang w:val="fr-FR"/>
              </w:rPr>
            </w:pPr>
            <w:r w:rsidRPr="00416070">
              <w:rPr>
                <w:rFonts w:cs="Tahoma"/>
                <w:szCs w:val="18"/>
              </w:rPr>
              <w:t>Exchange Server Standard</w:t>
            </w:r>
          </w:p>
        </w:tc>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Exchange Server Enterprise</w:t>
            </w:r>
          </w:p>
        </w:tc>
      </w:tr>
      <w:tr w:rsidR="004D4D43" w:rsidRPr="00416070" w:rsidTr="001E3F7D">
        <w:tc>
          <w:tcPr>
            <w:tcW w:w="4230" w:type="dxa"/>
            <w:tcMar>
              <w:top w:w="0" w:type="dxa"/>
              <w:left w:w="108" w:type="dxa"/>
              <w:bottom w:w="0" w:type="dxa"/>
              <w:right w:w="108" w:type="dxa"/>
            </w:tcMar>
          </w:tcPr>
          <w:p w:rsidR="004D4D43" w:rsidRPr="00416070" w:rsidRDefault="004D4D43" w:rsidP="00AB4C80">
            <w:pPr>
              <w:rPr>
                <w:rFonts w:cs="Tahoma"/>
                <w:szCs w:val="18"/>
              </w:rPr>
            </w:pPr>
            <w:r w:rsidRPr="00416070">
              <w:rPr>
                <w:rFonts w:cs="Tahoma"/>
                <w:szCs w:val="18"/>
              </w:rPr>
              <w:t>Forefront TMG Standard</w:t>
            </w:r>
          </w:p>
        </w:tc>
        <w:tc>
          <w:tcPr>
            <w:tcW w:w="4230" w:type="dxa"/>
            <w:tcMar>
              <w:top w:w="0" w:type="dxa"/>
              <w:left w:w="108" w:type="dxa"/>
              <w:bottom w:w="0" w:type="dxa"/>
              <w:right w:w="108" w:type="dxa"/>
            </w:tcMar>
          </w:tcPr>
          <w:p w:rsidR="004D4D43" w:rsidRPr="00416070" w:rsidRDefault="004D4D43" w:rsidP="00AB4C80">
            <w:pPr>
              <w:rPr>
                <w:rFonts w:cs="Tahoma"/>
                <w:szCs w:val="18"/>
              </w:rPr>
            </w:pPr>
            <w:r w:rsidRPr="00416070">
              <w:rPr>
                <w:rFonts w:cs="Tahoma"/>
                <w:szCs w:val="18"/>
              </w:rPr>
              <w:t>Forefront TMG Enterprise</w:t>
            </w:r>
          </w:p>
        </w:tc>
      </w:tr>
      <w:tr w:rsidR="003573CD" w:rsidRPr="00416070" w:rsidTr="001E3F7D">
        <w:tc>
          <w:tcPr>
            <w:tcW w:w="4230" w:type="dxa"/>
            <w:tcMar>
              <w:top w:w="0" w:type="dxa"/>
              <w:left w:w="108" w:type="dxa"/>
              <w:bottom w:w="0" w:type="dxa"/>
              <w:right w:w="108" w:type="dxa"/>
            </w:tcMar>
            <w:hideMark/>
          </w:tcPr>
          <w:p w:rsidR="003573CD" w:rsidRPr="00416070" w:rsidRDefault="003573CD" w:rsidP="002E38CD">
            <w:pPr>
              <w:rPr>
                <w:rFonts w:eastAsia="Calibri" w:cs="Tahoma"/>
                <w:szCs w:val="18"/>
              </w:rPr>
            </w:pPr>
            <w:r w:rsidRPr="00416070">
              <w:rPr>
                <w:rFonts w:cs="Tahoma"/>
                <w:szCs w:val="18"/>
              </w:rPr>
              <w:t>Internet Security &amp; Acceleration (ISA) Standard</w:t>
            </w:r>
            <w:r w:rsidR="002E38CD" w:rsidRPr="00416070">
              <w:rPr>
                <w:rFonts w:cs="Tahoma"/>
                <w:szCs w:val="18"/>
              </w:rPr>
              <w:t> </w:t>
            </w:r>
            <w:r w:rsidRPr="00416070">
              <w:rPr>
                <w:rFonts w:cs="Tahoma"/>
                <w:szCs w:val="18"/>
              </w:rPr>
              <w:t>Server</w:t>
            </w:r>
          </w:p>
        </w:tc>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Internet Security &amp; Acceleration (ISA) Enterprise Server</w:t>
            </w:r>
          </w:p>
        </w:tc>
      </w:tr>
      <w:tr w:rsidR="00781A60" w:rsidRPr="00416070" w:rsidTr="001E3F7D">
        <w:tc>
          <w:tcPr>
            <w:tcW w:w="4230" w:type="dxa"/>
            <w:tcMar>
              <w:top w:w="0" w:type="dxa"/>
              <w:left w:w="108" w:type="dxa"/>
              <w:bottom w:w="0" w:type="dxa"/>
              <w:right w:w="108" w:type="dxa"/>
            </w:tcMar>
          </w:tcPr>
          <w:p w:rsidR="00781A60" w:rsidRPr="00416070" w:rsidRDefault="00781A60" w:rsidP="00554A35">
            <w:pPr>
              <w:rPr>
                <w:rFonts w:cs="Tahoma"/>
                <w:szCs w:val="18"/>
              </w:rPr>
            </w:pPr>
            <w:r w:rsidRPr="00416070">
              <w:rPr>
                <w:rFonts w:cs="Tahoma"/>
                <w:szCs w:val="18"/>
              </w:rPr>
              <w:t>Microsoft Dynamics CRM Workgroup Server 2011</w:t>
            </w:r>
          </w:p>
        </w:tc>
        <w:tc>
          <w:tcPr>
            <w:tcW w:w="4230" w:type="dxa"/>
            <w:tcMar>
              <w:top w:w="0" w:type="dxa"/>
              <w:left w:w="108" w:type="dxa"/>
              <w:bottom w:w="0" w:type="dxa"/>
              <w:right w:w="108" w:type="dxa"/>
            </w:tcMar>
          </w:tcPr>
          <w:p w:rsidR="00781A60" w:rsidRPr="00416070" w:rsidRDefault="00781A60" w:rsidP="00554A35">
            <w:pPr>
              <w:rPr>
                <w:rFonts w:cs="Tahoma"/>
                <w:szCs w:val="18"/>
              </w:rPr>
            </w:pPr>
            <w:r w:rsidRPr="00416070">
              <w:rPr>
                <w:rFonts w:cs="Tahoma"/>
                <w:szCs w:val="18"/>
              </w:rPr>
              <w:t>Microsoft Dynamics CRM Server 2011</w:t>
            </w:r>
          </w:p>
        </w:tc>
      </w:tr>
      <w:tr w:rsidR="003573CD" w:rsidRPr="00416070" w:rsidTr="001E3F7D">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 xml:space="preserve">Office Standard </w:t>
            </w:r>
          </w:p>
        </w:tc>
        <w:tc>
          <w:tcPr>
            <w:tcW w:w="4230" w:type="dxa"/>
            <w:tcMar>
              <w:top w:w="0" w:type="dxa"/>
              <w:left w:w="108" w:type="dxa"/>
              <w:bottom w:w="0" w:type="dxa"/>
              <w:right w:w="108" w:type="dxa"/>
            </w:tcMar>
            <w:hideMark/>
          </w:tcPr>
          <w:p w:rsidR="003573CD" w:rsidRPr="00416070" w:rsidRDefault="003573CD" w:rsidP="00554A35">
            <w:pPr>
              <w:rPr>
                <w:rFonts w:eastAsia="Calibri" w:cs="Tahoma"/>
                <w:szCs w:val="18"/>
                <w:lang w:val="fr-FR"/>
              </w:rPr>
            </w:pPr>
            <w:r w:rsidRPr="00416070">
              <w:rPr>
                <w:rFonts w:cs="Tahoma"/>
                <w:szCs w:val="18"/>
              </w:rPr>
              <w:t xml:space="preserve">Office Professional Plus </w:t>
            </w:r>
          </w:p>
        </w:tc>
      </w:tr>
      <w:tr w:rsidR="003573CD" w:rsidRPr="00416070" w:rsidTr="001E3F7D">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Desktop Profissional</w:t>
            </w:r>
          </w:p>
        </w:tc>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Desktop Empresarial</w:t>
            </w:r>
          </w:p>
        </w:tc>
      </w:tr>
      <w:tr w:rsidR="008925CF" w:rsidRPr="00416070" w:rsidTr="001E3F7D">
        <w:tc>
          <w:tcPr>
            <w:tcW w:w="4230" w:type="dxa"/>
            <w:tcMar>
              <w:top w:w="0" w:type="dxa"/>
              <w:left w:w="108" w:type="dxa"/>
              <w:bottom w:w="0" w:type="dxa"/>
              <w:right w:w="108" w:type="dxa"/>
            </w:tcMar>
            <w:hideMark/>
          </w:tcPr>
          <w:p w:rsidR="008925CF" w:rsidRPr="00416070" w:rsidRDefault="008925CF" w:rsidP="008925CF">
            <w:pPr>
              <w:rPr>
                <w:rFonts w:cs="Tahoma"/>
                <w:color w:val="000000"/>
                <w:szCs w:val="18"/>
              </w:rPr>
            </w:pPr>
            <w:r w:rsidRPr="00416070">
              <w:rPr>
                <w:rFonts w:cs="Tahoma"/>
                <w:color w:val="000000"/>
                <w:szCs w:val="18"/>
              </w:rPr>
              <w:t>Professional Desktop com Microsoft</w:t>
            </w:r>
            <w:bookmarkStart w:id="967" w:name="_Toc236810936"/>
            <w:r w:rsidRPr="00416070">
              <w:rPr>
                <w:rFonts w:cs="Tahoma"/>
                <w:color w:val="000000"/>
                <w:szCs w:val="18"/>
              </w:rPr>
              <w:t xml:space="preserve"> Desktop Optimization Pack </w:t>
            </w:r>
            <w:bookmarkEnd w:id="967"/>
          </w:p>
        </w:tc>
        <w:tc>
          <w:tcPr>
            <w:tcW w:w="4230" w:type="dxa"/>
            <w:tcMar>
              <w:top w:w="0" w:type="dxa"/>
              <w:left w:w="108" w:type="dxa"/>
              <w:bottom w:w="0" w:type="dxa"/>
              <w:right w:w="108" w:type="dxa"/>
            </w:tcMar>
            <w:hideMark/>
          </w:tcPr>
          <w:p w:rsidR="008925CF" w:rsidRPr="00416070" w:rsidRDefault="008925CF" w:rsidP="00554A35">
            <w:pPr>
              <w:rPr>
                <w:rFonts w:cs="Tahoma"/>
                <w:color w:val="000000"/>
                <w:szCs w:val="18"/>
              </w:rPr>
            </w:pPr>
            <w:r w:rsidRPr="00416070">
              <w:rPr>
                <w:rFonts w:cs="Tahoma"/>
                <w:color w:val="000000"/>
                <w:szCs w:val="18"/>
              </w:rPr>
              <w:t>Desktop Empresarial com Microsoft Desktop Optimization Pack</w:t>
            </w:r>
          </w:p>
        </w:tc>
      </w:tr>
      <w:tr w:rsidR="009F254F" w:rsidRPr="00416070" w:rsidTr="001E3F7D">
        <w:tc>
          <w:tcPr>
            <w:tcW w:w="4230" w:type="dxa"/>
            <w:tcMar>
              <w:top w:w="0" w:type="dxa"/>
              <w:left w:w="108" w:type="dxa"/>
              <w:bottom w:w="0" w:type="dxa"/>
              <w:right w:w="108" w:type="dxa"/>
            </w:tcMar>
            <w:hideMark/>
          </w:tcPr>
          <w:p w:rsidR="009F254F" w:rsidRPr="00416070" w:rsidRDefault="009F254F" w:rsidP="00CA4488">
            <w:pPr>
              <w:rPr>
                <w:rFonts w:eastAsia="Calibri" w:cs="Tahoma"/>
                <w:color w:val="000000"/>
                <w:szCs w:val="18"/>
              </w:rPr>
            </w:pPr>
            <w:r w:rsidRPr="00416070">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416070" w:rsidRDefault="009F254F" w:rsidP="00CA4488">
            <w:pPr>
              <w:rPr>
                <w:rFonts w:eastAsia="Calibri" w:cs="Tahoma"/>
                <w:color w:val="000000"/>
                <w:szCs w:val="18"/>
              </w:rPr>
            </w:pPr>
            <w:r w:rsidRPr="00416070">
              <w:rPr>
                <w:rFonts w:cs="Tahoma"/>
                <w:color w:val="000000"/>
                <w:szCs w:val="18"/>
              </w:rPr>
              <w:t xml:space="preserve">Project Professional </w:t>
            </w:r>
          </w:p>
        </w:tc>
      </w:tr>
      <w:tr w:rsidR="003573CD" w:rsidRPr="00416070" w:rsidTr="001E3F7D">
        <w:tc>
          <w:tcPr>
            <w:tcW w:w="4230" w:type="dxa"/>
            <w:tcMar>
              <w:top w:w="0" w:type="dxa"/>
              <w:left w:w="108" w:type="dxa"/>
              <w:bottom w:w="0" w:type="dxa"/>
              <w:right w:w="108" w:type="dxa"/>
            </w:tcMar>
            <w:hideMark/>
          </w:tcPr>
          <w:p w:rsidR="003573CD" w:rsidRPr="00416070" w:rsidRDefault="003573CD" w:rsidP="00554A35">
            <w:pPr>
              <w:rPr>
                <w:rFonts w:eastAsia="Calibri" w:cs="Tahoma"/>
                <w:color w:val="000000"/>
                <w:szCs w:val="18"/>
              </w:rPr>
            </w:pPr>
            <w:r w:rsidRPr="00416070">
              <w:rPr>
                <w:rFonts w:cs="Tahoma"/>
                <w:color w:val="000000"/>
                <w:szCs w:val="18"/>
              </w:rPr>
              <w:t>SQL Server™ Standard Core</w:t>
            </w:r>
          </w:p>
        </w:tc>
        <w:tc>
          <w:tcPr>
            <w:tcW w:w="4230" w:type="dxa"/>
            <w:tcMar>
              <w:top w:w="0" w:type="dxa"/>
              <w:left w:w="108" w:type="dxa"/>
              <w:bottom w:w="0" w:type="dxa"/>
              <w:right w:w="108" w:type="dxa"/>
            </w:tcMar>
            <w:hideMark/>
          </w:tcPr>
          <w:p w:rsidR="003573CD" w:rsidRPr="00416070" w:rsidRDefault="003573CD" w:rsidP="00554A35">
            <w:pPr>
              <w:rPr>
                <w:rFonts w:eastAsia="Calibri" w:cs="Tahoma"/>
                <w:color w:val="000000"/>
                <w:szCs w:val="18"/>
              </w:rPr>
            </w:pPr>
            <w:r w:rsidRPr="00416070">
              <w:rPr>
                <w:rFonts w:cs="Tahoma"/>
                <w:color w:val="000000"/>
                <w:szCs w:val="18"/>
              </w:rPr>
              <w:t>SQL Server™ Enterprise Core</w:t>
            </w:r>
          </w:p>
        </w:tc>
      </w:tr>
      <w:tr w:rsidR="00270F92" w:rsidRPr="00416070" w:rsidTr="001E3F7D">
        <w:tc>
          <w:tcPr>
            <w:tcW w:w="4230" w:type="dxa"/>
            <w:tcMar>
              <w:top w:w="0" w:type="dxa"/>
              <w:left w:w="108" w:type="dxa"/>
              <w:bottom w:w="0" w:type="dxa"/>
              <w:right w:w="108" w:type="dxa"/>
            </w:tcMar>
            <w:hideMark/>
          </w:tcPr>
          <w:p w:rsidR="00270F92" w:rsidRPr="00416070" w:rsidRDefault="00270F92" w:rsidP="00270F92">
            <w:pPr>
              <w:rPr>
                <w:rFonts w:eastAsia="Calibri" w:cs="Tahoma"/>
                <w:szCs w:val="18"/>
              </w:rPr>
            </w:pPr>
            <w:r w:rsidRPr="00416070">
              <w:rPr>
                <w:rFonts w:cs="Tahoma"/>
                <w:szCs w:val="18"/>
              </w:rPr>
              <w:t xml:space="preserve">SQL Server ™ </w:t>
            </w:r>
            <w:r w:rsidRPr="00416070">
              <w:rPr>
                <w:rFonts w:cs="Tahoma"/>
                <w:color w:val="000000"/>
                <w:szCs w:val="18"/>
              </w:rPr>
              <w:t>Standard</w:t>
            </w:r>
          </w:p>
        </w:tc>
        <w:tc>
          <w:tcPr>
            <w:tcW w:w="4230" w:type="dxa"/>
            <w:tcMar>
              <w:top w:w="0" w:type="dxa"/>
              <w:left w:w="108" w:type="dxa"/>
              <w:bottom w:w="0" w:type="dxa"/>
              <w:right w:w="108" w:type="dxa"/>
            </w:tcMar>
            <w:hideMark/>
          </w:tcPr>
          <w:p w:rsidR="00270F92" w:rsidRPr="00416070" w:rsidRDefault="00270F92" w:rsidP="00BB516F">
            <w:pPr>
              <w:rPr>
                <w:rFonts w:eastAsia="Calibri" w:cs="Tahoma"/>
                <w:szCs w:val="18"/>
              </w:rPr>
            </w:pPr>
            <w:r w:rsidRPr="00416070">
              <w:rPr>
                <w:rFonts w:cs="Tahoma"/>
                <w:szCs w:val="18"/>
              </w:rPr>
              <w:t>SQL Server™ Business Intelligence</w:t>
            </w:r>
          </w:p>
        </w:tc>
      </w:tr>
      <w:tr w:rsidR="003573CD" w:rsidRPr="00416070" w:rsidTr="001E3F7D">
        <w:tc>
          <w:tcPr>
            <w:tcW w:w="4230" w:type="dxa"/>
            <w:tcMar>
              <w:top w:w="0" w:type="dxa"/>
              <w:left w:w="108" w:type="dxa"/>
              <w:bottom w:w="0" w:type="dxa"/>
              <w:right w:w="108" w:type="dxa"/>
            </w:tcMar>
            <w:hideMark/>
          </w:tcPr>
          <w:p w:rsidR="003573CD" w:rsidRPr="00416070" w:rsidRDefault="00D04131" w:rsidP="00554A35">
            <w:pPr>
              <w:rPr>
                <w:rFonts w:eastAsia="Calibri" w:cs="Tahoma"/>
                <w:szCs w:val="18"/>
              </w:rPr>
            </w:pPr>
            <w:r w:rsidRPr="00416070">
              <w:rPr>
                <w:rFonts w:cs="Tahoma"/>
                <w:szCs w:val="18"/>
              </w:rPr>
              <w:t>System Center 2012 Standard</w:t>
            </w:r>
          </w:p>
        </w:tc>
        <w:tc>
          <w:tcPr>
            <w:tcW w:w="4230" w:type="dxa"/>
            <w:tcMar>
              <w:top w:w="0" w:type="dxa"/>
              <w:left w:w="108" w:type="dxa"/>
              <w:bottom w:w="0" w:type="dxa"/>
              <w:right w:w="108" w:type="dxa"/>
            </w:tcMar>
            <w:hideMark/>
          </w:tcPr>
          <w:p w:rsidR="003573CD" w:rsidRPr="00416070" w:rsidRDefault="00D04131" w:rsidP="00554A35">
            <w:pPr>
              <w:rPr>
                <w:rFonts w:eastAsia="Calibri" w:cs="Tahoma"/>
                <w:szCs w:val="18"/>
              </w:rPr>
            </w:pPr>
            <w:r w:rsidRPr="00416070">
              <w:rPr>
                <w:rFonts w:cs="Tahoma"/>
                <w:szCs w:val="18"/>
              </w:rPr>
              <w:t>System Center 2012 Datacenter</w:t>
            </w:r>
          </w:p>
        </w:tc>
      </w:tr>
      <w:tr w:rsidR="009F254F" w:rsidRPr="00416070" w:rsidTr="001E3F7D">
        <w:tc>
          <w:tcPr>
            <w:tcW w:w="4230" w:type="dxa"/>
            <w:tcMar>
              <w:top w:w="0" w:type="dxa"/>
              <w:left w:w="108" w:type="dxa"/>
              <w:bottom w:w="0" w:type="dxa"/>
              <w:right w:w="108" w:type="dxa"/>
            </w:tcMar>
            <w:hideMark/>
          </w:tcPr>
          <w:p w:rsidR="009F254F" w:rsidRPr="00416070" w:rsidRDefault="009F254F" w:rsidP="00CA4488">
            <w:pPr>
              <w:rPr>
                <w:rFonts w:eastAsia="Calibri" w:cs="Tahoma"/>
                <w:color w:val="000000"/>
                <w:szCs w:val="18"/>
              </w:rPr>
            </w:pPr>
            <w:r w:rsidRPr="00416070">
              <w:rPr>
                <w:rFonts w:cs="Tahoma"/>
                <w:color w:val="000000"/>
                <w:szCs w:val="18"/>
              </w:rPr>
              <w:t>Visio</w:t>
            </w:r>
            <w:r w:rsidR="00510A6E" w:rsidRPr="00416070">
              <w:rPr>
                <w:rFonts w:cs="Tahoma"/>
                <w:color w:val="000000"/>
                <w:szCs w:val="18"/>
                <w:vertAlign w:val="superscript"/>
              </w:rPr>
              <w:t>®</w:t>
            </w:r>
            <w:r w:rsidRPr="00416070">
              <w:rPr>
                <w:rFonts w:cs="Tahoma"/>
                <w:color w:val="000000"/>
                <w:szCs w:val="18"/>
              </w:rPr>
              <w:t xml:space="preserve"> Standard</w:t>
            </w:r>
          </w:p>
        </w:tc>
        <w:tc>
          <w:tcPr>
            <w:tcW w:w="4230" w:type="dxa"/>
            <w:tcMar>
              <w:top w:w="0" w:type="dxa"/>
              <w:left w:w="108" w:type="dxa"/>
              <w:bottom w:w="0" w:type="dxa"/>
              <w:right w:w="108" w:type="dxa"/>
            </w:tcMar>
            <w:hideMark/>
          </w:tcPr>
          <w:p w:rsidR="009F254F" w:rsidRPr="00416070" w:rsidRDefault="009F254F" w:rsidP="00CA4488">
            <w:pPr>
              <w:rPr>
                <w:rFonts w:eastAsia="Calibri" w:cs="Tahoma"/>
                <w:color w:val="000000"/>
                <w:szCs w:val="18"/>
              </w:rPr>
            </w:pPr>
            <w:r w:rsidRPr="00416070">
              <w:rPr>
                <w:rFonts w:cs="Tahoma"/>
                <w:color w:val="000000"/>
                <w:szCs w:val="18"/>
              </w:rPr>
              <w:t>Visio</w:t>
            </w:r>
            <w:r w:rsidR="00510A6E" w:rsidRPr="00416070">
              <w:rPr>
                <w:rFonts w:cs="Tahoma"/>
                <w:color w:val="000000"/>
                <w:szCs w:val="18"/>
                <w:vertAlign w:val="superscript"/>
              </w:rPr>
              <w:t>®</w:t>
            </w:r>
            <w:r w:rsidRPr="00416070">
              <w:rPr>
                <w:rFonts w:cs="Tahoma"/>
                <w:color w:val="000000"/>
                <w:szCs w:val="18"/>
              </w:rPr>
              <w:t xml:space="preserve"> Professional</w:t>
            </w:r>
          </w:p>
        </w:tc>
      </w:tr>
      <w:tr w:rsidR="009F254F" w:rsidRPr="002B5F9E" w:rsidTr="001E3F7D">
        <w:tc>
          <w:tcPr>
            <w:tcW w:w="4230" w:type="dxa"/>
            <w:tcMar>
              <w:top w:w="0" w:type="dxa"/>
              <w:left w:w="108" w:type="dxa"/>
              <w:bottom w:w="0" w:type="dxa"/>
              <w:right w:w="108" w:type="dxa"/>
            </w:tcMar>
            <w:hideMark/>
          </w:tcPr>
          <w:p w:rsidR="009F254F" w:rsidRPr="008D38F6" w:rsidRDefault="009F254F" w:rsidP="00CA4488">
            <w:pPr>
              <w:rPr>
                <w:rFonts w:eastAsia="Calibri" w:cs="Tahoma"/>
                <w:color w:val="000000"/>
                <w:szCs w:val="18"/>
                <w:lang w:val="pt-BR"/>
              </w:rPr>
            </w:pPr>
            <w:r w:rsidRPr="008D38F6">
              <w:rPr>
                <w:rFonts w:cs="Tahoma"/>
                <w:color w:val="000000"/>
                <w:szCs w:val="18"/>
                <w:lang w:val="pt-BR"/>
              </w:rPr>
              <w:t>Visual Studio Professional com MSDN</w:t>
            </w:r>
          </w:p>
        </w:tc>
        <w:tc>
          <w:tcPr>
            <w:tcW w:w="4230" w:type="dxa"/>
            <w:tcMar>
              <w:top w:w="0" w:type="dxa"/>
              <w:left w:w="108" w:type="dxa"/>
              <w:bottom w:w="0" w:type="dxa"/>
              <w:right w:w="108" w:type="dxa"/>
            </w:tcMar>
            <w:hideMark/>
          </w:tcPr>
          <w:p w:rsidR="009F254F" w:rsidRPr="008D38F6" w:rsidRDefault="009F254F" w:rsidP="00CA4488">
            <w:pPr>
              <w:rPr>
                <w:rFonts w:eastAsia="Calibri" w:cs="Tahoma"/>
                <w:color w:val="000000"/>
                <w:szCs w:val="18"/>
                <w:lang w:val="pt-BR"/>
              </w:rPr>
            </w:pPr>
            <w:r w:rsidRPr="008D38F6">
              <w:rPr>
                <w:rFonts w:cs="Tahoma"/>
                <w:color w:val="000000"/>
                <w:szCs w:val="18"/>
                <w:lang w:val="pt-BR"/>
              </w:rPr>
              <w:t>Visual Studio Premium com MSDN</w:t>
            </w:r>
          </w:p>
        </w:tc>
      </w:tr>
      <w:tr w:rsidR="009F254F" w:rsidRPr="002B5F9E" w:rsidTr="001E3F7D">
        <w:tc>
          <w:tcPr>
            <w:tcW w:w="4230" w:type="dxa"/>
            <w:tcMar>
              <w:top w:w="0" w:type="dxa"/>
              <w:left w:w="108" w:type="dxa"/>
              <w:bottom w:w="0" w:type="dxa"/>
              <w:right w:w="108" w:type="dxa"/>
            </w:tcMar>
            <w:hideMark/>
          </w:tcPr>
          <w:p w:rsidR="009F254F" w:rsidRPr="008D38F6" w:rsidRDefault="009F254F" w:rsidP="00CA4488">
            <w:pPr>
              <w:rPr>
                <w:rFonts w:eastAsia="Calibri" w:cs="Tahoma"/>
                <w:szCs w:val="18"/>
                <w:lang w:val="pt-BR"/>
              </w:rPr>
            </w:pPr>
            <w:r w:rsidRPr="008D38F6">
              <w:rPr>
                <w:rFonts w:cs="Tahoma"/>
                <w:szCs w:val="18"/>
                <w:lang w:val="pt-BR"/>
              </w:rPr>
              <w:t>Visual Studio Premium com MSDN</w:t>
            </w:r>
          </w:p>
        </w:tc>
        <w:tc>
          <w:tcPr>
            <w:tcW w:w="4230" w:type="dxa"/>
            <w:tcMar>
              <w:top w:w="0" w:type="dxa"/>
              <w:left w:w="108" w:type="dxa"/>
              <w:bottom w:w="0" w:type="dxa"/>
              <w:right w:w="108" w:type="dxa"/>
            </w:tcMar>
            <w:hideMark/>
          </w:tcPr>
          <w:p w:rsidR="009F254F" w:rsidRPr="008D38F6" w:rsidRDefault="009F254F" w:rsidP="00CA4488">
            <w:pPr>
              <w:rPr>
                <w:rFonts w:eastAsia="Calibri" w:cs="Tahoma"/>
                <w:szCs w:val="18"/>
                <w:lang w:val="pt-BR"/>
              </w:rPr>
            </w:pPr>
            <w:r w:rsidRPr="008D38F6">
              <w:rPr>
                <w:rFonts w:cs="Tahoma"/>
                <w:szCs w:val="18"/>
                <w:lang w:val="pt-BR"/>
              </w:rPr>
              <w:t>Visual Studio Ultimate com MSDN</w:t>
            </w:r>
          </w:p>
        </w:tc>
      </w:tr>
      <w:tr w:rsidR="009F254F" w:rsidRPr="002B5F9E" w:rsidTr="001E3F7D">
        <w:tc>
          <w:tcPr>
            <w:tcW w:w="4230" w:type="dxa"/>
            <w:tcMar>
              <w:top w:w="0" w:type="dxa"/>
              <w:left w:w="108" w:type="dxa"/>
              <w:bottom w:w="0" w:type="dxa"/>
              <w:right w:w="108" w:type="dxa"/>
            </w:tcMar>
            <w:hideMark/>
          </w:tcPr>
          <w:p w:rsidR="009F254F" w:rsidRPr="00416070" w:rsidRDefault="009F254F" w:rsidP="00CA4488">
            <w:pPr>
              <w:rPr>
                <w:rFonts w:eastAsia="Calibri" w:cs="Tahoma"/>
                <w:szCs w:val="18"/>
              </w:rPr>
            </w:pPr>
            <w:r w:rsidRPr="00416070">
              <w:rPr>
                <w:rFonts w:cs="Tahoma"/>
                <w:szCs w:val="18"/>
              </w:rPr>
              <w:t>Visual Studio Test Professional com MSDN</w:t>
            </w:r>
          </w:p>
        </w:tc>
        <w:tc>
          <w:tcPr>
            <w:tcW w:w="4230" w:type="dxa"/>
            <w:tcMar>
              <w:top w:w="0" w:type="dxa"/>
              <w:left w:w="108" w:type="dxa"/>
              <w:bottom w:w="0" w:type="dxa"/>
              <w:right w:w="108" w:type="dxa"/>
            </w:tcMar>
            <w:hideMark/>
          </w:tcPr>
          <w:p w:rsidR="009F254F" w:rsidRPr="008D38F6" w:rsidRDefault="009F254F" w:rsidP="007E710C">
            <w:pPr>
              <w:rPr>
                <w:rFonts w:eastAsia="Calibri" w:cs="Tahoma"/>
                <w:szCs w:val="18"/>
                <w:lang w:val="pt-BR"/>
              </w:rPr>
            </w:pPr>
            <w:r w:rsidRPr="008D38F6">
              <w:rPr>
                <w:rFonts w:cs="Tahoma"/>
                <w:szCs w:val="18"/>
                <w:lang w:val="pt-BR"/>
              </w:rPr>
              <w:t>Visual Studio Premium com MSDN</w:t>
            </w:r>
          </w:p>
        </w:tc>
      </w:tr>
      <w:tr w:rsidR="003573CD" w:rsidRPr="00416070" w:rsidTr="001E3F7D">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Windows</w:t>
            </w:r>
            <w:r w:rsidR="00510A6E" w:rsidRPr="00416070">
              <w:rPr>
                <w:rFonts w:cs="Tahoma"/>
                <w:szCs w:val="18"/>
                <w:vertAlign w:val="superscript"/>
              </w:rPr>
              <w:t>®</w:t>
            </w:r>
            <w:r w:rsidRPr="00416070">
              <w:rPr>
                <w:rFonts w:cs="Tahoma"/>
                <w:szCs w:val="18"/>
              </w:rPr>
              <w:t xml:space="preserve"> Server™ Standard</w:t>
            </w:r>
          </w:p>
        </w:tc>
        <w:tc>
          <w:tcPr>
            <w:tcW w:w="4230" w:type="dxa"/>
            <w:tcMar>
              <w:top w:w="0" w:type="dxa"/>
              <w:left w:w="108" w:type="dxa"/>
              <w:bottom w:w="0" w:type="dxa"/>
              <w:right w:w="108" w:type="dxa"/>
            </w:tcMar>
            <w:hideMark/>
          </w:tcPr>
          <w:p w:rsidR="003573CD" w:rsidRPr="00416070" w:rsidRDefault="003573CD" w:rsidP="00554A35">
            <w:pPr>
              <w:rPr>
                <w:rFonts w:eastAsia="Calibri" w:cs="Tahoma"/>
                <w:szCs w:val="18"/>
              </w:rPr>
            </w:pPr>
            <w:r w:rsidRPr="00416070">
              <w:rPr>
                <w:rFonts w:cs="Tahoma"/>
                <w:szCs w:val="18"/>
              </w:rPr>
              <w:t>Windows</w:t>
            </w:r>
            <w:r w:rsidR="00510A6E" w:rsidRPr="00416070">
              <w:rPr>
                <w:rFonts w:cs="Tahoma"/>
                <w:szCs w:val="18"/>
                <w:vertAlign w:val="superscript"/>
              </w:rPr>
              <w:t>®</w:t>
            </w:r>
            <w:r w:rsidRPr="00416070">
              <w:rPr>
                <w:rFonts w:cs="Tahoma"/>
                <w:szCs w:val="18"/>
              </w:rPr>
              <w:t xml:space="preserve"> Server™ Datacenter</w:t>
            </w:r>
          </w:p>
        </w:tc>
      </w:tr>
    </w:tbl>
    <w:p w:rsidR="003573CD" w:rsidRPr="008D38F6" w:rsidRDefault="003573CD" w:rsidP="003573CD">
      <w:pPr>
        <w:pStyle w:val="AppendixBodyText"/>
        <w:ind w:left="1710" w:hanging="1260"/>
        <w:rPr>
          <w:lang w:val="pt-BR"/>
        </w:rPr>
      </w:pPr>
      <w:r w:rsidRPr="008D38F6">
        <w:rPr>
          <w:rFonts w:ascii="Tahoma" w:hAnsi="Tahoma" w:cs="Tahoma"/>
          <w:b/>
          <w:i/>
          <w:sz w:val="16"/>
          <w:szCs w:val="16"/>
          <w:lang w:val="pt-BR"/>
        </w:rPr>
        <w:t>*Observação:</w:t>
      </w:r>
      <w:r w:rsidRPr="008D38F6">
        <w:rPr>
          <w:rFonts w:ascii="Tahoma" w:hAnsi="Tahoma" w:cs="Tahoma"/>
          <w:i/>
          <w:sz w:val="16"/>
          <w:szCs w:val="16"/>
          <w:lang w:val="pt-BR"/>
        </w:rPr>
        <w:t xml:space="preserve"> a lista de produtos para os quais as Licenças Step-up estão disponíveis está sujeita a alteração.</w:t>
      </w:r>
    </w:p>
    <w:p w:rsidR="003573CD" w:rsidRPr="008D38F6" w:rsidRDefault="003573CD">
      <w:pPr>
        <w:rPr>
          <w:lang w:val="pt-BR"/>
        </w:rPr>
      </w:pPr>
    </w:p>
    <w:p w:rsidR="00023FE7" w:rsidRPr="008D38F6" w:rsidRDefault="00023FE7">
      <w:pPr>
        <w:pStyle w:val="AppendixBodyText"/>
        <w:ind w:left="1710" w:hanging="1260"/>
        <w:rPr>
          <w:lang w:val="pt-BR"/>
        </w:rPr>
      </w:pPr>
      <w:r w:rsidRPr="008D38F6">
        <w:rPr>
          <w:rFonts w:ascii="Tahoma" w:hAnsi="Tahoma" w:cs="Tahoma"/>
          <w:b/>
          <w:i/>
          <w:lang w:val="pt-BR"/>
        </w:rPr>
        <w:t xml:space="preserve"> </w:t>
      </w:r>
    </w:p>
    <w:p w:rsidR="00023FE7" w:rsidRPr="002B5F9E" w:rsidRDefault="00CA395A" w:rsidP="002B5F9E">
      <w:pPr>
        <w:pStyle w:val="Heading1"/>
        <w:spacing w:before="0"/>
        <w:rPr>
          <w:lang w:val="en-US"/>
        </w:rPr>
      </w:pPr>
      <w:r w:rsidRPr="00416070">
        <w:br w:type="page"/>
      </w:r>
      <w:bookmarkStart w:id="968" w:name="_Toc317591256"/>
      <w:bookmarkStart w:id="969" w:name="_Toc336338247"/>
      <w:bookmarkStart w:id="970" w:name="_Toc352234315"/>
      <w:r w:rsidRPr="00416070">
        <w:lastRenderedPageBreak/>
        <w:t xml:space="preserve">SEÇÃO 8 </w:t>
      </w:r>
      <w:r w:rsidR="002B5F9E" w:rsidRPr="002B5F9E">
        <w:t>–</w:t>
      </w:r>
      <w:r w:rsidRPr="00416070">
        <w:t xml:space="preserve"> ServiÇOS</w:t>
      </w:r>
      <w:bookmarkEnd w:id="968"/>
      <w:bookmarkEnd w:id="969"/>
      <w:bookmarkEnd w:id="970"/>
    </w:p>
    <w:p w:rsidR="00023FE7" w:rsidRPr="002E114F" w:rsidRDefault="00023FE7">
      <w:pPr>
        <w:rPr>
          <w:lang w:val="pt-BR"/>
        </w:rPr>
      </w:pPr>
    </w:p>
    <w:p w:rsidR="00DD7F8E" w:rsidRPr="002E114F" w:rsidRDefault="00DD7F8E" w:rsidP="00607FE8">
      <w:pPr>
        <w:jc w:val="both"/>
        <w:rPr>
          <w:lang w:val="pt-BR"/>
        </w:rPr>
      </w:pPr>
      <w:r w:rsidRPr="002E114F">
        <w:rPr>
          <w:rFonts w:eastAsia="Times New Roman" w:cs="Tahoma"/>
          <w:szCs w:val="20"/>
          <w:lang w:val="pt-BR"/>
        </w:rP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w:t>
      </w:r>
      <w:r w:rsidR="00FB5496" w:rsidRPr="002E114F">
        <w:rPr>
          <w:rFonts w:eastAsia="Times New Roman" w:cs="Tahoma"/>
          <w:szCs w:val="20"/>
          <w:lang w:val="pt-BR"/>
        </w:rPr>
        <w:t xml:space="preserve"> </w:t>
      </w:r>
      <w:r w:rsidRPr="002E114F">
        <w:rPr>
          <w:rFonts w:cs="Tahoma"/>
          <w:color w:val="000000"/>
          <w:szCs w:val="18"/>
          <w:lang w:val="pt-BR"/>
        </w:rPr>
        <w:t>Se o contrato de licença por volume ou os termos dos Serviços de nível master do cliente não contiverem a Propriedade dos Serviços e a linguagem da Licença, o Uso, a propriedade e os direitos de licença estabelecidos nos Termos e Condições de Serviços Adicionais a seguir serão aplicáveis.</w:t>
      </w:r>
      <w:r w:rsidR="00FB5496" w:rsidRPr="002E114F">
        <w:rPr>
          <w:rFonts w:cs="Tahoma"/>
          <w:color w:val="000000"/>
          <w:szCs w:val="18"/>
          <w:lang w:val="pt-BR"/>
        </w:rPr>
        <w:t xml:space="preserve"> </w:t>
      </w:r>
      <w:r w:rsidRPr="002E114F">
        <w:rPr>
          <w:rFonts w:eastAsia="Times New Roman" w:cs="Tahoma"/>
          <w:szCs w:val="20"/>
          <w:lang w:val="pt-BR"/>
        </w:rPr>
        <w:t>Se o cliente não tiver um contrato de Serviços de nível master com a Microsoft, todos os Termos e Condições de Serviços Adicionais a seguir serão aplicados.</w:t>
      </w:r>
    </w:p>
    <w:p w:rsidR="00DD7F8E" w:rsidRPr="002E114F" w:rsidRDefault="00DD7F8E" w:rsidP="00607FE8">
      <w:pPr>
        <w:jc w:val="both"/>
        <w:rPr>
          <w:lang w:val="pt-BR"/>
        </w:rPr>
      </w:pPr>
    </w:p>
    <w:p w:rsidR="00DD7F8E" w:rsidRPr="002E114F" w:rsidRDefault="00DD7F8E" w:rsidP="00607FE8">
      <w:pPr>
        <w:spacing w:after="75"/>
        <w:rPr>
          <w:lang w:val="pt-BR"/>
        </w:rPr>
      </w:pPr>
      <w:r w:rsidRPr="002E114F">
        <w:rPr>
          <w:rFonts w:eastAsia="Times New Roman" w:cs="Tahoma"/>
          <w:szCs w:val="20"/>
          <w:lang w:val="pt-BR"/>
        </w:rPr>
        <w:t>Uma descrição detalhada de todos os Serviços dos quais os clientes podem adquirir o direito é fornecida na seção a</w:t>
      </w:r>
      <w:r w:rsidR="007B1A45" w:rsidRPr="002E114F">
        <w:rPr>
          <w:rFonts w:eastAsia="Times New Roman" w:cs="Tahoma"/>
          <w:szCs w:val="20"/>
          <w:lang w:val="pt-BR"/>
        </w:rPr>
        <w:t> </w:t>
      </w:r>
      <w:r w:rsidR="007E2720" w:rsidRPr="002E114F">
        <w:rPr>
          <w:rFonts w:eastAsia="Times New Roman" w:cs="Tahoma"/>
          <w:szCs w:val="20"/>
          <w:lang w:val="pt-BR"/>
        </w:rPr>
        <w:t>seguir.</w:t>
      </w:r>
    </w:p>
    <w:p w:rsidR="00DD7F8E" w:rsidRPr="002E114F" w:rsidRDefault="00DD7F8E" w:rsidP="00607FE8">
      <w:pPr>
        <w:spacing w:after="75"/>
        <w:rPr>
          <w:lang w:val="pt-BR"/>
        </w:rPr>
      </w:pPr>
      <w:r w:rsidRPr="002E114F">
        <w:rPr>
          <w:rFonts w:eastAsia="Times New Roman" w:cs="Tahoma"/>
          <w:szCs w:val="20"/>
          <w:lang w:val="pt-BR"/>
        </w:rPr>
        <w:t>A disponibilidade das ofertas a seguir varia por região e Programa de Licenciamento por Volume. Algumas ofertas poderão não estar disponíveis para clientes do Governo com determinadas exceções em uma base experimental. Os</w:t>
      </w:r>
      <w:r w:rsidR="007B1A45" w:rsidRPr="002E114F">
        <w:rPr>
          <w:rFonts w:eastAsia="Times New Roman" w:cs="Tahoma"/>
          <w:szCs w:val="20"/>
          <w:lang w:val="pt-BR"/>
        </w:rPr>
        <w:t> </w:t>
      </w:r>
      <w:r w:rsidRPr="002E114F">
        <w:rPr>
          <w:rFonts w:eastAsia="Times New Roman" w:cs="Tahoma"/>
          <w:szCs w:val="20"/>
          <w:lang w:val="pt-BR"/>
        </w:rPr>
        <w:t>clientes devem entrar em contato com o revendedor ou o Gerente de Conta Microsoft para obter informações sobre a disponibilidade regional de uma oferta específica.</w:t>
      </w:r>
    </w:p>
    <w:p w:rsidR="00F42FB8" w:rsidRPr="002E114F" w:rsidRDefault="00F42FB8" w:rsidP="00DD7F8E">
      <w:pPr>
        <w:rPr>
          <w:lang w:val="pt-BR"/>
        </w:rPr>
      </w:pPr>
    </w:p>
    <w:p w:rsidR="00DD7F8E" w:rsidRPr="002E114F" w:rsidRDefault="00DD7F8E" w:rsidP="00DD7F8E">
      <w:pPr>
        <w:rPr>
          <w:lang w:val="pt-BR"/>
        </w:rPr>
      </w:pPr>
      <w:r w:rsidRPr="002E114F">
        <w:rPr>
          <w:b/>
          <w:sz w:val="24"/>
          <w:szCs w:val="24"/>
          <w:lang w:val="pt-BR"/>
        </w:rPr>
        <w:t>Ofertas de Suporte do Microsoft Premier</w:t>
      </w:r>
    </w:p>
    <w:p w:rsidR="00DB2D1E" w:rsidRPr="002E114F" w:rsidRDefault="00DB2D1E" w:rsidP="00DC0853">
      <w:pPr>
        <w:rPr>
          <w:lang w:val="pt-B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416070" w:rsidTr="002A6416">
        <w:tc>
          <w:tcPr>
            <w:tcW w:w="3168" w:type="dxa"/>
            <w:shd w:val="clear" w:color="auto" w:fill="FABF8F"/>
            <w:vAlign w:val="center"/>
          </w:tcPr>
          <w:p w:rsidR="00DB2D1E" w:rsidRPr="00416070" w:rsidRDefault="00DB2D1E" w:rsidP="00DE73D4">
            <w:pPr>
              <w:jc w:val="center"/>
              <w:rPr>
                <w:rFonts w:cs="Tahoma"/>
                <w:color w:val="000000"/>
                <w:szCs w:val="18"/>
              </w:rPr>
            </w:pPr>
            <w:r w:rsidRPr="00416070">
              <w:rPr>
                <w:rFonts w:cs="Tahoma"/>
                <w:b/>
                <w:bCs/>
                <w:color w:val="000000"/>
                <w:sz w:val="20"/>
                <w:szCs w:val="18"/>
              </w:rPr>
              <w:t xml:space="preserve">Área </w:t>
            </w:r>
            <w:r w:rsidRPr="00416070">
              <w:rPr>
                <w:rFonts w:cs="Tahoma"/>
                <w:b/>
                <w:bCs/>
                <w:color w:val="000000"/>
                <w:sz w:val="20"/>
                <w:szCs w:val="18"/>
                <w:vertAlign w:val="superscript"/>
              </w:rPr>
              <w:t>1</w:t>
            </w:r>
          </w:p>
        </w:tc>
        <w:tc>
          <w:tcPr>
            <w:tcW w:w="1580" w:type="dxa"/>
            <w:shd w:val="clear" w:color="auto" w:fill="FABF8F"/>
            <w:vAlign w:val="center"/>
          </w:tcPr>
          <w:p w:rsidR="00DB2D1E" w:rsidRPr="00416070" w:rsidRDefault="00DB2D1E" w:rsidP="00DE73D4">
            <w:pPr>
              <w:jc w:val="center"/>
              <w:rPr>
                <w:rFonts w:cs="Tahoma"/>
                <w:color w:val="000000"/>
                <w:sz w:val="20"/>
                <w:szCs w:val="20"/>
              </w:rPr>
            </w:pPr>
            <w:r w:rsidRPr="00416070">
              <w:rPr>
                <w:rFonts w:cs="Tahoma"/>
                <w:b/>
                <w:bCs/>
                <w:color w:val="000000"/>
                <w:sz w:val="20"/>
                <w:szCs w:val="20"/>
              </w:rPr>
              <w:t>Premier Core</w:t>
            </w:r>
          </w:p>
        </w:tc>
        <w:tc>
          <w:tcPr>
            <w:tcW w:w="1444" w:type="dxa"/>
            <w:shd w:val="clear" w:color="auto" w:fill="FABF8F"/>
          </w:tcPr>
          <w:p w:rsidR="00DB2D1E" w:rsidRPr="00416070" w:rsidRDefault="00DB2D1E" w:rsidP="00DE73D4">
            <w:pPr>
              <w:jc w:val="center"/>
              <w:rPr>
                <w:rFonts w:cs="Tahoma"/>
                <w:b/>
                <w:bCs/>
                <w:color w:val="000000"/>
                <w:sz w:val="20"/>
                <w:szCs w:val="18"/>
              </w:rPr>
            </w:pPr>
            <w:r w:rsidRPr="00416070">
              <w:rPr>
                <w:rFonts w:cs="Tahoma"/>
                <w:b/>
                <w:bCs/>
                <w:color w:val="000000"/>
                <w:sz w:val="20"/>
                <w:szCs w:val="18"/>
              </w:rPr>
              <w:t>Premier Foundation</w:t>
            </w:r>
          </w:p>
        </w:tc>
        <w:tc>
          <w:tcPr>
            <w:tcW w:w="1687" w:type="dxa"/>
            <w:shd w:val="clear" w:color="auto" w:fill="FABF8F"/>
            <w:vAlign w:val="center"/>
          </w:tcPr>
          <w:p w:rsidR="00DB2D1E" w:rsidRPr="00416070" w:rsidRDefault="00DB2D1E" w:rsidP="00DE73D4">
            <w:pPr>
              <w:jc w:val="center"/>
              <w:rPr>
                <w:rFonts w:cs="Tahoma"/>
                <w:color w:val="000000"/>
                <w:szCs w:val="18"/>
              </w:rPr>
            </w:pPr>
            <w:r w:rsidRPr="00416070">
              <w:rPr>
                <w:rFonts w:cs="Tahoma"/>
                <w:b/>
                <w:bCs/>
                <w:color w:val="000000"/>
                <w:sz w:val="20"/>
                <w:szCs w:val="18"/>
              </w:rPr>
              <w:t>Premier Standard</w:t>
            </w:r>
          </w:p>
        </w:tc>
        <w:tc>
          <w:tcPr>
            <w:tcW w:w="1589" w:type="dxa"/>
            <w:shd w:val="clear" w:color="auto" w:fill="FABF8F"/>
            <w:vAlign w:val="center"/>
          </w:tcPr>
          <w:p w:rsidR="00DB2D1E" w:rsidRPr="00416070" w:rsidRDefault="00DB2D1E" w:rsidP="00DE73D4">
            <w:pPr>
              <w:jc w:val="center"/>
              <w:rPr>
                <w:rFonts w:cs="Tahoma"/>
                <w:color w:val="000000"/>
                <w:szCs w:val="18"/>
              </w:rPr>
            </w:pPr>
            <w:r w:rsidRPr="00416070">
              <w:rPr>
                <w:rFonts w:cs="Tahoma"/>
                <w:b/>
                <w:bCs/>
                <w:color w:val="000000"/>
                <w:sz w:val="20"/>
                <w:szCs w:val="18"/>
              </w:rPr>
              <w:t>Premier Plus</w:t>
            </w:r>
          </w:p>
        </w:tc>
      </w:tr>
      <w:tr w:rsidR="00DB2D1E" w:rsidRPr="00416070" w:rsidTr="002A6416">
        <w:tc>
          <w:tcPr>
            <w:tcW w:w="3168" w:type="dxa"/>
            <w:vAlign w:val="center"/>
          </w:tcPr>
          <w:p w:rsidR="00DB2D1E" w:rsidRPr="002E114F" w:rsidRDefault="00DB2D1E" w:rsidP="00DE73D4">
            <w:pPr>
              <w:rPr>
                <w:rFonts w:cs="Tahoma"/>
                <w:color w:val="000000"/>
                <w:szCs w:val="18"/>
                <w:lang w:val="pt-BR"/>
              </w:rPr>
            </w:pPr>
            <w:r w:rsidRPr="002E114F">
              <w:rPr>
                <w:rFonts w:cs="Tahoma"/>
                <w:color w:val="000000"/>
                <w:szCs w:val="18"/>
                <w:lang w:val="pt-BR"/>
              </w:rPr>
              <w:t xml:space="preserve">Gerenciamento de Conta de Suporte </w:t>
            </w:r>
          </w:p>
        </w:tc>
        <w:tc>
          <w:tcPr>
            <w:tcW w:w="1580" w:type="dxa"/>
            <w:vAlign w:val="center"/>
          </w:tcPr>
          <w:p w:rsidR="00DB2D1E" w:rsidRPr="00416070" w:rsidRDefault="00DB2D1E" w:rsidP="00DE73D4">
            <w:pPr>
              <w:jc w:val="center"/>
              <w:rPr>
                <w:rFonts w:cs="Tahoma"/>
                <w:color w:val="000000"/>
                <w:szCs w:val="18"/>
              </w:rPr>
            </w:pPr>
            <w:r w:rsidRPr="00416070">
              <w:rPr>
                <w:rFonts w:ascii="MS UI Gothic" w:eastAsia="MS UI Gothic" w:hAnsi="MS UI Gothic" w:cs="MS UI Gothic"/>
                <w:color w:val="000000"/>
                <w:szCs w:val="18"/>
              </w:rPr>
              <w:t>✓</w:t>
            </w:r>
          </w:p>
        </w:tc>
        <w:tc>
          <w:tcPr>
            <w:tcW w:w="1444" w:type="dxa"/>
            <w:vAlign w:val="center"/>
          </w:tcPr>
          <w:p w:rsidR="00DB2D1E" w:rsidRPr="00416070" w:rsidRDefault="00DB2D1E" w:rsidP="00DE73D4">
            <w:pPr>
              <w:jc w:val="center"/>
              <w:rPr>
                <w:rFonts w:cs="Tahoma"/>
                <w:color w:val="000000"/>
                <w:szCs w:val="18"/>
              </w:rPr>
            </w:pPr>
            <w:r w:rsidRPr="00416070">
              <w:rPr>
                <w:rFonts w:ascii="MS UI Gothic" w:eastAsia="MS UI Gothic" w:hAnsi="MS UI Gothic" w:cs="MS UI Gothic"/>
                <w:color w:val="000000"/>
                <w:szCs w:val="18"/>
              </w:rPr>
              <w:t>✓</w:t>
            </w:r>
          </w:p>
        </w:tc>
        <w:tc>
          <w:tcPr>
            <w:tcW w:w="1687" w:type="dxa"/>
            <w:vAlign w:val="center"/>
          </w:tcPr>
          <w:p w:rsidR="00DB2D1E" w:rsidRPr="00416070" w:rsidRDefault="00DB2D1E" w:rsidP="00DE73D4">
            <w:pPr>
              <w:jc w:val="center"/>
              <w:rPr>
                <w:rFonts w:cs="Tahoma"/>
                <w:color w:val="000000"/>
                <w:szCs w:val="18"/>
              </w:rPr>
            </w:pPr>
            <w:r w:rsidRPr="00416070">
              <w:rPr>
                <w:rFonts w:cs="Tahoma"/>
                <w:color w:val="000000"/>
                <w:szCs w:val="18"/>
              </w:rPr>
              <w:t>√</w:t>
            </w:r>
          </w:p>
        </w:tc>
        <w:tc>
          <w:tcPr>
            <w:tcW w:w="1589" w:type="dxa"/>
            <w:vAlign w:val="center"/>
          </w:tcPr>
          <w:p w:rsidR="00DB2D1E" w:rsidRPr="00416070" w:rsidRDefault="00DB2D1E" w:rsidP="00DE73D4">
            <w:pPr>
              <w:jc w:val="center"/>
              <w:rPr>
                <w:rFonts w:cs="Tahoma"/>
                <w:color w:val="000000"/>
                <w:szCs w:val="18"/>
              </w:rPr>
            </w:pPr>
            <w:r w:rsidRPr="00416070">
              <w:rPr>
                <w:rFonts w:cs="Tahoma"/>
                <w:color w:val="000000"/>
                <w:szCs w:val="18"/>
              </w:rPr>
              <w:t>√</w:t>
            </w:r>
          </w:p>
        </w:tc>
      </w:tr>
      <w:tr w:rsidR="00DB2D1E" w:rsidRPr="00416070" w:rsidTr="002A6416">
        <w:tc>
          <w:tcPr>
            <w:tcW w:w="3168" w:type="dxa"/>
            <w:vAlign w:val="center"/>
          </w:tcPr>
          <w:p w:rsidR="00DB2D1E" w:rsidRPr="002E114F" w:rsidRDefault="00DB2D1E" w:rsidP="007B1A45">
            <w:pPr>
              <w:rPr>
                <w:rFonts w:cs="Tahoma"/>
                <w:color w:val="000000"/>
                <w:szCs w:val="18"/>
                <w:lang w:val="pt-BR"/>
              </w:rPr>
            </w:pPr>
            <w:r w:rsidRPr="002E114F">
              <w:rPr>
                <w:rFonts w:cs="Tahoma"/>
                <w:color w:val="000000"/>
                <w:szCs w:val="18"/>
                <w:lang w:val="pt-BR"/>
              </w:rPr>
              <w:t>Criação de Perfil e Relatório de</w:t>
            </w:r>
            <w:r w:rsidR="007B1A45" w:rsidRPr="002E114F">
              <w:rPr>
                <w:rFonts w:cs="Tahoma"/>
                <w:color w:val="000000"/>
                <w:szCs w:val="18"/>
                <w:lang w:val="pt-BR"/>
              </w:rPr>
              <w:t> </w:t>
            </w:r>
            <w:r w:rsidRPr="002E114F">
              <w:rPr>
                <w:rFonts w:cs="Tahoma"/>
                <w:color w:val="000000"/>
                <w:szCs w:val="18"/>
                <w:lang w:val="pt-BR"/>
              </w:rPr>
              <w:t>Conta</w:t>
            </w:r>
          </w:p>
        </w:tc>
        <w:tc>
          <w:tcPr>
            <w:tcW w:w="1580" w:type="dxa"/>
            <w:vAlign w:val="center"/>
          </w:tcPr>
          <w:p w:rsidR="00DB2D1E" w:rsidRPr="00416070" w:rsidRDefault="00DB2D1E" w:rsidP="00DE73D4">
            <w:pPr>
              <w:jc w:val="center"/>
              <w:rPr>
                <w:rFonts w:cs="Tahoma"/>
                <w:color w:val="000000"/>
                <w:szCs w:val="18"/>
              </w:rPr>
            </w:pPr>
            <w:r w:rsidRPr="00416070">
              <w:rPr>
                <w:rFonts w:cs="Tahoma"/>
                <w:color w:val="000000"/>
                <w:szCs w:val="18"/>
              </w:rPr>
              <w:t>Mensal</w:t>
            </w:r>
          </w:p>
        </w:tc>
        <w:tc>
          <w:tcPr>
            <w:tcW w:w="1444" w:type="dxa"/>
            <w:vAlign w:val="center"/>
          </w:tcPr>
          <w:p w:rsidR="00DB2D1E" w:rsidRPr="00416070" w:rsidRDefault="00DB2D1E" w:rsidP="00DE73D4">
            <w:pPr>
              <w:jc w:val="center"/>
              <w:rPr>
                <w:rFonts w:cs="Tahoma"/>
                <w:color w:val="000000"/>
                <w:szCs w:val="18"/>
              </w:rPr>
            </w:pPr>
            <w:r w:rsidRPr="00416070">
              <w:rPr>
                <w:rFonts w:cs="Tahoma"/>
                <w:color w:val="000000"/>
                <w:szCs w:val="18"/>
              </w:rPr>
              <w:t>Mensal</w:t>
            </w:r>
          </w:p>
        </w:tc>
        <w:tc>
          <w:tcPr>
            <w:tcW w:w="1687" w:type="dxa"/>
            <w:vAlign w:val="center"/>
          </w:tcPr>
          <w:p w:rsidR="00DB2D1E" w:rsidRPr="00416070" w:rsidRDefault="00DB2D1E" w:rsidP="00DE73D4">
            <w:pPr>
              <w:jc w:val="center"/>
              <w:rPr>
                <w:rFonts w:cs="Tahoma"/>
                <w:color w:val="000000"/>
                <w:szCs w:val="18"/>
              </w:rPr>
            </w:pPr>
            <w:r w:rsidRPr="00416070">
              <w:rPr>
                <w:rFonts w:cs="Tahoma"/>
                <w:color w:val="000000"/>
                <w:szCs w:val="18"/>
              </w:rPr>
              <w:t>Mensal</w:t>
            </w:r>
          </w:p>
        </w:tc>
        <w:tc>
          <w:tcPr>
            <w:tcW w:w="1589" w:type="dxa"/>
            <w:vAlign w:val="center"/>
          </w:tcPr>
          <w:p w:rsidR="00DB2D1E" w:rsidRPr="00416070" w:rsidRDefault="00DB2D1E" w:rsidP="00DE73D4">
            <w:pPr>
              <w:jc w:val="center"/>
              <w:rPr>
                <w:rFonts w:cs="Tahoma"/>
                <w:color w:val="000000"/>
                <w:szCs w:val="18"/>
              </w:rPr>
            </w:pPr>
            <w:r w:rsidRPr="00416070">
              <w:rPr>
                <w:rFonts w:cs="Tahoma"/>
                <w:color w:val="000000"/>
                <w:szCs w:val="18"/>
              </w:rPr>
              <w:t>Mensal</w:t>
            </w:r>
          </w:p>
        </w:tc>
      </w:tr>
      <w:tr w:rsidR="00DB2D1E" w:rsidRPr="00416070" w:rsidTr="002A6416">
        <w:tc>
          <w:tcPr>
            <w:tcW w:w="3168" w:type="dxa"/>
            <w:vAlign w:val="center"/>
          </w:tcPr>
          <w:p w:rsidR="00DB2D1E" w:rsidRPr="002E114F" w:rsidRDefault="00DB2D1E" w:rsidP="007B1A45">
            <w:pPr>
              <w:rPr>
                <w:rFonts w:cs="Tahoma"/>
                <w:color w:val="000000"/>
                <w:szCs w:val="18"/>
                <w:lang w:val="pt-BR"/>
              </w:rPr>
            </w:pPr>
            <w:r w:rsidRPr="002E114F">
              <w:rPr>
                <w:rFonts w:cs="Tahoma"/>
                <w:color w:val="000000"/>
                <w:szCs w:val="18"/>
                <w:lang w:val="pt-BR"/>
              </w:rPr>
              <w:t>Assistência de Suporte (horas</w:t>
            </w:r>
            <w:r w:rsidR="007B1A45" w:rsidRPr="002E114F">
              <w:rPr>
                <w:rFonts w:cs="Tahoma"/>
                <w:color w:val="000000"/>
                <w:szCs w:val="18"/>
                <w:lang w:val="pt-BR"/>
              </w:rPr>
              <w:t> </w:t>
            </w:r>
            <w:r w:rsidRPr="002E114F">
              <w:rPr>
                <w:rFonts w:cs="Tahoma"/>
                <w:color w:val="000000"/>
                <w:szCs w:val="18"/>
                <w:lang w:val="pt-BR"/>
              </w:rPr>
              <w:t>alocadas anualmente)</w:t>
            </w:r>
          </w:p>
        </w:tc>
        <w:tc>
          <w:tcPr>
            <w:tcW w:w="1580" w:type="dxa"/>
            <w:vAlign w:val="center"/>
          </w:tcPr>
          <w:p w:rsidR="00DB2D1E" w:rsidRPr="00416070" w:rsidRDefault="00DB2D1E" w:rsidP="00DE73D4">
            <w:pPr>
              <w:jc w:val="center"/>
              <w:rPr>
                <w:rFonts w:cs="Tahoma"/>
                <w:color w:val="000000"/>
                <w:szCs w:val="18"/>
              </w:rPr>
            </w:pPr>
            <w:r w:rsidRPr="00416070">
              <w:rPr>
                <w:rFonts w:cs="Tahoma"/>
                <w:color w:val="000000"/>
                <w:szCs w:val="18"/>
              </w:rPr>
              <w:t>Até 10 horas</w:t>
            </w:r>
          </w:p>
        </w:tc>
        <w:tc>
          <w:tcPr>
            <w:tcW w:w="1444" w:type="dxa"/>
          </w:tcPr>
          <w:p w:rsidR="00DB2D1E" w:rsidRPr="002E114F" w:rsidRDefault="00DB2D1E" w:rsidP="00DE73D4">
            <w:pPr>
              <w:jc w:val="center"/>
              <w:rPr>
                <w:rFonts w:cs="Tahoma"/>
                <w:color w:val="000000"/>
                <w:szCs w:val="18"/>
                <w:lang w:val="pt-BR"/>
              </w:rPr>
            </w:pPr>
            <w:r w:rsidRPr="002E114F">
              <w:rPr>
                <w:rFonts w:cs="Tahoma"/>
                <w:color w:val="000000"/>
                <w:szCs w:val="18"/>
                <w:lang w:val="pt-BR"/>
              </w:rPr>
              <w:t>Até 10 horas</w:t>
            </w:r>
            <w:r w:rsidRPr="002E114F">
              <w:rPr>
                <w:rFonts w:cs="Tahoma"/>
                <w:color w:val="000000"/>
                <w:szCs w:val="18"/>
                <w:lang w:val="pt-BR"/>
              </w:rPr>
              <w:br/>
              <w:t>+ 1 Verificação de Integridade</w:t>
            </w:r>
            <w:r w:rsidRPr="002E114F">
              <w:rPr>
                <w:rFonts w:cs="Tahoma"/>
                <w:color w:val="000000"/>
                <w:szCs w:val="18"/>
                <w:lang w:val="pt-BR"/>
              </w:rPr>
              <w:br/>
              <w:t>+ 1 Workshop</w:t>
            </w:r>
          </w:p>
        </w:tc>
        <w:tc>
          <w:tcPr>
            <w:tcW w:w="1687" w:type="dxa"/>
            <w:vAlign w:val="center"/>
          </w:tcPr>
          <w:p w:rsidR="00DB2D1E" w:rsidRPr="00416070" w:rsidRDefault="00DB2D1E" w:rsidP="00DE73D4">
            <w:pPr>
              <w:jc w:val="center"/>
              <w:rPr>
                <w:rFonts w:cs="Tahoma"/>
                <w:color w:val="000000"/>
                <w:szCs w:val="18"/>
              </w:rPr>
            </w:pPr>
            <w:r w:rsidRPr="00416070">
              <w:rPr>
                <w:rFonts w:cs="Tahoma"/>
                <w:color w:val="000000"/>
                <w:szCs w:val="18"/>
              </w:rPr>
              <w:t>Até 120 horas</w:t>
            </w:r>
          </w:p>
        </w:tc>
        <w:tc>
          <w:tcPr>
            <w:tcW w:w="1589" w:type="dxa"/>
            <w:vAlign w:val="center"/>
          </w:tcPr>
          <w:p w:rsidR="00DB2D1E" w:rsidRPr="00416070" w:rsidRDefault="00DB2D1E" w:rsidP="00DE73D4">
            <w:pPr>
              <w:jc w:val="center"/>
              <w:rPr>
                <w:rFonts w:cs="Tahoma"/>
                <w:color w:val="000000"/>
                <w:szCs w:val="18"/>
              </w:rPr>
            </w:pPr>
            <w:r w:rsidRPr="00416070">
              <w:rPr>
                <w:rFonts w:cs="Tahoma"/>
                <w:color w:val="000000"/>
                <w:szCs w:val="18"/>
              </w:rPr>
              <w:t>Até 160 Horas</w:t>
            </w:r>
          </w:p>
        </w:tc>
      </w:tr>
      <w:tr w:rsidR="00DB2D1E" w:rsidRPr="00416070" w:rsidTr="002A6416">
        <w:tc>
          <w:tcPr>
            <w:tcW w:w="3168" w:type="dxa"/>
            <w:vAlign w:val="center"/>
          </w:tcPr>
          <w:p w:rsidR="00DB2D1E" w:rsidRPr="002E114F" w:rsidRDefault="00DB2D1E" w:rsidP="00DE73D4">
            <w:pPr>
              <w:rPr>
                <w:rFonts w:cs="Tahoma"/>
                <w:color w:val="000000"/>
                <w:szCs w:val="18"/>
                <w:lang w:val="pt-BR"/>
              </w:rPr>
            </w:pPr>
            <w:r w:rsidRPr="002E114F">
              <w:rPr>
                <w:rFonts w:cs="Tahoma"/>
                <w:color w:val="000000"/>
                <w:szCs w:val="18"/>
                <w:lang w:val="pt-BR"/>
              </w:rPr>
              <w:t>Suporte para Resolução de Problemas - PRS (alocado anualmente)</w:t>
            </w:r>
          </w:p>
        </w:tc>
        <w:tc>
          <w:tcPr>
            <w:tcW w:w="1580" w:type="dxa"/>
            <w:vAlign w:val="center"/>
          </w:tcPr>
          <w:p w:rsidR="00DB2D1E" w:rsidRPr="00416070" w:rsidRDefault="00DB2D1E" w:rsidP="00DE73D4">
            <w:pPr>
              <w:jc w:val="center"/>
              <w:rPr>
                <w:rFonts w:cs="Tahoma"/>
                <w:color w:val="000000"/>
                <w:szCs w:val="18"/>
              </w:rPr>
            </w:pPr>
            <w:r w:rsidRPr="00416070">
              <w:rPr>
                <w:rFonts w:cs="Tahoma"/>
                <w:color w:val="000000"/>
                <w:szCs w:val="18"/>
              </w:rPr>
              <w:t>Até 40 horas</w:t>
            </w:r>
          </w:p>
        </w:tc>
        <w:tc>
          <w:tcPr>
            <w:tcW w:w="1444" w:type="dxa"/>
          </w:tcPr>
          <w:p w:rsidR="00DB2D1E" w:rsidRPr="00416070" w:rsidRDefault="00DB2D1E" w:rsidP="00DE73D4">
            <w:pPr>
              <w:spacing w:before="120"/>
              <w:jc w:val="center"/>
              <w:rPr>
                <w:rFonts w:cs="Tahoma"/>
                <w:color w:val="000000"/>
                <w:szCs w:val="18"/>
              </w:rPr>
            </w:pPr>
            <w:r w:rsidRPr="00416070">
              <w:rPr>
                <w:rFonts w:cs="Tahoma"/>
                <w:color w:val="000000"/>
                <w:szCs w:val="18"/>
              </w:rPr>
              <w:t>Até 30 horas</w:t>
            </w:r>
          </w:p>
        </w:tc>
        <w:tc>
          <w:tcPr>
            <w:tcW w:w="1687" w:type="dxa"/>
            <w:vAlign w:val="center"/>
          </w:tcPr>
          <w:p w:rsidR="00DB2D1E" w:rsidRPr="00416070" w:rsidRDefault="00DB2D1E" w:rsidP="00DE73D4">
            <w:pPr>
              <w:jc w:val="center"/>
              <w:rPr>
                <w:rFonts w:cs="Tahoma"/>
                <w:color w:val="000000"/>
                <w:szCs w:val="18"/>
              </w:rPr>
            </w:pPr>
            <w:r w:rsidRPr="00416070">
              <w:rPr>
                <w:rFonts w:cs="Tahoma"/>
                <w:color w:val="000000"/>
                <w:szCs w:val="18"/>
              </w:rPr>
              <w:t>Até 80 horas</w:t>
            </w:r>
          </w:p>
        </w:tc>
        <w:tc>
          <w:tcPr>
            <w:tcW w:w="1589" w:type="dxa"/>
            <w:vAlign w:val="center"/>
          </w:tcPr>
          <w:p w:rsidR="00DB2D1E" w:rsidRPr="00416070" w:rsidRDefault="00DB2D1E" w:rsidP="00DE73D4">
            <w:pPr>
              <w:jc w:val="center"/>
              <w:rPr>
                <w:rFonts w:cs="Tahoma"/>
                <w:color w:val="000000"/>
                <w:szCs w:val="18"/>
              </w:rPr>
            </w:pPr>
            <w:r w:rsidRPr="00416070">
              <w:rPr>
                <w:rFonts w:cs="Tahoma"/>
                <w:color w:val="000000"/>
                <w:szCs w:val="18"/>
              </w:rPr>
              <w:t>Até 140 Horas</w:t>
            </w:r>
          </w:p>
        </w:tc>
      </w:tr>
      <w:tr w:rsidR="00DB2D1E" w:rsidRPr="00416070" w:rsidTr="002A6416">
        <w:tc>
          <w:tcPr>
            <w:tcW w:w="3168" w:type="dxa"/>
            <w:vAlign w:val="center"/>
          </w:tcPr>
          <w:p w:rsidR="00DB2D1E" w:rsidRPr="002E114F" w:rsidRDefault="00DB2D1E" w:rsidP="007B1A45">
            <w:pPr>
              <w:rPr>
                <w:rFonts w:cs="Tahoma"/>
                <w:color w:val="000000"/>
                <w:szCs w:val="18"/>
                <w:lang w:val="pt-BR"/>
              </w:rPr>
            </w:pPr>
            <w:r w:rsidRPr="002E114F">
              <w:rPr>
                <w:rFonts w:cs="Tahoma"/>
                <w:color w:val="000000"/>
                <w:szCs w:val="18"/>
                <w:lang w:val="pt-BR"/>
              </w:rPr>
              <w:t>Gerenciamento de Escalonamento de</w:t>
            </w:r>
            <w:r w:rsidR="007B1A45" w:rsidRPr="002E114F">
              <w:rPr>
                <w:rFonts w:cs="Tahoma"/>
                <w:color w:val="000000"/>
                <w:szCs w:val="18"/>
                <w:lang w:val="pt-BR"/>
              </w:rPr>
              <w:t> </w:t>
            </w:r>
            <w:r w:rsidRPr="002E114F">
              <w:rPr>
                <w:rFonts w:cs="Tahoma"/>
                <w:color w:val="000000"/>
                <w:szCs w:val="18"/>
                <w:lang w:val="pt-BR"/>
              </w:rPr>
              <w:t>Situação Crítica 24x7 (Severidade</w:t>
            </w:r>
            <w:r w:rsidR="007B1A45" w:rsidRPr="002E114F">
              <w:rPr>
                <w:rFonts w:cs="Tahoma"/>
                <w:color w:val="000000"/>
                <w:szCs w:val="18"/>
                <w:lang w:val="pt-BR"/>
              </w:rPr>
              <w:t> </w:t>
            </w:r>
            <w:r w:rsidRPr="002E114F">
              <w:rPr>
                <w:rFonts w:cs="Tahoma"/>
                <w:color w:val="000000"/>
                <w:szCs w:val="18"/>
                <w:lang w:val="pt-BR"/>
              </w:rPr>
              <w:t>Nível 1)</w:t>
            </w:r>
          </w:p>
        </w:tc>
        <w:tc>
          <w:tcPr>
            <w:tcW w:w="1580" w:type="dxa"/>
            <w:vAlign w:val="center"/>
          </w:tcPr>
          <w:p w:rsidR="00DB2D1E" w:rsidRPr="00416070" w:rsidRDefault="00DB2D1E" w:rsidP="00DE73D4">
            <w:pPr>
              <w:jc w:val="center"/>
              <w:rPr>
                <w:rFonts w:cs="Tahoma"/>
                <w:color w:val="000000"/>
                <w:szCs w:val="18"/>
              </w:rPr>
            </w:pPr>
            <w:r w:rsidRPr="00416070">
              <w:rPr>
                <w:rFonts w:ascii="MS UI Gothic" w:eastAsia="MS UI Gothic" w:hAnsi="MS UI Gothic" w:cs="MS UI Gothic"/>
                <w:color w:val="000000"/>
                <w:szCs w:val="18"/>
              </w:rPr>
              <w:t>✓</w:t>
            </w:r>
          </w:p>
        </w:tc>
        <w:tc>
          <w:tcPr>
            <w:tcW w:w="1444" w:type="dxa"/>
            <w:vAlign w:val="center"/>
          </w:tcPr>
          <w:p w:rsidR="00DB2D1E" w:rsidRPr="00416070" w:rsidRDefault="00DB2D1E" w:rsidP="00DE73D4">
            <w:pPr>
              <w:jc w:val="center"/>
              <w:rPr>
                <w:rFonts w:cs="Tahoma"/>
                <w:color w:val="000000"/>
                <w:szCs w:val="18"/>
              </w:rPr>
            </w:pPr>
            <w:r w:rsidRPr="00416070">
              <w:rPr>
                <w:rFonts w:ascii="MS UI Gothic" w:eastAsia="MS UI Gothic" w:hAnsi="MS UI Gothic" w:cs="MS UI Gothic"/>
                <w:color w:val="000000"/>
                <w:szCs w:val="18"/>
              </w:rPr>
              <w:t>✓</w:t>
            </w:r>
          </w:p>
        </w:tc>
        <w:tc>
          <w:tcPr>
            <w:tcW w:w="1687" w:type="dxa"/>
            <w:vAlign w:val="center"/>
          </w:tcPr>
          <w:p w:rsidR="00DB2D1E" w:rsidRPr="00416070" w:rsidRDefault="00DB2D1E" w:rsidP="00DE73D4">
            <w:pPr>
              <w:jc w:val="center"/>
              <w:rPr>
                <w:rFonts w:cs="Tahoma"/>
                <w:color w:val="000000"/>
                <w:szCs w:val="18"/>
              </w:rPr>
            </w:pPr>
            <w:r w:rsidRPr="00416070">
              <w:rPr>
                <w:rFonts w:cs="Tahoma"/>
                <w:color w:val="000000"/>
                <w:szCs w:val="18"/>
              </w:rPr>
              <w:t>√</w:t>
            </w:r>
          </w:p>
        </w:tc>
        <w:tc>
          <w:tcPr>
            <w:tcW w:w="1589" w:type="dxa"/>
            <w:vAlign w:val="center"/>
          </w:tcPr>
          <w:p w:rsidR="00DB2D1E" w:rsidRPr="00416070" w:rsidRDefault="00DB2D1E" w:rsidP="00DE73D4">
            <w:pPr>
              <w:jc w:val="center"/>
              <w:rPr>
                <w:rFonts w:cs="Tahoma"/>
                <w:color w:val="000000"/>
                <w:szCs w:val="18"/>
              </w:rPr>
            </w:pPr>
            <w:r w:rsidRPr="00416070">
              <w:rPr>
                <w:rFonts w:cs="Tahoma"/>
                <w:color w:val="000000"/>
                <w:szCs w:val="18"/>
              </w:rPr>
              <w:t>√</w:t>
            </w:r>
          </w:p>
        </w:tc>
      </w:tr>
      <w:tr w:rsidR="00DB2D1E" w:rsidRPr="00416070" w:rsidTr="002A6416">
        <w:tc>
          <w:tcPr>
            <w:tcW w:w="3168" w:type="dxa"/>
            <w:vAlign w:val="center"/>
          </w:tcPr>
          <w:p w:rsidR="00DB2D1E" w:rsidRPr="00416070" w:rsidRDefault="00DB2D1E" w:rsidP="00DE73D4">
            <w:pPr>
              <w:rPr>
                <w:rFonts w:cs="Tahoma"/>
                <w:color w:val="000000"/>
                <w:szCs w:val="18"/>
              </w:rPr>
            </w:pPr>
            <w:r w:rsidRPr="00416070">
              <w:rPr>
                <w:rFonts w:cs="Tahoma"/>
                <w:color w:val="000000"/>
                <w:szCs w:val="18"/>
              </w:rPr>
              <w:t>Suporte Rápido no Local</w:t>
            </w:r>
          </w:p>
        </w:tc>
        <w:tc>
          <w:tcPr>
            <w:tcW w:w="1580" w:type="dxa"/>
            <w:vAlign w:val="center"/>
          </w:tcPr>
          <w:p w:rsidR="00DB2D1E" w:rsidRPr="00416070" w:rsidRDefault="00DB2D1E" w:rsidP="00DE73D4">
            <w:pPr>
              <w:jc w:val="center"/>
              <w:rPr>
                <w:rFonts w:cs="Tahoma"/>
                <w:color w:val="000000"/>
                <w:szCs w:val="18"/>
              </w:rPr>
            </w:pPr>
            <w:r w:rsidRPr="00416070">
              <w:rPr>
                <w:rFonts w:ascii="MS UI Gothic" w:eastAsia="MS UI Gothic" w:hAnsi="MS UI Gothic" w:cs="MS UI Gothic"/>
                <w:color w:val="000000"/>
                <w:szCs w:val="18"/>
              </w:rPr>
              <w:t>✓</w:t>
            </w:r>
          </w:p>
        </w:tc>
        <w:tc>
          <w:tcPr>
            <w:tcW w:w="1444" w:type="dxa"/>
            <w:vAlign w:val="center"/>
          </w:tcPr>
          <w:p w:rsidR="00DB2D1E" w:rsidRPr="00416070" w:rsidRDefault="00DB2D1E" w:rsidP="00DE73D4">
            <w:pPr>
              <w:jc w:val="center"/>
              <w:rPr>
                <w:rFonts w:cs="Tahoma"/>
                <w:color w:val="000000"/>
                <w:szCs w:val="18"/>
              </w:rPr>
            </w:pPr>
            <w:r w:rsidRPr="00416070">
              <w:rPr>
                <w:rFonts w:ascii="MS UI Gothic" w:eastAsia="MS UI Gothic" w:hAnsi="MS UI Gothic" w:cs="MS UI Gothic"/>
                <w:color w:val="000000"/>
                <w:szCs w:val="18"/>
              </w:rPr>
              <w:t>✓</w:t>
            </w:r>
          </w:p>
        </w:tc>
        <w:tc>
          <w:tcPr>
            <w:tcW w:w="1687" w:type="dxa"/>
            <w:vAlign w:val="center"/>
          </w:tcPr>
          <w:p w:rsidR="00DB2D1E" w:rsidRPr="00416070" w:rsidRDefault="00DB2D1E" w:rsidP="00DE73D4">
            <w:pPr>
              <w:jc w:val="center"/>
              <w:rPr>
                <w:rFonts w:cs="Tahoma"/>
                <w:color w:val="000000"/>
                <w:szCs w:val="18"/>
              </w:rPr>
            </w:pPr>
            <w:r w:rsidRPr="00416070">
              <w:rPr>
                <w:rFonts w:cs="Tahoma"/>
                <w:color w:val="000000"/>
                <w:szCs w:val="18"/>
              </w:rPr>
              <w:t>√</w:t>
            </w:r>
          </w:p>
        </w:tc>
        <w:tc>
          <w:tcPr>
            <w:tcW w:w="1589" w:type="dxa"/>
            <w:vAlign w:val="center"/>
          </w:tcPr>
          <w:p w:rsidR="00DB2D1E" w:rsidRPr="00416070" w:rsidRDefault="00DB2D1E" w:rsidP="00DE73D4">
            <w:pPr>
              <w:jc w:val="center"/>
              <w:rPr>
                <w:rFonts w:cs="Tahoma"/>
                <w:color w:val="000000"/>
                <w:szCs w:val="18"/>
              </w:rPr>
            </w:pPr>
            <w:r w:rsidRPr="00416070">
              <w:rPr>
                <w:rFonts w:cs="Tahoma"/>
                <w:color w:val="000000"/>
                <w:szCs w:val="18"/>
              </w:rPr>
              <w:t>√</w:t>
            </w:r>
          </w:p>
        </w:tc>
      </w:tr>
      <w:tr w:rsidR="00DB2D1E" w:rsidRPr="00416070" w:rsidTr="002A6416">
        <w:tc>
          <w:tcPr>
            <w:tcW w:w="3168" w:type="dxa"/>
            <w:vAlign w:val="center"/>
          </w:tcPr>
          <w:p w:rsidR="00DB2D1E" w:rsidRPr="002E114F" w:rsidRDefault="00DB2D1E" w:rsidP="00DE73D4">
            <w:pPr>
              <w:rPr>
                <w:rFonts w:cs="Tahoma"/>
                <w:color w:val="000000"/>
                <w:szCs w:val="18"/>
                <w:lang w:val="pt-BR"/>
              </w:rPr>
            </w:pPr>
            <w:r w:rsidRPr="002E114F">
              <w:rPr>
                <w:rFonts w:cs="Tahoma"/>
                <w:color w:val="000000"/>
                <w:szCs w:val="18"/>
                <w:lang w:val="pt-BR"/>
              </w:rPr>
              <w:t>Serviços de Informações Pró-ativos</w:t>
            </w:r>
          </w:p>
        </w:tc>
        <w:tc>
          <w:tcPr>
            <w:tcW w:w="1580" w:type="dxa"/>
            <w:vAlign w:val="center"/>
          </w:tcPr>
          <w:p w:rsidR="00DB2D1E" w:rsidRPr="00416070" w:rsidRDefault="00DB2D1E" w:rsidP="00DE73D4">
            <w:pPr>
              <w:jc w:val="center"/>
              <w:rPr>
                <w:rFonts w:cs="Tahoma"/>
                <w:color w:val="000000"/>
                <w:szCs w:val="18"/>
              </w:rPr>
            </w:pPr>
            <w:r w:rsidRPr="00416070">
              <w:rPr>
                <w:rFonts w:ascii="MS UI Gothic" w:eastAsia="MS UI Gothic" w:hAnsi="MS UI Gothic" w:cs="MS UI Gothic"/>
                <w:color w:val="000000"/>
                <w:szCs w:val="18"/>
              </w:rPr>
              <w:t>✓</w:t>
            </w:r>
          </w:p>
        </w:tc>
        <w:tc>
          <w:tcPr>
            <w:tcW w:w="1444" w:type="dxa"/>
            <w:vAlign w:val="center"/>
          </w:tcPr>
          <w:p w:rsidR="00DB2D1E" w:rsidRPr="00416070" w:rsidRDefault="00DB2D1E" w:rsidP="00DE73D4">
            <w:pPr>
              <w:jc w:val="center"/>
              <w:rPr>
                <w:rFonts w:cs="Tahoma"/>
                <w:color w:val="000000"/>
                <w:szCs w:val="18"/>
              </w:rPr>
            </w:pPr>
            <w:r w:rsidRPr="00416070">
              <w:rPr>
                <w:rFonts w:ascii="MS UI Gothic" w:eastAsia="MS UI Gothic" w:hAnsi="MS UI Gothic" w:cs="MS UI Gothic"/>
                <w:color w:val="000000"/>
                <w:szCs w:val="18"/>
              </w:rPr>
              <w:t>✓</w:t>
            </w:r>
          </w:p>
        </w:tc>
        <w:tc>
          <w:tcPr>
            <w:tcW w:w="1687" w:type="dxa"/>
            <w:vAlign w:val="center"/>
          </w:tcPr>
          <w:p w:rsidR="00DB2D1E" w:rsidRPr="00416070" w:rsidRDefault="00DB2D1E" w:rsidP="00DE73D4">
            <w:pPr>
              <w:jc w:val="center"/>
              <w:rPr>
                <w:rFonts w:cs="Tahoma"/>
                <w:color w:val="000000"/>
                <w:szCs w:val="18"/>
              </w:rPr>
            </w:pPr>
            <w:r w:rsidRPr="00416070">
              <w:rPr>
                <w:rFonts w:cs="Tahoma"/>
                <w:color w:val="000000"/>
                <w:szCs w:val="18"/>
              </w:rPr>
              <w:t>√</w:t>
            </w:r>
          </w:p>
        </w:tc>
        <w:tc>
          <w:tcPr>
            <w:tcW w:w="1589" w:type="dxa"/>
            <w:vAlign w:val="center"/>
          </w:tcPr>
          <w:p w:rsidR="00DB2D1E" w:rsidRPr="00416070" w:rsidRDefault="00DB2D1E" w:rsidP="00DE73D4">
            <w:pPr>
              <w:jc w:val="center"/>
              <w:rPr>
                <w:rFonts w:cs="Tahoma"/>
                <w:color w:val="000000"/>
                <w:szCs w:val="18"/>
              </w:rPr>
            </w:pPr>
            <w:r w:rsidRPr="00416070">
              <w:rPr>
                <w:rFonts w:cs="Tahoma"/>
                <w:color w:val="000000"/>
                <w:szCs w:val="18"/>
              </w:rPr>
              <w:t>√</w:t>
            </w:r>
          </w:p>
        </w:tc>
      </w:tr>
      <w:tr w:rsidR="00DB2D1E" w:rsidRPr="00416070" w:rsidTr="002A6416">
        <w:tc>
          <w:tcPr>
            <w:tcW w:w="3168" w:type="dxa"/>
            <w:vAlign w:val="center"/>
          </w:tcPr>
          <w:p w:rsidR="00DB2D1E" w:rsidRPr="00416070" w:rsidRDefault="00DB2D1E" w:rsidP="00DE73D4">
            <w:pPr>
              <w:rPr>
                <w:rFonts w:cs="Tahoma"/>
                <w:color w:val="000000"/>
                <w:szCs w:val="18"/>
              </w:rPr>
            </w:pPr>
            <w:r w:rsidRPr="00416070">
              <w:rPr>
                <w:rFonts w:cs="Tahoma"/>
                <w:color w:val="000000"/>
                <w:szCs w:val="18"/>
              </w:rPr>
              <w:t>Microsoft Premier Online</w:t>
            </w:r>
          </w:p>
        </w:tc>
        <w:tc>
          <w:tcPr>
            <w:tcW w:w="1580" w:type="dxa"/>
            <w:vAlign w:val="center"/>
          </w:tcPr>
          <w:p w:rsidR="00DB2D1E" w:rsidRPr="00416070" w:rsidRDefault="00DB2D1E" w:rsidP="00DE73D4">
            <w:pPr>
              <w:jc w:val="center"/>
              <w:rPr>
                <w:rFonts w:cs="Tahoma"/>
                <w:color w:val="000000"/>
                <w:szCs w:val="18"/>
              </w:rPr>
            </w:pPr>
            <w:r w:rsidRPr="00416070">
              <w:rPr>
                <w:rFonts w:ascii="MS UI Gothic" w:eastAsia="MS UI Gothic" w:hAnsi="MS UI Gothic" w:cs="MS UI Gothic"/>
                <w:color w:val="000000"/>
                <w:szCs w:val="18"/>
              </w:rPr>
              <w:t>✓</w:t>
            </w:r>
          </w:p>
        </w:tc>
        <w:tc>
          <w:tcPr>
            <w:tcW w:w="1444" w:type="dxa"/>
            <w:vAlign w:val="center"/>
          </w:tcPr>
          <w:p w:rsidR="00DB2D1E" w:rsidRPr="00416070" w:rsidRDefault="00DB2D1E" w:rsidP="00DE73D4">
            <w:pPr>
              <w:jc w:val="center"/>
              <w:rPr>
                <w:rFonts w:cs="Tahoma"/>
                <w:color w:val="000000"/>
                <w:szCs w:val="18"/>
              </w:rPr>
            </w:pPr>
            <w:r w:rsidRPr="00416070">
              <w:rPr>
                <w:rFonts w:ascii="MS UI Gothic" w:eastAsia="MS UI Gothic" w:hAnsi="MS UI Gothic" w:cs="MS UI Gothic"/>
                <w:color w:val="000000"/>
                <w:szCs w:val="18"/>
              </w:rPr>
              <w:t>✓</w:t>
            </w:r>
          </w:p>
        </w:tc>
        <w:tc>
          <w:tcPr>
            <w:tcW w:w="1687" w:type="dxa"/>
            <w:vAlign w:val="center"/>
          </w:tcPr>
          <w:p w:rsidR="00DB2D1E" w:rsidRPr="00416070" w:rsidRDefault="00DB2D1E" w:rsidP="00DE73D4">
            <w:pPr>
              <w:jc w:val="center"/>
              <w:rPr>
                <w:rFonts w:cs="Tahoma"/>
                <w:color w:val="000000"/>
                <w:szCs w:val="18"/>
              </w:rPr>
            </w:pPr>
            <w:r w:rsidRPr="00416070">
              <w:rPr>
                <w:rFonts w:cs="Tahoma"/>
                <w:color w:val="000000"/>
                <w:szCs w:val="18"/>
              </w:rPr>
              <w:t>√</w:t>
            </w:r>
          </w:p>
        </w:tc>
        <w:tc>
          <w:tcPr>
            <w:tcW w:w="1589" w:type="dxa"/>
            <w:vAlign w:val="center"/>
          </w:tcPr>
          <w:p w:rsidR="00DB2D1E" w:rsidRPr="00416070" w:rsidRDefault="00DB2D1E" w:rsidP="00DE73D4">
            <w:pPr>
              <w:jc w:val="center"/>
              <w:rPr>
                <w:rFonts w:cs="Tahoma"/>
                <w:color w:val="000000"/>
                <w:szCs w:val="18"/>
              </w:rPr>
            </w:pPr>
            <w:r w:rsidRPr="00416070">
              <w:rPr>
                <w:rFonts w:cs="Tahoma"/>
                <w:color w:val="000000"/>
                <w:szCs w:val="18"/>
              </w:rPr>
              <w:t>√</w:t>
            </w:r>
          </w:p>
        </w:tc>
      </w:tr>
      <w:tr w:rsidR="00DB2D1E" w:rsidRPr="00416070" w:rsidTr="002A6416">
        <w:tc>
          <w:tcPr>
            <w:tcW w:w="3168" w:type="dxa"/>
            <w:vAlign w:val="center"/>
          </w:tcPr>
          <w:p w:rsidR="00DB2D1E" w:rsidRPr="00416070" w:rsidRDefault="00DB2D1E" w:rsidP="00DE73D4">
            <w:pPr>
              <w:rPr>
                <w:rFonts w:cs="Tahoma"/>
                <w:color w:val="000000"/>
                <w:szCs w:val="18"/>
              </w:rPr>
            </w:pPr>
            <w:r w:rsidRPr="00416070">
              <w:rPr>
                <w:rFonts w:cs="Tahoma"/>
                <w:color w:val="000000"/>
                <w:szCs w:val="18"/>
              </w:rPr>
              <w:t xml:space="preserve">Horas Complementares </w:t>
            </w:r>
          </w:p>
        </w:tc>
        <w:tc>
          <w:tcPr>
            <w:tcW w:w="1580" w:type="dxa"/>
            <w:vAlign w:val="center"/>
          </w:tcPr>
          <w:p w:rsidR="00DB2D1E" w:rsidRPr="00416070" w:rsidRDefault="00DB2D1E" w:rsidP="00DE73D4">
            <w:pPr>
              <w:jc w:val="center"/>
              <w:rPr>
                <w:rFonts w:cs="Tahoma"/>
                <w:color w:val="000000"/>
                <w:szCs w:val="18"/>
              </w:rPr>
            </w:pPr>
            <w:r w:rsidRPr="00416070">
              <w:rPr>
                <w:rFonts w:cs="Tahoma"/>
                <w:color w:val="000000"/>
                <w:szCs w:val="18"/>
              </w:rPr>
              <w:t>Pacotes de 20</w:t>
            </w:r>
          </w:p>
        </w:tc>
        <w:tc>
          <w:tcPr>
            <w:tcW w:w="1444" w:type="dxa"/>
            <w:vAlign w:val="center"/>
          </w:tcPr>
          <w:p w:rsidR="00DB2D1E" w:rsidRPr="00416070" w:rsidRDefault="00DB2D1E" w:rsidP="00DE73D4">
            <w:pPr>
              <w:jc w:val="center"/>
              <w:rPr>
                <w:rFonts w:cs="Tahoma"/>
                <w:color w:val="000000"/>
                <w:szCs w:val="18"/>
              </w:rPr>
            </w:pPr>
            <w:r w:rsidRPr="00416070">
              <w:rPr>
                <w:rFonts w:cs="Tahoma"/>
                <w:color w:val="000000"/>
                <w:szCs w:val="18"/>
              </w:rPr>
              <w:t>Pacotes de 20</w:t>
            </w:r>
          </w:p>
        </w:tc>
        <w:tc>
          <w:tcPr>
            <w:tcW w:w="1687" w:type="dxa"/>
            <w:vAlign w:val="center"/>
          </w:tcPr>
          <w:p w:rsidR="00DB2D1E" w:rsidRPr="00416070" w:rsidRDefault="00DB2D1E" w:rsidP="00DE73D4">
            <w:pPr>
              <w:jc w:val="center"/>
              <w:rPr>
                <w:rFonts w:cs="Tahoma"/>
                <w:color w:val="000000"/>
                <w:szCs w:val="18"/>
              </w:rPr>
            </w:pPr>
            <w:r w:rsidRPr="00416070">
              <w:rPr>
                <w:rFonts w:cs="Tahoma"/>
                <w:color w:val="000000"/>
                <w:szCs w:val="18"/>
              </w:rPr>
              <w:t>Pacotes de 20</w:t>
            </w:r>
          </w:p>
        </w:tc>
        <w:tc>
          <w:tcPr>
            <w:tcW w:w="1589" w:type="dxa"/>
            <w:vAlign w:val="center"/>
          </w:tcPr>
          <w:p w:rsidR="00DB2D1E" w:rsidRPr="00416070" w:rsidRDefault="00DB2D1E" w:rsidP="00DE73D4">
            <w:pPr>
              <w:jc w:val="center"/>
              <w:rPr>
                <w:rFonts w:cs="Tahoma"/>
                <w:color w:val="000000"/>
                <w:szCs w:val="18"/>
              </w:rPr>
            </w:pPr>
            <w:r w:rsidRPr="00416070">
              <w:rPr>
                <w:rFonts w:cs="Tahoma"/>
                <w:color w:val="000000"/>
                <w:szCs w:val="18"/>
              </w:rPr>
              <w:t>Pacotes de 20</w:t>
            </w:r>
          </w:p>
        </w:tc>
      </w:tr>
    </w:tbl>
    <w:p w:rsidR="00DB2D1E" w:rsidRPr="002E114F" w:rsidRDefault="00DB2D1E" w:rsidP="00DB2D1E">
      <w:pPr>
        <w:pStyle w:val="tableclose"/>
        <w:tabs>
          <w:tab w:val="left" w:pos="810"/>
        </w:tabs>
        <w:ind w:left="810" w:hanging="720"/>
        <w:rPr>
          <w:sz w:val="16"/>
          <w:szCs w:val="16"/>
          <w:lang w:val="pt-BR"/>
        </w:rPr>
      </w:pPr>
      <w:r w:rsidRPr="002E114F">
        <w:rPr>
          <w:rFonts w:ascii="Tahoma" w:hAnsi="Tahoma" w:cs="Tahoma"/>
          <w:i/>
          <w:color w:val="000000"/>
          <w:sz w:val="16"/>
          <w:szCs w:val="16"/>
          <w:vertAlign w:val="superscript"/>
          <w:lang w:val="pt-BR"/>
        </w:rPr>
        <w:t xml:space="preserve"> 1</w:t>
      </w:r>
      <w:r w:rsidRPr="002E114F">
        <w:rPr>
          <w:rFonts w:ascii="Tahoma" w:hAnsi="Tahoma" w:cs="Tahoma"/>
          <w:i/>
          <w:color w:val="000000"/>
          <w:sz w:val="16"/>
          <w:szCs w:val="16"/>
          <w:lang w:val="pt-BR"/>
        </w:rPr>
        <w:t xml:space="preserve"> O Horário Comercial é definido localmente.</w:t>
      </w:r>
    </w:p>
    <w:p w:rsidR="00DB2D1E" w:rsidRPr="007E2720" w:rsidRDefault="00DB2D1E" w:rsidP="00F42FB8">
      <w:pPr>
        <w:pStyle w:val="BodyText2"/>
        <w:spacing w:after="0" w:line="240" w:lineRule="auto"/>
        <w:rPr>
          <w:sz w:val="18"/>
          <w:szCs w:val="18"/>
        </w:rPr>
      </w:pPr>
    </w:p>
    <w:p w:rsidR="00DB2D1E" w:rsidRPr="002E114F" w:rsidRDefault="00DB2D1E" w:rsidP="00CA52FE">
      <w:pPr>
        <w:pStyle w:val="BodyText2"/>
        <w:spacing w:after="0" w:line="240" w:lineRule="auto"/>
        <w:rPr>
          <w:sz w:val="18"/>
          <w:szCs w:val="18"/>
          <w:lang w:val="pt-BR"/>
        </w:rPr>
      </w:pPr>
      <w:r w:rsidRPr="002E114F">
        <w:rPr>
          <w:rFonts w:ascii="Tahoma" w:hAnsi="Tahoma" w:cs="Tahoma"/>
          <w:color w:val="000000"/>
          <w:sz w:val="18"/>
          <w:szCs w:val="18"/>
        </w:rPr>
        <w:t xml:space="preserve">O </w:t>
      </w:r>
      <w:r w:rsidRPr="007E2720">
        <w:rPr>
          <w:rFonts w:ascii="Tahoma" w:hAnsi="Tahoma" w:cs="Tahoma"/>
          <w:b/>
          <w:bCs/>
          <w:color w:val="000000"/>
          <w:sz w:val="18"/>
          <w:szCs w:val="18"/>
        </w:rPr>
        <w:t>Gerenciamento de Conta de Suporte</w:t>
      </w:r>
      <w:r w:rsidRPr="007E2720">
        <w:rPr>
          <w:rFonts w:ascii="Tahoma" w:hAnsi="Tahoma" w:cs="Tahoma"/>
          <w:color w:val="000000"/>
          <w:sz w:val="18"/>
          <w:szCs w:val="18"/>
        </w:rPr>
        <w:t xml:space="preserve"> ajuda a criar e manter os relacionamentos com a equipe de gerenciamento e de fornecimento de serviços do cliente, além de ajudar os clientes a organizar cada elemento de</w:t>
      </w:r>
      <w:r w:rsidR="007B1A45" w:rsidRPr="002E114F">
        <w:rPr>
          <w:rFonts w:ascii="Tahoma" w:hAnsi="Tahoma" w:cs="Tahoma"/>
          <w:color w:val="000000"/>
          <w:sz w:val="18"/>
          <w:szCs w:val="18"/>
          <w:lang w:val="pt-BR"/>
        </w:rPr>
        <w:t> </w:t>
      </w:r>
      <w:r w:rsidRPr="007E2720">
        <w:rPr>
          <w:rFonts w:ascii="Tahoma" w:hAnsi="Tahoma" w:cs="Tahoma"/>
          <w:color w:val="000000"/>
          <w:sz w:val="18"/>
          <w:szCs w:val="18"/>
        </w:rPr>
        <w:t>seus planos de serviços a fim de aten</w:t>
      </w:r>
      <w:r w:rsidR="00FF3D4D" w:rsidRPr="007E2720">
        <w:rPr>
          <w:rFonts w:ascii="Tahoma" w:hAnsi="Tahoma" w:cs="Tahoma"/>
          <w:color w:val="000000"/>
          <w:sz w:val="18"/>
          <w:szCs w:val="18"/>
        </w:rPr>
        <w:t>der às necessidades comerciais.</w:t>
      </w:r>
    </w:p>
    <w:p w:rsidR="00CA52FE" w:rsidRPr="007E2720" w:rsidRDefault="00CA52FE" w:rsidP="00CA52FE">
      <w:pPr>
        <w:pStyle w:val="BodyText2"/>
        <w:spacing w:after="0" w:line="240" w:lineRule="auto"/>
        <w:rPr>
          <w:sz w:val="18"/>
          <w:szCs w:val="18"/>
        </w:rPr>
      </w:pPr>
    </w:p>
    <w:p w:rsidR="00DB2D1E" w:rsidRPr="002E114F" w:rsidRDefault="00DB2D1E" w:rsidP="00CA52FE">
      <w:pPr>
        <w:jc w:val="both"/>
        <w:rPr>
          <w:lang w:val="pt-BR"/>
        </w:rPr>
      </w:pPr>
      <w:r w:rsidRPr="002E114F">
        <w:rPr>
          <w:rFonts w:cs="Tahoma"/>
          <w:color w:val="000000"/>
          <w:szCs w:val="18"/>
          <w:lang w:val="pt-BR"/>
        </w:rPr>
        <w:t xml:space="preserve">A </w:t>
      </w:r>
      <w:r w:rsidRPr="002E114F">
        <w:rPr>
          <w:rFonts w:cs="Tahoma"/>
          <w:b/>
          <w:bCs/>
          <w:color w:val="000000"/>
          <w:szCs w:val="18"/>
          <w:lang w:val="pt-BR"/>
        </w:rPr>
        <w:t xml:space="preserve">Assistência de Suporte </w:t>
      </w:r>
      <w:r w:rsidRPr="002E114F">
        <w:rPr>
          <w:rFonts w:cs="Tahoma"/>
          <w:color w:val="000000"/>
          <w:szCs w:val="18"/>
          <w:lang w:val="pt-BR"/>
        </w:rPr>
        <w:t>fornece avisos e orientações a curto prazo (com base nos recursos da Microsoft disponíveis) sobre problemas não abordados pelo Suporte para Resolução de Problemas, incluindo assistência a</w:t>
      </w:r>
      <w:r w:rsidR="007B1A45" w:rsidRPr="002E114F">
        <w:rPr>
          <w:rFonts w:cs="Tahoma"/>
          <w:color w:val="000000"/>
          <w:szCs w:val="18"/>
          <w:lang w:val="pt-BR"/>
        </w:rPr>
        <w:t> </w:t>
      </w:r>
      <w:r w:rsidRPr="002E114F">
        <w:rPr>
          <w:rFonts w:cs="Tahoma"/>
          <w:color w:val="000000"/>
          <w:szCs w:val="18"/>
          <w:lang w:val="pt-BR"/>
        </w:rPr>
        <w:t>questões relacionadas a design, desenvolvimento e implantação.</w:t>
      </w:r>
    </w:p>
    <w:p w:rsidR="00CA52FE" w:rsidRPr="002E114F" w:rsidRDefault="00CA52FE" w:rsidP="00CA52FE">
      <w:pPr>
        <w:jc w:val="both"/>
        <w:rPr>
          <w:lang w:val="pt-BR"/>
        </w:rPr>
      </w:pPr>
    </w:p>
    <w:p w:rsidR="00DB2D1E" w:rsidRPr="002E114F" w:rsidRDefault="00DB2D1E" w:rsidP="00CA52FE">
      <w:pPr>
        <w:rPr>
          <w:lang w:val="pt-BR"/>
        </w:rPr>
      </w:pPr>
      <w:r w:rsidRPr="00F31A04">
        <w:rPr>
          <w:rFonts w:cs="Tahoma"/>
          <w:color w:val="000000"/>
          <w:szCs w:val="18"/>
          <w:lang w:val="pt-BR"/>
        </w:rPr>
        <w:t xml:space="preserve">O </w:t>
      </w:r>
      <w:r w:rsidRPr="002E114F">
        <w:rPr>
          <w:rFonts w:cs="Tahoma"/>
          <w:b/>
          <w:bCs/>
          <w:color w:val="000000"/>
          <w:szCs w:val="18"/>
          <w:lang w:val="pt-BR"/>
        </w:rPr>
        <w:t xml:space="preserve">Suporte para Resolução de Problemas </w:t>
      </w:r>
      <w:r w:rsidRPr="002E114F">
        <w:rPr>
          <w:rFonts w:cs="Tahoma"/>
          <w:color w:val="000000"/>
          <w:szCs w:val="18"/>
          <w:lang w:val="pt-BR"/>
        </w:rPr>
        <w:t>fornece assistência para problemas com sintomas específicos encontrados durante o uso de produtos da Microsoft, quando há uma probabilidade razoável de que o problema tenha sido causado por produtos da Microsoft.</w:t>
      </w:r>
    </w:p>
    <w:p w:rsidR="001C1727" w:rsidRPr="002E114F" w:rsidRDefault="001C1727">
      <w:pPr>
        <w:rPr>
          <w:lang w:val="pt-BR"/>
        </w:rPr>
      </w:pPr>
      <w:r w:rsidRPr="002E114F">
        <w:rPr>
          <w:rFonts w:cs="Tahoma"/>
          <w:color w:val="000000"/>
          <w:sz w:val="6"/>
          <w:szCs w:val="20"/>
          <w:lang w:val="pt-BR"/>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416070"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416070" w:rsidRDefault="00DB2D1E" w:rsidP="00DE73D4">
            <w:pPr>
              <w:pStyle w:val="tableclose"/>
              <w:spacing w:line="276" w:lineRule="auto"/>
              <w:rPr>
                <w:rFonts w:ascii="Tahoma" w:hAnsi="Tahoma" w:cs="Tahoma"/>
                <w:b/>
                <w:color w:val="000000"/>
              </w:rPr>
            </w:pPr>
            <w:r w:rsidRPr="00416070">
              <w:rPr>
                <w:rFonts w:ascii="Tahoma" w:hAnsi="Tahoma" w:cs="Tahoma"/>
                <w:b/>
                <w:color w:val="000000"/>
              </w:rPr>
              <w:lastRenderedPageBreak/>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16070" w:rsidRDefault="00DB2D1E" w:rsidP="00DE73D4">
            <w:pPr>
              <w:pStyle w:val="tableclose"/>
              <w:spacing w:line="276" w:lineRule="auto"/>
              <w:rPr>
                <w:rFonts w:ascii="Tahoma" w:hAnsi="Tahoma" w:cs="Tahoma"/>
                <w:b/>
                <w:color w:val="000000"/>
              </w:rPr>
            </w:pPr>
            <w:r w:rsidRPr="00416070">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16070" w:rsidRDefault="00DB2D1E" w:rsidP="00DE73D4">
            <w:pPr>
              <w:pStyle w:val="tableclose"/>
              <w:spacing w:line="276" w:lineRule="auto"/>
              <w:rPr>
                <w:rFonts w:ascii="Tahoma" w:hAnsi="Tahoma" w:cs="Tahoma"/>
                <w:b/>
                <w:color w:val="000000"/>
              </w:rPr>
            </w:pPr>
            <w:r w:rsidRPr="00416070">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16070" w:rsidRDefault="00DB2D1E" w:rsidP="00DE73D4">
            <w:pPr>
              <w:pStyle w:val="tableclose"/>
              <w:spacing w:line="276" w:lineRule="auto"/>
              <w:rPr>
                <w:rFonts w:ascii="Tahoma" w:hAnsi="Tahoma" w:cs="Tahoma"/>
                <w:b/>
                <w:color w:val="000000"/>
              </w:rPr>
            </w:pPr>
            <w:r w:rsidRPr="00416070">
              <w:rPr>
                <w:rFonts w:ascii="Tahoma" w:hAnsi="Tahoma" w:cs="Tahoma"/>
                <w:b/>
                <w:color w:val="000000"/>
              </w:rPr>
              <w:t>Resposta Esperada do Cliente</w:t>
            </w:r>
          </w:p>
        </w:tc>
      </w:tr>
      <w:tr w:rsidR="00DB2D1E" w:rsidRPr="002B5F9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F3D4D" w:rsidRDefault="00DB2D1E" w:rsidP="00DE73D4">
            <w:pPr>
              <w:pStyle w:val="tableclose"/>
              <w:spacing w:line="276" w:lineRule="auto"/>
              <w:rPr>
                <w:rFonts w:ascii="Tahoma" w:hAnsi="Tahoma" w:cs="Tahoma"/>
                <w:color w:val="000000"/>
                <w:sz w:val="18"/>
                <w:szCs w:val="18"/>
              </w:rPr>
            </w:pPr>
            <w:r w:rsidRPr="00FF3D4D">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FF3D4D" w:rsidRDefault="00DB2D1E" w:rsidP="002C1048">
            <w:pPr>
              <w:pStyle w:val="ListBullet3"/>
              <w:numPr>
                <w:ilvl w:val="0"/>
                <w:numId w:val="78"/>
              </w:numPr>
              <w:spacing w:line="276" w:lineRule="auto"/>
              <w:rPr>
                <w:rFonts w:ascii="Tahoma" w:hAnsi="Tahoma" w:cs="Tahoma"/>
                <w:sz w:val="18"/>
                <w:szCs w:val="18"/>
              </w:rPr>
            </w:pPr>
            <w:r w:rsidRPr="00FF3D4D">
              <w:rPr>
                <w:rFonts w:ascii="Tahoma" w:hAnsi="Tahoma" w:cs="Tahoma"/>
                <w:color w:val="000000"/>
                <w:sz w:val="18"/>
                <w:szCs w:val="18"/>
              </w:rPr>
              <w:t xml:space="preserve">Impacto catastrófico nos negócios: </w:t>
            </w:r>
          </w:p>
          <w:p w:rsidR="00DB2D1E" w:rsidRPr="00E47ECF" w:rsidRDefault="00DB2D1E" w:rsidP="007E2720">
            <w:pPr>
              <w:pStyle w:val="ListBullet3"/>
              <w:numPr>
                <w:ilvl w:val="0"/>
                <w:numId w:val="78"/>
              </w:numPr>
              <w:spacing w:line="276" w:lineRule="auto"/>
              <w:rPr>
                <w:rFonts w:ascii="Tahoma" w:hAnsi="Tahoma" w:cs="Tahoma"/>
                <w:sz w:val="18"/>
                <w:szCs w:val="18"/>
                <w:lang w:val="pt-BR"/>
              </w:rPr>
            </w:pPr>
            <w:r w:rsidRPr="00E47ECF">
              <w:rPr>
                <w:rFonts w:ascii="Tahoma" w:hAnsi="Tahoma" w:cs="Tahoma"/>
                <w:color w:val="000000"/>
                <w:sz w:val="18"/>
                <w:szCs w:val="18"/>
                <w:lang w:val="pt-BR"/>
              </w:rPr>
              <w:t>Perda total de um processo comercial essencial (crítico) e não</w:t>
            </w:r>
            <w:r w:rsidR="007E2720" w:rsidRPr="00E47ECF">
              <w:rPr>
                <w:rFonts w:ascii="Tahoma" w:hAnsi="Tahoma" w:cs="Tahoma"/>
                <w:color w:val="000000"/>
                <w:sz w:val="18"/>
                <w:szCs w:val="18"/>
                <w:lang w:val="pt-BR"/>
              </w:rPr>
              <w:t> </w:t>
            </w:r>
            <w:r w:rsidRPr="00E47ECF">
              <w:rPr>
                <w:rFonts w:ascii="Tahoma" w:hAnsi="Tahoma" w:cs="Tahoma"/>
                <w:color w:val="000000"/>
                <w:sz w:val="18"/>
                <w:szCs w:val="18"/>
                <w:lang w:val="pt-BR"/>
              </w:rPr>
              <w:t>é possível dar continuidade ao trabalho de maneira razoável</w:t>
            </w:r>
          </w:p>
          <w:p w:rsidR="00DB2D1E" w:rsidRPr="00FF3D4D" w:rsidRDefault="00DB2D1E" w:rsidP="002C1048">
            <w:pPr>
              <w:pStyle w:val="ListBullet3"/>
              <w:numPr>
                <w:ilvl w:val="0"/>
                <w:numId w:val="78"/>
              </w:numPr>
              <w:spacing w:line="276" w:lineRule="auto"/>
              <w:rPr>
                <w:rFonts w:ascii="Tahoma" w:hAnsi="Tahoma" w:cs="Tahoma"/>
                <w:color w:val="000000"/>
                <w:sz w:val="18"/>
                <w:szCs w:val="18"/>
              </w:rPr>
            </w:pPr>
            <w:r w:rsidRPr="00FF3D4D">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47ECF" w:rsidRDefault="00DB2D1E" w:rsidP="002C1048">
            <w:pPr>
              <w:pStyle w:val="ListBullet3"/>
              <w:numPr>
                <w:ilvl w:val="0"/>
                <w:numId w:val="79"/>
              </w:numPr>
              <w:spacing w:line="276" w:lineRule="auto"/>
              <w:rPr>
                <w:rFonts w:ascii="Tahoma" w:hAnsi="Tahoma" w:cs="Tahoma"/>
                <w:sz w:val="18"/>
                <w:szCs w:val="18"/>
                <w:lang w:val="pt-BR"/>
              </w:rPr>
            </w:pPr>
            <w:r w:rsidRPr="00E47ECF">
              <w:rPr>
                <w:rFonts w:ascii="Tahoma" w:hAnsi="Tahoma" w:cs="Tahoma"/>
                <w:color w:val="000000"/>
                <w:sz w:val="18"/>
                <w:szCs w:val="18"/>
                <w:lang w:val="pt-BR"/>
              </w:rPr>
              <w:t>Resposta à 1</w:t>
            </w:r>
            <w:r w:rsidRPr="00E47ECF">
              <w:rPr>
                <w:rFonts w:ascii="Tahoma" w:hAnsi="Tahoma" w:cs="Tahoma"/>
                <w:color w:val="000000"/>
                <w:sz w:val="18"/>
                <w:szCs w:val="18"/>
                <w:vertAlign w:val="superscript"/>
                <w:lang w:val="pt-BR"/>
              </w:rPr>
              <w:t>ª</w:t>
            </w:r>
            <w:r w:rsidRPr="00E47ECF">
              <w:rPr>
                <w:rFonts w:ascii="Tahoma" w:hAnsi="Tahoma" w:cs="Tahoma"/>
                <w:color w:val="000000"/>
                <w:sz w:val="18"/>
                <w:szCs w:val="18"/>
                <w:lang w:val="pt-BR"/>
              </w:rPr>
              <w:t xml:space="preserve"> chamada em 1 hora ou menos</w:t>
            </w:r>
          </w:p>
          <w:p w:rsidR="00DB2D1E" w:rsidRPr="00E47ECF" w:rsidRDefault="00DB2D1E" w:rsidP="002C1048">
            <w:pPr>
              <w:pStyle w:val="ListBullet3"/>
              <w:numPr>
                <w:ilvl w:val="0"/>
                <w:numId w:val="79"/>
              </w:numPr>
              <w:spacing w:line="276" w:lineRule="auto"/>
              <w:rPr>
                <w:rFonts w:ascii="Tahoma" w:hAnsi="Tahoma" w:cs="Tahoma"/>
                <w:sz w:val="18"/>
                <w:szCs w:val="18"/>
                <w:lang w:val="pt-BR"/>
              </w:rPr>
            </w:pPr>
            <w:r w:rsidRPr="00E47ECF">
              <w:rPr>
                <w:rFonts w:ascii="Tahoma" w:hAnsi="Tahoma" w:cs="Tahoma"/>
                <w:color w:val="000000"/>
                <w:sz w:val="18"/>
                <w:szCs w:val="18"/>
                <w:lang w:val="pt-BR"/>
              </w:rPr>
              <w:t>Nossos Recursos serão encaminhados para o local do cliente o mais rápido possível</w:t>
            </w:r>
          </w:p>
          <w:p w:rsidR="00DB2D1E" w:rsidRPr="00FF3D4D" w:rsidRDefault="00DB2D1E" w:rsidP="002C1048">
            <w:pPr>
              <w:pStyle w:val="ListBullet3"/>
              <w:numPr>
                <w:ilvl w:val="0"/>
                <w:numId w:val="79"/>
              </w:numPr>
              <w:spacing w:line="276" w:lineRule="auto"/>
              <w:rPr>
                <w:rFonts w:ascii="Tahoma" w:hAnsi="Tahoma" w:cs="Tahoma"/>
                <w:sz w:val="18"/>
                <w:szCs w:val="18"/>
              </w:rPr>
            </w:pPr>
            <w:r w:rsidRPr="00FF3D4D">
              <w:rPr>
                <w:rFonts w:ascii="Tahoma" w:hAnsi="Tahoma" w:cs="Tahoma"/>
                <w:color w:val="000000"/>
                <w:sz w:val="18"/>
                <w:szCs w:val="18"/>
              </w:rPr>
              <w:t>Esforço contínuo 24x7</w:t>
            </w:r>
          </w:p>
          <w:p w:rsidR="00DB2D1E" w:rsidRPr="00E47ECF" w:rsidRDefault="00DB2D1E" w:rsidP="002C1048">
            <w:pPr>
              <w:pStyle w:val="ListBullet3"/>
              <w:numPr>
                <w:ilvl w:val="0"/>
                <w:numId w:val="79"/>
              </w:numPr>
              <w:spacing w:line="276" w:lineRule="auto"/>
              <w:rPr>
                <w:rFonts w:ascii="Tahoma" w:hAnsi="Tahoma" w:cs="Tahoma"/>
                <w:sz w:val="18"/>
                <w:szCs w:val="18"/>
                <w:lang w:val="pt-BR"/>
              </w:rPr>
            </w:pPr>
            <w:r w:rsidRPr="00E47ECF">
              <w:rPr>
                <w:rFonts w:ascii="Tahoma" w:hAnsi="Tahoma" w:cs="Tahoma"/>
                <w:color w:val="000000"/>
                <w:sz w:val="18"/>
                <w:szCs w:val="18"/>
                <w:lang w:val="pt-BR"/>
              </w:rPr>
              <w:t>Escalonamento rápido na Microsoft para equipes do Produto</w:t>
            </w:r>
          </w:p>
          <w:p w:rsidR="00DB2D1E" w:rsidRPr="00E47ECF" w:rsidRDefault="00DB2D1E" w:rsidP="002C1048">
            <w:pPr>
              <w:pStyle w:val="ListBullet3"/>
              <w:numPr>
                <w:ilvl w:val="0"/>
                <w:numId w:val="79"/>
              </w:numPr>
              <w:spacing w:line="276" w:lineRule="auto"/>
              <w:rPr>
                <w:rFonts w:ascii="Tahoma" w:hAnsi="Tahoma" w:cs="Tahoma"/>
                <w:color w:val="000000"/>
                <w:sz w:val="18"/>
                <w:szCs w:val="18"/>
                <w:lang w:val="pt-BR"/>
              </w:rPr>
            </w:pPr>
            <w:r w:rsidRPr="00E47ECF">
              <w:rPr>
                <w:rFonts w:ascii="Tahoma" w:hAnsi="Tahoma" w:cs="Tahoma"/>
                <w:color w:val="000000"/>
                <w:sz w:val="18"/>
                <w:szCs w:val="18"/>
                <w:lang w:val="pt-BR"/>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47ECF" w:rsidRDefault="00DB2D1E" w:rsidP="007E2720">
            <w:pPr>
              <w:pStyle w:val="ListBullet3"/>
              <w:numPr>
                <w:ilvl w:val="0"/>
                <w:numId w:val="80"/>
              </w:numPr>
              <w:spacing w:line="276" w:lineRule="auto"/>
              <w:rPr>
                <w:rFonts w:ascii="Tahoma" w:hAnsi="Tahoma" w:cs="Tahoma"/>
                <w:sz w:val="18"/>
                <w:szCs w:val="18"/>
                <w:lang w:val="pt-BR"/>
              </w:rPr>
            </w:pPr>
            <w:r w:rsidRPr="00E47ECF">
              <w:rPr>
                <w:rFonts w:ascii="Tahoma" w:hAnsi="Tahoma" w:cs="Tahoma"/>
                <w:color w:val="000000"/>
                <w:sz w:val="18"/>
                <w:szCs w:val="18"/>
                <w:lang w:val="pt-BR"/>
              </w:rPr>
              <w:t>Notificação aos Executivos Sêniores do</w:t>
            </w:r>
            <w:r w:rsidR="007E2720" w:rsidRPr="00E47ECF">
              <w:rPr>
                <w:rFonts w:ascii="Tahoma" w:hAnsi="Tahoma" w:cs="Tahoma"/>
                <w:color w:val="000000"/>
                <w:sz w:val="18"/>
                <w:szCs w:val="18"/>
                <w:lang w:val="pt-BR"/>
              </w:rPr>
              <w:t> cliente</w:t>
            </w:r>
          </w:p>
          <w:p w:rsidR="00DB2D1E" w:rsidRPr="00E47ECF" w:rsidRDefault="00DB2D1E" w:rsidP="002C1048">
            <w:pPr>
              <w:pStyle w:val="ListBullet3"/>
              <w:numPr>
                <w:ilvl w:val="0"/>
                <w:numId w:val="80"/>
              </w:numPr>
              <w:spacing w:line="276" w:lineRule="auto"/>
              <w:rPr>
                <w:rFonts w:ascii="Tahoma" w:hAnsi="Tahoma" w:cs="Tahoma"/>
                <w:sz w:val="18"/>
                <w:szCs w:val="18"/>
                <w:lang w:val="pt-BR"/>
              </w:rPr>
            </w:pPr>
            <w:r w:rsidRPr="00E47ECF">
              <w:rPr>
                <w:rFonts w:ascii="Tahoma" w:hAnsi="Tahoma" w:cs="Tahoma"/>
                <w:color w:val="000000"/>
                <w:sz w:val="18"/>
                <w:szCs w:val="18"/>
                <w:lang w:val="pt-BR"/>
              </w:rPr>
              <w:t>Alocação de recursos adequados para manter os esforços contínuos em uma base 24x7</w:t>
            </w:r>
            <w:r w:rsidRPr="00E47ECF">
              <w:rPr>
                <w:rFonts w:ascii="Tahoma" w:hAnsi="Tahoma" w:cs="Tahoma"/>
                <w:color w:val="000000"/>
                <w:sz w:val="18"/>
                <w:szCs w:val="18"/>
                <w:vertAlign w:val="superscript"/>
                <w:lang w:val="pt-BR"/>
              </w:rPr>
              <w:t>2</w:t>
            </w:r>
          </w:p>
          <w:p w:rsidR="00DB2D1E" w:rsidRPr="00E47ECF" w:rsidRDefault="00DB2D1E" w:rsidP="002C1048">
            <w:pPr>
              <w:pStyle w:val="ListBullet3"/>
              <w:numPr>
                <w:ilvl w:val="0"/>
                <w:numId w:val="80"/>
              </w:numPr>
              <w:spacing w:line="276" w:lineRule="auto"/>
              <w:rPr>
                <w:rFonts w:ascii="Tahoma" w:hAnsi="Tahoma" w:cs="Tahoma"/>
                <w:color w:val="000000"/>
                <w:sz w:val="18"/>
                <w:szCs w:val="18"/>
                <w:lang w:val="pt-BR"/>
              </w:rPr>
            </w:pPr>
            <w:r w:rsidRPr="00E47ECF">
              <w:rPr>
                <w:rFonts w:ascii="Tahoma" w:hAnsi="Tahoma" w:cs="Tahoma"/>
                <w:color w:val="000000"/>
                <w:sz w:val="18"/>
                <w:szCs w:val="18"/>
                <w:lang w:val="pt-BR"/>
              </w:rPr>
              <w:t>Acesso e resposta rápidos da autoridade de controle de alterações</w:t>
            </w:r>
          </w:p>
        </w:tc>
      </w:tr>
      <w:tr w:rsidR="00DB2D1E" w:rsidRPr="0041607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47ECF" w:rsidRDefault="00DB2D1E" w:rsidP="00DE73D4">
            <w:pPr>
              <w:pStyle w:val="tableclose"/>
              <w:spacing w:line="276" w:lineRule="auto"/>
              <w:rPr>
                <w:rFonts w:ascii="Tahoma" w:hAnsi="Tahoma" w:cs="Tahoma"/>
                <w:color w:val="000000"/>
                <w:sz w:val="18"/>
                <w:szCs w:val="18"/>
                <w:lang w:val="pt-BR"/>
              </w:rPr>
            </w:pPr>
            <w:r w:rsidRPr="00E47ECF">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FF3D4D" w:rsidRDefault="00DB2D1E" w:rsidP="002C1048">
            <w:pPr>
              <w:pStyle w:val="ListBullet3"/>
              <w:numPr>
                <w:ilvl w:val="0"/>
                <w:numId w:val="78"/>
              </w:numPr>
              <w:spacing w:line="276" w:lineRule="auto"/>
              <w:rPr>
                <w:rFonts w:ascii="Tahoma" w:hAnsi="Tahoma" w:cs="Tahoma"/>
                <w:sz w:val="18"/>
                <w:szCs w:val="18"/>
              </w:rPr>
            </w:pPr>
            <w:r w:rsidRPr="00FF3D4D">
              <w:rPr>
                <w:rFonts w:ascii="Tahoma" w:hAnsi="Tahoma" w:cs="Tahoma"/>
                <w:color w:val="000000"/>
                <w:sz w:val="18"/>
                <w:szCs w:val="18"/>
              </w:rPr>
              <w:t xml:space="preserve">Impacto crítico nos negócios: </w:t>
            </w:r>
          </w:p>
          <w:p w:rsidR="00DB2D1E" w:rsidRPr="00E47ECF" w:rsidRDefault="00DB2D1E" w:rsidP="002C1048">
            <w:pPr>
              <w:pStyle w:val="ListBullet3"/>
              <w:numPr>
                <w:ilvl w:val="0"/>
                <w:numId w:val="78"/>
              </w:numPr>
              <w:spacing w:line="276" w:lineRule="auto"/>
              <w:rPr>
                <w:rFonts w:ascii="Tahoma" w:hAnsi="Tahoma" w:cs="Tahoma"/>
                <w:sz w:val="18"/>
                <w:szCs w:val="18"/>
                <w:lang w:val="pt-BR"/>
              </w:rPr>
            </w:pPr>
            <w:r w:rsidRPr="00E47ECF">
              <w:rPr>
                <w:rFonts w:ascii="Tahoma" w:hAnsi="Tahoma" w:cs="Tahoma"/>
                <w:color w:val="000000"/>
                <w:sz w:val="18"/>
                <w:szCs w:val="18"/>
                <w:lang w:val="pt-BR"/>
              </w:rPr>
              <w:t>Perda ou degradação significativa dos serviços</w:t>
            </w:r>
          </w:p>
          <w:p w:rsidR="00DB2D1E" w:rsidRPr="00E47ECF" w:rsidRDefault="00DB2D1E" w:rsidP="002C1048">
            <w:pPr>
              <w:pStyle w:val="ListBullet3"/>
              <w:numPr>
                <w:ilvl w:val="0"/>
                <w:numId w:val="78"/>
              </w:numPr>
              <w:spacing w:line="276" w:lineRule="auto"/>
              <w:rPr>
                <w:rFonts w:ascii="Tahoma" w:hAnsi="Tahoma" w:cs="Tahoma"/>
                <w:color w:val="000000"/>
                <w:sz w:val="18"/>
                <w:szCs w:val="18"/>
                <w:lang w:val="pt-BR"/>
              </w:rPr>
            </w:pPr>
            <w:r w:rsidRPr="00E47ECF">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47ECF" w:rsidRDefault="00DB2D1E" w:rsidP="002C1048">
            <w:pPr>
              <w:pStyle w:val="ListBullet3"/>
              <w:numPr>
                <w:ilvl w:val="0"/>
                <w:numId w:val="79"/>
              </w:numPr>
              <w:spacing w:line="276" w:lineRule="auto"/>
              <w:rPr>
                <w:rFonts w:ascii="Tahoma" w:hAnsi="Tahoma" w:cs="Tahoma"/>
                <w:sz w:val="18"/>
                <w:szCs w:val="18"/>
                <w:lang w:val="pt-BR"/>
              </w:rPr>
            </w:pPr>
            <w:r w:rsidRPr="00E47ECF">
              <w:rPr>
                <w:rFonts w:ascii="Tahoma" w:hAnsi="Tahoma" w:cs="Tahoma"/>
                <w:color w:val="000000"/>
                <w:sz w:val="18"/>
                <w:szCs w:val="18"/>
                <w:lang w:val="pt-BR"/>
              </w:rPr>
              <w:t>Resposta à 1</w:t>
            </w:r>
            <w:r w:rsidRPr="00E47ECF">
              <w:rPr>
                <w:rFonts w:ascii="Tahoma" w:hAnsi="Tahoma" w:cs="Tahoma"/>
                <w:color w:val="000000"/>
                <w:sz w:val="18"/>
                <w:szCs w:val="18"/>
                <w:vertAlign w:val="superscript"/>
                <w:lang w:val="pt-BR"/>
              </w:rPr>
              <w:t>ª</w:t>
            </w:r>
            <w:r w:rsidRPr="00E47ECF">
              <w:rPr>
                <w:rFonts w:ascii="Tahoma" w:hAnsi="Tahoma" w:cs="Tahoma"/>
                <w:color w:val="000000"/>
                <w:sz w:val="18"/>
                <w:szCs w:val="18"/>
                <w:lang w:val="pt-BR"/>
              </w:rPr>
              <w:t xml:space="preserve"> chamada em 1 hora ou menos</w:t>
            </w:r>
          </w:p>
          <w:p w:rsidR="00DB2D1E" w:rsidRPr="00E47ECF" w:rsidRDefault="00DB2D1E" w:rsidP="007E2720">
            <w:pPr>
              <w:pStyle w:val="ListBullet3"/>
              <w:numPr>
                <w:ilvl w:val="0"/>
                <w:numId w:val="79"/>
              </w:numPr>
              <w:spacing w:line="276" w:lineRule="auto"/>
              <w:rPr>
                <w:rFonts w:ascii="Tahoma" w:hAnsi="Tahoma" w:cs="Tahoma"/>
                <w:sz w:val="18"/>
                <w:szCs w:val="18"/>
                <w:lang w:val="pt-BR"/>
              </w:rPr>
            </w:pPr>
            <w:r w:rsidRPr="00E47ECF">
              <w:rPr>
                <w:rFonts w:ascii="Tahoma" w:hAnsi="Tahoma" w:cs="Tahoma"/>
                <w:color w:val="000000"/>
                <w:sz w:val="18"/>
                <w:szCs w:val="18"/>
                <w:lang w:val="pt-BR"/>
              </w:rPr>
              <w:t>Nossos Recursos serão encaminhados ao local do</w:t>
            </w:r>
            <w:r w:rsidR="007E2720" w:rsidRPr="00E47ECF">
              <w:rPr>
                <w:rFonts w:ascii="Tahoma" w:hAnsi="Tahoma" w:cs="Tahoma"/>
                <w:color w:val="000000"/>
                <w:sz w:val="18"/>
                <w:szCs w:val="18"/>
                <w:lang w:val="pt-BR"/>
              </w:rPr>
              <w:t> </w:t>
            </w:r>
            <w:r w:rsidRPr="00E47ECF">
              <w:rPr>
                <w:rFonts w:ascii="Tahoma" w:hAnsi="Tahoma" w:cs="Tahoma"/>
                <w:color w:val="000000"/>
                <w:sz w:val="18"/>
                <w:szCs w:val="18"/>
                <w:lang w:val="pt-BR"/>
              </w:rPr>
              <w:t>cliente conforme a</w:t>
            </w:r>
            <w:r w:rsidR="007E2720" w:rsidRPr="00E47ECF">
              <w:rPr>
                <w:rFonts w:ascii="Tahoma" w:hAnsi="Tahoma" w:cs="Tahoma"/>
                <w:color w:val="000000"/>
                <w:sz w:val="18"/>
                <w:szCs w:val="18"/>
                <w:lang w:val="pt-BR"/>
              </w:rPr>
              <w:t> </w:t>
            </w:r>
            <w:r w:rsidRPr="00E47ECF">
              <w:rPr>
                <w:rFonts w:ascii="Tahoma" w:hAnsi="Tahoma" w:cs="Tahoma"/>
                <w:color w:val="000000"/>
                <w:sz w:val="18"/>
                <w:szCs w:val="18"/>
                <w:lang w:val="pt-BR"/>
              </w:rPr>
              <w:t>necessidade</w:t>
            </w:r>
          </w:p>
          <w:p w:rsidR="00DB2D1E" w:rsidRPr="00FF3D4D" w:rsidRDefault="00DB2D1E" w:rsidP="002C1048">
            <w:pPr>
              <w:pStyle w:val="ListBullet3"/>
              <w:numPr>
                <w:ilvl w:val="0"/>
                <w:numId w:val="79"/>
              </w:numPr>
              <w:spacing w:line="276" w:lineRule="auto"/>
              <w:rPr>
                <w:rFonts w:ascii="Tahoma" w:hAnsi="Tahoma" w:cs="Tahoma"/>
                <w:sz w:val="18"/>
                <w:szCs w:val="18"/>
              </w:rPr>
            </w:pPr>
            <w:r w:rsidRPr="00FF3D4D">
              <w:rPr>
                <w:rFonts w:ascii="Tahoma" w:hAnsi="Tahoma" w:cs="Tahoma"/>
                <w:color w:val="000000"/>
                <w:sz w:val="18"/>
                <w:szCs w:val="18"/>
              </w:rPr>
              <w:t>Esforço contínuo 24x7</w:t>
            </w:r>
          </w:p>
          <w:p w:rsidR="00DB2D1E" w:rsidRPr="00E47ECF" w:rsidRDefault="00DB2D1E" w:rsidP="002C1048">
            <w:pPr>
              <w:pStyle w:val="ListBullet3"/>
              <w:numPr>
                <w:ilvl w:val="0"/>
                <w:numId w:val="79"/>
              </w:numPr>
              <w:spacing w:line="276" w:lineRule="auto"/>
              <w:rPr>
                <w:rFonts w:ascii="Tahoma" w:hAnsi="Tahoma" w:cs="Tahoma"/>
                <w:color w:val="000000"/>
                <w:sz w:val="18"/>
                <w:szCs w:val="18"/>
                <w:lang w:val="pt-BR"/>
              </w:rPr>
            </w:pPr>
            <w:r w:rsidRPr="00E47ECF">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47ECF" w:rsidRDefault="00DB2D1E" w:rsidP="002C1048">
            <w:pPr>
              <w:pStyle w:val="ListBullet3"/>
              <w:numPr>
                <w:ilvl w:val="0"/>
                <w:numId w:val="80"/>
              </w:numPr>
              <w:spacing w:line="276" w:lineRule="auto"/>
              <w:rPr>
                <w:rFonts w:ascii="Tahoma" w:hAnsi="Tahoma" w:cs="Tahoma"/>
                <w:sz w:val="18"/>
                <w:szCs w:val="18"/>
                <w:lang w:val="pt-BR"/>
              </w:rPr>
            </w:pPr>
            <w:r w:rsidRPr="00E47ECF">
              <w:rPr>
                <w:rFonts w:ascii="Tahoma" w:hAnsi="Tahoma" w:cs="Tahoma"/>
                <w:color w:val="000000"/>
                <w:sz w:val="18"/>
                <w:szCs w:val="18"/>
                <w:lang w:val="pt-BR"/>
              </w:rPr>
              <w:t>Alocação de recursos adequados para manter os esforços contínuos em uma base 24x7</w:t>
            </w:r>
            <w:r w:rsidRPr="00E47ECF">
              <w:rPr>
                <w:rFonts w:ascii="Tahoma" w:hAnsi="Tahoma" w:cs="Tahoma"/>
                <w:color w:val="000000"/>
                <w:sz w:val="18"/>
                <w:szCs w:val="18"/>
                <w:vertAlign w:val="superscript"/>
                <w:lang w:val="pt-BR"/>
              </w:rPr>
              <w:t>2</w:t>
            </w:r>
          </w:p>
          <w:p w:rsidR="00DB2D1E" w:rsidRPr="00E47ECF" w:rsidRDefault="00DB2D1E" w:rsidP="002C1048">
            <w:pPr>
              <w:pStyle w:val="ListBullet3"/>
              <w:numPr>
                <w:ilvl w:val="0"/>
                <w:numId w:val="80"/>
              </w:numPr>
              <w:spacing w:line="276" w:lineRule="auto"/>
              <w:rPr>
                <w:rFonts w:ascii="Tahoma" w:hAnsi="Tahoma" w:cs="Tahoma"/>
                <w:sz w:val="18"/>
                <w:szCs w:val="18"/>
                <w:lang w:val="pt-BR"/>
              </w:rPr>
            </w:pPr>
            <w:r w:rsidRPr="00E47ECF">
              <w:rPr>
                <w:rFonts w:ascii="Tahoma" w:hAnsi="Tahoma" w:cs="Tahoma"/>
                <w:color w:val="000000"/>
                <w:sz w:val="18"/>
                <w:szCs w:val="18"/>
                <w:lang w:val="pt-BR"/>
              </w:rPr>
              <w:t>Acesso e resposta rápidos da autoridade de controle de alterações</w:t>
            </w:r>
          </w:p>
          <w:p w:rsidR="00DB2D1E" w:rsidRPr="00FF3D4D" w:rsidRDefault="00DB2D1E" w:rsidP="002C1048">
            <w:pPr>
              <w:pStyle w:val="ListBullet3"/>
              <w:numPr>
                <w:ilvl w:val="0"/>
                <w:numId w:val="80"/>
              </w:numPr>
              <w:spacing w:line="276" w:lineRule="auto"/>
              <w:rPr>
                <w:rFonts w:ascii="Tahoma" w:hAnsi="Tahoma" w:cs="Tahoma"/>
                <w:color w:val="000000"/>
                <w:sz w:val="18"/>
                <w:szCs w:val="18"/>
              </w:rPr>
            </w:pPr>
            <w:r w:rsidRPr="00FF3D4D">
              <w:rPr>
                <w:rFonts w:ascii="Tahoma" w:hAnsi="Tahoma" w:cs="Tahoma"/>
                <w:color w:val="000000"/>
                <w:sz w:val="18"/>
                <w:szCs w:val="18"/>
              </w:rPr>
              <w:t>Notificação à gerência</w:t>
            </w:r>
          </w:p>
        </w:tc>
      </w:tr>
      <w:tr w:rsidR="00DB2D1E" w:rsidRPr="002B5F9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47ECF" w:rsidRDefault="00DB2D1E" w:rsidP="00DE73D4">
            <w:pPr>
              <w:pStyle w:val="tableclose"/>
              <w:spacing w:line="276" w:lineRule="auto"/>
              <w:rPr>
                <w:rFonts w:ascii="Tahoma" w:hAnsi="Tahoma" w:cs="Tahoma"/>
                <w:color w:val="000000"/>
                <w:sz w:val="18"/>
                <w:szCs w:val="18"/>
                <w:lang w:val="pt-BR"/>
              </w:rPr>
            </w:pPr>
            <w:r w:rsidRPr="00E47ECF">
              <w:rPr>
                <w:rFonts w:ascii="Tahoma" w:hAnsi="Tahoma" w:cs="Tahoma"/>
                <w:color w:val="000000"/>
                <w:sz w:val="18"/>
                <w:szCs w:val="18"/>
                <w:lang w:val="pt-BR"/>
              </w:rPr>
              <w:t>B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FF3D4D" w:rsidRDefault="00DB2D1E" w:rsidP="002C1048">
            <w:pPr>
              <w:pStyle w:val="ListBullet3"/>
              <w:numPr>
                <w:ilvl w:val="0"/>
                <w:numId w:val="78"/>
              </w:numPr>
              <w:spacing w:line="276" w:lineRule="auto"/>
              <w:rPr>
                <w:rFonts w:ascii="Tahoma" w:hAnsi="Tahoma" w:cs="Tahoma"/>
                <w:sz w:val="18"/>
                <w:szCs w:val="18"/>
              </w:rPr>
            </w:pPr>
            <w:r w:rsidRPr="00FF3D4D">
              <w:rPr>
                <w:rFonts w:ascii="Tahoma" w:hAnsi="Tahoma" w:cs="Tahoma"/>
                <w:color w:val="000000"/>
                <w:sz w:val="18"/>
                <w:szCs w:val="18"/>
              </w:rPr>
              <w:t xml:space="preserve">Impacto moderado nos negócios: </w:t>
            </w:r>
          </w:p>
          <w:p w:rsidR="00DB2D1E" w:rsidRPr="00E47ECF" w:rsidRDefault="00DB2D1E" w:rsidP="002C1048">
            <w:pPr>
              <w:pStyle w:val="ListBullet3"/>
              <w:numPr>
                <w:ilvl w:val="0"/>
                <w:numId w:val="78"/>
              </w:numPr>
              <w:spacing w:line="276" w:lineRule="auto"/>
              <w:rPr>
                <w:rFonts w:ascii="Tahoma" w:hAnsi="Tahoma" w:cs="Tahoma"/>
                <w:sz w:val="18"/>
                <w:szCs w:val="18"/>
                <w:lang w:val="pt-BR"/>
              </w:rPr>
            </w:pPr>
            <w:r w:rsidRPr="00E47ECF">
              <w:rPr>
                <w:rFonts w:ascii="Tahoma" w:hAnsi="Tahoma" w:cs="Tahoma"/>
                <w:color w:val="000000"/>
                <w:sz w:val="18"/>
                <w:szCs w:val="18"/>
                <w:lang w:val="pt-BR"/>
              </w:rPr>
              <w:t>Perda ou degradação moderada dos serviços, mas o trabalho pode razoavelmente continuar de maneira prejudicada</w:t>
            </w:r>
          </w:p>
          <w:p w:rsidR="00DB2D1E" w:rsidRPr="00E47ECF" w:rsidRDefault="00DB2D1E" w:rsidP="002C1048">
            <w:pPr>
              <w:pStyle w:val="ListBullet3"/>
              <w:numPr>
                <w:ilvl w:val="0"/>
                <w:numId w:val="78"/>
              </w:numPr>
              <w:spacing w:line="276" w:lineRule="auto"/>
              <w:rPr>
                <w:rFonts w:ascii="Tahoma" w:hAnsi="Tahoma" w:cs="Tahoma"/>
                <w:color w:val="000000"/>
                <w:sz w:val="18"/>
                <w:szCs w:val="18"/>
                <w:lang w:val="pt-BR"/>
              </w:rPr>
            </w:pPr>
            <w:r w:rsidRPr="00E47ECF">
              <w:rPr>
                <w:rFonts w:ascii="Tahoma" w:hAnsi="Tahoma" w:cs="Tahoma"/>
                <w:color w:val="000000"/>
                <w:sz w:val="18"/>
                <w:szCs w:val="18"/>
                <w:lang w:val="pt-BR"/>
              </w:rPr>
              <w:t>Necessita de atenção dentro de 2 Horas Comerciais</w:t>
            </w:r>
            <w:r w:rsidRPr="00E47ECF">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47ECF" w:rsidRDefault="00DB2D1E" w:rsidP="002C1048">
            <w:pPr>
              <w:pStyle w:val="ListBullet3"/>
              <w:numPr>
                <w:ilvl w:val="0"/>
                <w:numId w:val="79"/>
              </w:numPr>
              <w:spacing w:line="276" w:lineRule="auto"/>
              <w:rPr>
                <w:rFonts w:ascii="Tahoma" w:hAnsi="Tahoma" w:cs="Tahoma"/>
                <w:sz w:val="18"/>
                <w:szCs w:val="18"/>
                <w:lang w:val="pt-BR"/>
              </w:rPr>
            </w:pPr>
            <w:r w:rsidRPr="00E47ECF">
              <w:rPr>
                <w:rFonts w:ascii="Tahoma" w:hAnsi="Tahoma" w:cs="Tahoma"/>
                <w:color w:val="000000"/>
                <w:sz w:val="18"/>
                <w:szCs w:val="18"/>
                <w:lang w:val="pt-BR"/>
              </w:rPr>
              <w:t>Resposta à 1</w:t>
            </w:r>
            <w:r w:rsidRPr="00E47ECF">
              <w:rPr>
                <w:rFonts w:ascii="Tahoma" w:hAnsi="Tahoma" w:cs="Tahoma"/>
                <w:color w:val="000000"/>
                <w:sz w:val="18"/>
                <w:szCs w:val="18"/>
                <w:vertAlign w:val="superscript"/>
                <w:lang w:val="pt-BR"/>
              </w:rPr>
              <w:t>ª</w:t>
            </w:r>
            <w:r w:rsidRPr="00E47ECF">
              <w:rPr>
                <w:rFonts w:ascii="Tahoma" w:hAnsi="Tahoma" w:cs="Tahoma"/>
                <w:color w:val="000000"/>
                <w:sz w:val="18"/>
                <w:szCs w:val="18"/>
                <w:lang w:val="pt-BR"/>
              </w:rPr>
              <w:t xml:space="preserve"> chamada em 2 horas ou menos</w:t>
            </w:r>
          </w:p>
          <w:p w:rsidR="00DB2D1E" w:rsidRPr="00E47ECF" w:rsidRDefault="00DB2D1E" w:rsidP="007E2720">
            <w:pPr>
              <w:pStyle w:val="ListBullet3"/>
              <w:numPr>
                <w:ilvl w:val="0"/>
                <w:numId w:val="79"/>
              </w:numPr>
              <w:spacing w:line="276" w:lineRule="auto"/>
              <w:rPr>
                <w:rFonts w:ascii="Tahoma" w:hAnsi="Tahoma" w:cs="Tahoma"/>
                <w:sz w:val="18"/>
                <w:szCs w:val="18"/>
                <w:lang w:val="pt-BR"/>
              </w:rPr>
            </w:pPr>
            <w:r w:rsidRPr="00E47ECF">
              <w:rPr>
                <w:rFonts w:ascii="Tahoma" w:hAnsi="Tahoma" w:cs="Tahoma"/>
                <w:color w:val="000000"/>
                <w:sz w:val="18"/>
                <w:szCs w:val="18"/>
                <w:lang w:val="pt-BR"/>
              </w:rPr>
              <w:t>Esforço apenas durante o</w:t>
            </w:r>
            <w:r w:rsidR="007E2720" w:rsidRPr="00E47ECF">
              <w:rPr>
                <w:rFonts w:ascii="Tahoma" w:hAnsi="Tahoma" w:cs="Tahoma"/>
                <w:color w:val="000000"/>
                <w:sz w:val="18"/>
                <w:szCs w:val="18"/>
                <w:lang w:val="pt-BR"/>
              </w:rPr>
              <w:t> </w:t>
            </w:r>
            <w:r w:rsidRPr="00E47ECF">
              <w:rPr>
                <w:rFonts w:ascii="Tahoma" w:hAnsi="Tahoma" w:cs="Tahoma"/>
                <w:color w:val="000000"/>
                <w:sz w:val="18"/>
                <w:szCs w:val="18"/>
                <w:lang w:val="pt-BR"/>
              </w:rPr>
              <w:t>Horário Comercial</w:t>
            </w:r>
            <w:r w:rsidRPr="00E47ECF">
              <w:rPr>
                <w:rFonts w:ascii="Tahoma" w:hAnsi="Tahoma" w:cs="Tahoma"/>
                <w:color w:val="000000"/>
                <w:sz w:val="18"/>
                <w:szCs w:val="18"/>
                <w:vertAlign w:val="superscript"/>
                <w:lang w:val="pt-BR"/>
              </w:rPr>
              <w:t>1</w:t>
            </w:r>
            <w:r w:rsidRPr="00E47ECF">
              <w:rPr>
                <w:rFonts w:ascii="Tahoma" w:hAnsi="Tahoma" w:cs="Tahoma"/>
                <w:color w:val="000000"/>
                <w:sz w:val="18"/>
                <w:szCs w:val="18"/>
                <w:lang w:val="pt-BR"/>
              </w:rPr>
              <w:t xml:space="preserve"> </w:t>
            </w:r>
          </w:p>
          <w:p w:rsidR="00DB2D1E" w:rsidRPr="00E47ECF"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47ECF" w:rsidRDefault="00DB2D1E" w:rsidP="002C1048">
            <w:pPr>
              <w:pStyle w:val="ListBullet3"/>
              <w:numPr>
                <w:ilvl w:val="0"/>
                <w:numId w:val="80"/>
              </w:numPr>
              <w:spacing w:line="276" w:lineRule="auto"/>
              <w:rPr>
                <w:rFonts w:ascii="Tahoma" w:hAnsi="Tahoma" w:cs="Tahoma"/>
                <w:sz w:val="18"/>
                <w:szCs w:val="18"/>
                <w:lang w:val="pt-BR"/>
              </w:rPr>
            </w:pPr>
            <w:r w:rsidRPr="00E47ECF">
              <w:rPr>
                <w:rFonts w:ascii="Tahoma" w:hAnsi="Tahoma" w:cs="Tahoma"/>
                <w:color w:val="000000"/>
                <w:sz w:val="18"/>
                <w:szCs w:val="18"/>
                <w:lang w:val="pt-BR"/>
              </w:rPr>
              <w:t>Alocação de recursos adequados para manter esforços contínuos no Horário Comercial</w:t>
            </w:r>
            <w:r w:rsidRPr="00E47ECF">
              <w:rPr>
                <w:rFonts w:ascii="Tahoma" w:hAnsi="Tahoma" w:cs="Tahoma"/>
                <w:color w:val="000000"/>
                <w:sz w:val="18"/>
                <w:szCs w:val="18"/>
                <w:vertAlign w:val="superscript"/>
                <w:lang w:val="pt-BR"/>
              </w:rPr>
              <w:t>1</w:t>
            </w:r>
            <w:r w:rsidRPr="00E47ECF">
              <w:rPr>
                <w:rFonts w:ascii="Tahoma" w:hAnsi="Tahoma" w:cs="Tahoma"/>
                <w:color w:val="000000"/>
                <w:sz w:val="18"/>
                <w:szCs w:val="18"/>
                <w:lang w:val="pt-BR"/>
              </w:rPr>
              <w:t xml:space="preserve"> </w:t>
            </w:r>
          </w:p>
          <w:p w:rsidR="00DB2D1E" w:rsidRPr="00E47ECF" w:rsidRDefault="00DB2D1E" w:rsidP="002C1048">
            <w:pPr>
              <w:pStyle w:val="ListBullet3"/>
              <w:numPr>
                <w:ilvl w:val="0"/>
                <w:numId w:val="80"/>
              </w:numPr>
              <w:spacing w:line="276" w:lineRule="auto"/>
              <w:rPr>
                <w:rFonts w:ascii="Tahoma" w:hAnsi="Tahoma" w:cs="Tahoma"/>
                <w:color w:val="000000"/>
                <w:sz w:val="18"/>
                <w:szCs w:val="18"/>
                <w:lang w:val="pt-BR"/>
              </w:rPr>
            </w:pPr>
            <w:r w:rsidRPr="00E47ECF">
              <w:rPr>
                <w:rFonts w:ascii="Tahoma" w:hAnsi="Tahoma" w:cs="Tahoma"/>
                <w:color w:val="000000"/>
                <w:sz w:val="18"/>
                <w:szCs w:val="18"/>
                <w:lang w:val="pt-BR"/>
              </w:rPr>
              <w:t>Acesso e resposta da autoridade de controle de alterações dentro de 4 Horas Comerciais</w:t>
            </w:r>
            <w:r w:rsidRPr="00E47ECF">
              <w:rPr>
                <w:rFonts w:ascii="Tahoma" w:hAnsi="Tahoma" w:cs="Tahoma"/>
                <w:color w:val="000000"/>
                <w:sz w:val="18"/>
                <w:szCs w:val="18"/>
                <w:vertAlign w:val="superscript"/>
                <w:lang w:val="pt-BR"/>
              </w:rPr>
              <w:t>1</w:t>
            </w:r>
          </w:p>
        </w:tc>
      </w:tr>
      <w:tr w:rsidR="00DB2D1E" w:rsidRPr="0041607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47ECF" w:rsidRDefault="00DB2D1E" w:rsidP="00DE73D4">
            <w:pPr>
              <w:pStyle w:val="tableclose"/>
              <w:spacing w:line="276" w:lineRule="auto"/>
              <w:rPr>
                <w:rFonts w:ascii="Tahoma" w:hAnsi="Tahoma" w:cs="Tahoma"/>
                <w:color w:val="000000"/>
                <w:sz w:val="18"/>
                <w:szCs w:val="18"/>
                <w:lang w:val="pt-BR"/>
              </w:rPr>
            </w:pPr>
            <w:r w:rsidRPr="00E47ECF">
              <w:rPr>
                <w:rFonts w:ascii="Tahoma" w:hAnsi="Tahoma" w:cs="Tahoma"/>
                <w:color w:val="000000"/>
                <w:sz w:val="18"/>
                <w:szCs w:val="18"/>
                <w:lang w:val="pt-BR"/>
              </w:rPr>
              <w:t>C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FF3D4D" w:rsidRDefault="00DB2D1E" w:rsidP="002C1048">
            <w:pPr>
              <w:pStyle w:val="ListBullet3"/>
              <w:numPr>
                <w:ilvl w:val="0"/>
                <w:numId w:val="78"/>
              </w:numPr>
              <w:spacing w:line="276" w:lineRule="auto"/>
              <w:rPr>
                <w:rFonts w:ascii="Tahoma" w:hAnsi="Tahoma" w:cs="Tahoma"/>
                <w:sz w:val="18"/>
                <w:szCs w:val="18"/>
              </w:rPr>
            </w:pPr>
            <w:r w:rsidRPr="00FF3D4D">
              <w:rPr>
                <w:rFonts w:ascii="Tahoma" w:hAnsi="Tahoma" w:cs="Tahoma"/>
                <w:color w:val="000000"/>
                <w:sz w:val="18"/>
                <w:szCs w:val="18"/>
              </w:rPr>
              <w:t xml:space="preserve">Impacto mínimo nos negócios: </w:t>
            </w:r>
          </w:p>
          <w:p w:rsidR="00DB2D1E" w:rsidRPr="00E47ECF" w:rsidRDefault="00DB2D1E" w:rsidP="002C1048">
            <w:pPr>
              <w:pStyle w:val="ListBullet3"/>
              <w:numPr>
                <w:ilvl w:val="0"/>
                <w:numId w:val="78"/>
              </w:numPr>
              <w:spacing w:line="276" w:lineRule="auto"/>
              <w:rPr>
                <w:rFonts w:ascii="Tahoma" w:hAnsi="Tahoma" w:cs="Tahoma"/>
                <w:sz w:val="18"/>
                <w:szCs w:val="18"/>
                <w:lang w:val="pt-BR"/>
              </w:rPr>
            </w:pPr>
            <w:r w:rsidRPr="00E47ECF">
              <w:rPr>
                <w:rFonts w:ascii="Tahoma" w:hAnsi="Tahoma" w:cs="Tahoma"/>
                <w:color w:val="000000"/>
                <w:sz w:val="18"/>
                <w:szCs w:val="18"/>
                <w:lang w:val="pt-BR"/>
              </w:rPr>
              <w:t>Funcionamento de forma substancial, com poucos ou nenhum impedimento dos serviços</w:t>
            </w:r>
          </w:p>
          <w:p w:rsidR="00DB2D1E" w:rsidRPr="00E47ECF" w:rsidRDefault="00DB2D1E" w:rsidP="002C1048">
            <w:pPr>
              <w:pStyle w:val="ListBullet3"/>
              <w:numPr>
                <w:ilvl w:val="0"/>
                <w:numId w:val="78"/>
              </w:numPr>
              <w:spacing w:line="276" w:lineRule="auto"/>
              <w:rPr>
                <w:rFonts w:ascii="Tahoma" w:hAnsi="Tahoma" w:cs="Tahoma"/>
                <w:color w:val="000000"/>
                <w:sz w:val="18"/>
                <w:szCs w:val="18"/>
                <w:lang w:val="pt-BR"/>
              </w:rPr>
            </w:pPr>
            <w:r w:rsidRPr="00E47ECF">
              <w:rPr>
                <w:rFonts w:ascii="Tahoma" w:hAnsi="Tahoma" w:cs="Tahoma"/>
                <w:color w:val="000000"/>
                <w:sz w:val="18"/>
                <w:szCs w:val="18"/>
                <w:lang w:val="pt-BR"/>
              </w:rPr>
              <w:t>Necessita de atenção dentro de 4 Horas Comerciais</w:t>
            </w:r>
            <w:r w:rsidRPr="00E47ECF">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47ECF" w:rsidRDefault="00DB2D1E" w:rsidP="002C1048">
            <w:pPr>
              <w:pStyle w:val="ListBullet3"/>
              <w:numPr>
                <w:ilvl w:val="0"/>
                <w:numId w:val="79"/>
              </w:numPr>
              <w:spacing w:line="276" w:lineRule="auto"/>
              <w:rPr>
                <w:rFonts w:ascii="Tahoma" w:hAnsi="Tahoma" w:cs="Tahoma"/>
                <w:sz w:val="18"/>
                <w:szCs w:val="18"/>
                <w:lang w:val="pt-BR"/>
              </w:rPr>
            </w:pPr>
            <w:r w:rsidRPr="00E47ECF">
              <w:rPr>
                <w:rFonts w:ascii="Tahoma" w:hAnsi="Tahoma" w:cs="Tahoma"/>
                <w:color w:val="000000"/>
                <w:sz w:val="18"/>
                <w:szCs w:val="18"/>
                <w:lang w:val="pt-BR"/>
              </w:rPr>
              <w:t>Resposta à 1</w:t>
            </w:r>
            <w:r w:rsidRPr="00E47ECF">
              <w:rPr>
                <w:rFonts w:ascii="Tahoma" w:hAnsi="Tahoma" w:cs="Tahoma"/>
                <w:color w:val="000000"/>
                <w:sz w:val="18"/>
                <w:szCs w:val="18"/>
                <w:vertAlign w:val="superscript"/>
                <w:lang w:val="pt-BR"/>
              </w:rPr>
              <w:t>ª</w:t>
            </w:r>
            <w:r w:rsidRPr="00E47ECF">
              <w:rPr>
                <w:rFonts w:ascii="Tahoma" w:hAnsi="Tahoma" w:cs="Tahoma"/>
                <w:color w:val="000000"/>
                <w:sz w:val="18"/>
                <w:szCs w:val="18"/>
                <w:lang w:val="pt-BR"/>
              </w:rPr>
              <w:t xml:space="preserve"> chamada em 4 horas ou menos</w:t>
            </w:r>
          </w:p>
          <w:p w:rsidR="00DB2D1E" w:rsidRPr="00E47ECF" w:rsidRDefault="00DB2D1E" w:rsidP="002C1048">
            <w:pPr>
              <w:pStyle w:val="ListBullet3"/>
              <w:numPr>
                <w:ilvl w:val="0"/>
                <w:numId w:val="79"/>
              </w:numPr>
              <w:spacing w:line="276" w:lineRule="auto"/>
              <w:rPr>
                <w:rFonts w:ascii="Tahoma" w:hAnsi="Tahoma" w:cs="Tahoma"/>
                <w:sz w:val="18"/>
                <w:szCs w:val="18"/>
                <w:lang w:val="pt-BR"/>
              </w:rPr>
            </w:pPr>
            <w:r w:rsidRPr="00E47ECF">
              <w:rPr>
                <w:rFonts w:ascii="Tahoma" w:hAnsi="Tahoma" w:cs="Tahoma"/>
                <w:color w:val="000000"/>
                <w:sz w:val="18"/>
                <w:szCs w:val="18"/>
                <w:lang w:val="pt-BR"/>
              </w:rPr>
              <w:t>Esforço apenas durante o Horário Comercial</w:t>
            </w:r>
            <w:r w:rsidRPr="00E47ECF">
              <w:rPr>
                <w:rFonts w:ascii="Tahoma" w:hAnsi="Tahoma" w:cs="Tahoma"/>
                <w:color w:val="000000"/>
                <w:sz w:val="18"/>
                <w:szCs w:val="18"/>
                <w:vertAlign w:val="superscript"/>
                <w:lang w:val="pt-BR"/>
              </w:rPr>
              <w:t>1</w:t>
            </w:r>
            <w:r w:rsidRPr="00E47ECF">
              <w:rPr>
                <w:rFonts w:ascii="Tahoma" w:hAnsi="Tahoma" w:cs="Tahoma"/>
                <w:color w:val="000000"/>
                <w:sz w:val="18"/>
                <w:szCs w:val="18"/>
                <w:lang w:val="pt-BR"/>
              </w:rPr>
              <w:t xml:space="preserve"> </w:t>
            </w:r>
          </w:p>
          <w:p w:rsidR="00DB2D1E" w:rsidRPr="00E47ECF" w:rsidRDefault="00DB2D1E" w:rsidP="00DE73D4">
            <w:pPr>
              <w:pStyle w:val="tableclose"/>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47ECF" w:rsidRDefault="00DB2D1E" w:rsidP="002C1048">
            <w:pPr>
              <w:pStyle w:val="ListBullet3"/>
              <w:numPr>
                <w:ilvl w:val="0"/>
                <w:numId w:val="80"/>
              </w:numPr>
              <w:spacing w:line="276" w:lineRule="auto"/>
              <w:rPr>
                <w:rFonts w:ascii="Tahoma" w:hAnsi="Tahoma" w:cs="Tahoma"/>
                <w:sz w:val="18"/>
                <w:szCs w:val="18"/>
                <w:lang w:val="pt-BR"/>
              </w:rPr>
            </w:pPr>
            <w:r w:rsidRPr="00E47ECF">
              <w:rPr>
                <w:rFonts w:ascii="Tahoma" w:hAnsi="Tahoma" w:cs="Tahoma"/>
                <w:color w:val="000000"/>
                <w:sz w:val="18"/>
                <w:szCs w:val="18"/>
                <w:lang w:val="pt-BR"/>
              </w:rPr>
              <w:t>Informações de contato precisas sobre o proprietário do caso</w:t>
            </w:r>
          </w:p>
          <w:p w:rsidR="00DB2D1E" w:rsidRPr="00FF3D4D" w:rsidRDefault="00DB2D1E" w:rsidP="002C1048">
            <w:pPr>
              <w:pStyle w:val="ListBullet3"/>
              <w:numPr>
                <w:ilvl w:val="0"/>
                <w:numId w:val="80"/>
              </w:numPr>
              <w:spacing w:line="276" w:lineRule="auto"/>
              <w:rPr>
                <w:rFonts w:ascii="Tahoma" w:hAnsi="Tahoma" w:cs="Tahoma"/>
                <w:color w:val="000000"/>
                <w:sz w:val="18"/>
                <w:szCs w:val="18"/>
              </w:rPr>
            </w:pPr>
            <w:r w:rsidRPr="00FF3D4D">
              <w:rPr>
                <w:rFonts w:ascii="Tahoma" w:hAnsi="Tahoma" w:cs="Tahoma"/>
                <w:color w:val="000000"/>
                <w:sz w:val="18"/>
                <w:szCs w:val="18"/>
              </w:rPr>
              <w:t>Resposta dentro de 24 horas</w:t>
            </w:r>
          </w:p>
        </w:tc>
      </w:tr>
    </w:tbl>
    <w:p w:rsidR="00DB2D1E" w:rsidRPr="00E47ECF" w:rsidRDefault="00DB2D1E" w:rsidP="00DB2D1E">
      <w:pPr>
        <w:pStyle w:val="tableclose"/>
        <w:rPr>
          <w:lang w:val="pt-BR"/>
        </w:rPr>
      </w:pPr>
      <w:r w:rsidRPr="00E47ECF">
        <w:rPr>
          <w:rFonts w:ascii="Tahoma" w:hAnsi="Tahoma" w:cs="Tahoma"/>
          <w:i/>
          <w:color w:val="000000"/>
          <w:sz w:val="16"/>
          <w:szCs w:val="16"/>
          <w:vertAlign w:val="superscript"/>
          <w:lang w:val="pt-BR"/>
        </w:rPr>
        <w:t>1</w:t>
      </w:r>
      <w:r w:rsidRPr="00E47ECF">
        <w:rPr>
          <w:rFonts w:ascii="Tahoma" w:hAnsi="Tahoma" w:cs="Tahoma"/>
          <w:i/>
          <w:color w:val="000000"/>
          <w:sz w:val="16"/>
          <w:szCs w:val="16"/>
          <w:lang w:val="pt-BR"/>
        </w:rPr>
        <w:t xml:space="preserve"> O Horário Comercial é definido localmente.</w:t>
      </w:r>
    </w:p>
    <w:p w:rsidR="00DB2D1E" w:rsidRPr="00E47ECF" w:rsidRDefault="00DB2D1E" w:rsidP="00F42FB8">
      <w:pPr>
        <w:pStyle w:val="tableclose"/>
        <w:rPr>
          <w:lang w:val="pt-BR"/>
        </w:rPr>
      </w:pPr>
      <w:r w:rsidRPr="00E47ECF">
        <w:rPr>
          <w:rFonts w:ascii="Tahoma" w:hAnsi="Tahoma" w:cs="Tahoma"/>
          <w:i/>
          <w:color w:val="000000"/>
          <w:sz w:val="16"/>
          <w:szCs w:val="16"/>
          <w:vertAlign w:val="superscript"/>
          <w:lang w:val="pt-BR"/>
        </w:rPr>
        <w:t>2</w:t>
      </w:r>
      <w:r w:rsidRPr="00E47ECF">
        <w:rPr>
          <w:rFonts w:ascii="Tahoma" w:hAnsi="Tahoma" w:cs="Tahoma"/>
          <w:i/>
          <w:color w:val="000000"/>
          <w:sz w:val="16"/>
          <w:szCs w:val="16"/>
          <w:lang w:val="pt-BR"/>
        </w:rPr>
        <w:t xml:space="preserve"> Pode ser necessário reduzir o nível de severidade se o cliente não puder fornecer os recursos ou as respostas adequadas para darmos continuidade aos esforços de resolução do problema.</w:t>
      </w:r>
    </w:p>
    <w:p w:rsidR="00DB2D1E" w:rsidRPr="00E47ECF" w:rsidRDefault="00DB2D1E" w:rsidP="00F42FB8">
      <w:pPr>
        <w:rPr>
          <w:lang w:val="pt-BR"/>
        </w:rPr>
      </w:pPr>
    </w:p>
    <w:p w:rsidR="00DB2D1E" w:rsidRPr="00E47ECF" w:rsidRDefault="00DB2D1E" w:rsidP="00DB2D1E">
      <w:pPr>
        <w:spacing w:after="120"/>
        <w:rPr>
          <w:szCs w:val="18"/>
          <w:lang w:val="pt-BR"/>
        </w:rPr>
      </w:pPr>
      <w:r w:rsidRPr="00E47ECF">
        <w:rPr>
          <w:rFonts w:cs="Tahoma"/>
          <w:color w:val="000000"/>
          <w:szCs w:val="18"/>
          <w:lang w:val="pt-BR"/>
        </w:rPr>
        <w:lastRenderedPageBreak/>
        <w:t xml:space="preserve">Os </w:t>
      </w:r>
      <w:r w:rsidRPr="00E47ECF">
        <w:rPr>
          <w:rFonts w:cs="Tahoma"/>
          <w:b/>
          <w:bCs/>
          <w:color w:val="000000"/>
          <w:szCs w:val="18"/>
          <w:lang w:val="pt-BR"/>
        </w:rPr>
        <w:t>Serviços de Informações</w:t>
      </w:r>
      <w:r w:rsidRPr="00E47ECF">
        <w:rPr>
          <w:rFonts w:cs="Tahoma"/>
          <w:color w:val="000000"/>
          <w:szCs w:val="18"/>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rsidR="00DB2D1E" w:rsidRPr="00E47ECF" w:rsidRDefault="00DB2D1E" w:rsidP="00DB2D1E">
      <w:pPr>
        <w:rPr>
          <w:szCs w:val="18"/>
          <w:lang w:val="pt-BR"/>
        </w:rPr>
      </w:pPr>
      <w:r w:rsidRPr="006301EB">
        <w:rPr>
          <w:rFonts w:cs="Tahoma"/>
          <w:color w:val="000000"/>
          <w:szCs w:val="18"/>
          <w:lang w:val="pt-BR"/>
        </w:rPr>
        <w:t xml:space="preserve">As </w:t>
      </w:r>
      <w:r w:rsidRPr="00E47ECF">
        <w:rPr>
          <w:rFonts w:cs="Tahoma"/>
          <w:b/>
          <w:bCs/>
          <w:color w:val="000000"/>
          <w:szCs w:val="18"/>
          <w:lang w:val="pt-BR"/>
        </w:rPr>
        <w:t>Horas Complementares</w:t>
      </w:r>
      <w:r w:rsidRPr="00E47ECF">
        <w:rPr>
          <w:rFonts w:cs="Tahoma"/>
          <w:bCs/>
          <w:color w:val="000000"/>
          <w:szCs w:val="18"/>
          <w:lang w:val="pt-BR"/>
        </w:rPr>
        <w:t xml:space="preserve"> </w:t>
      </w:r>
      <w:r w:rsidRPr="00E47ECF">
        <w:rPr>
          <w:rFonts w:cs="Tahoma"/>
          <w:color w:val="000000"/>
          <w:szCs w:val="18"/>
          <w:lang w:val="pt-BR"/>
        </w:rPr>
        <w:t>podem ser usadas para a Assistência de Suporte ou o Suporte para Resolução de</w:t>
      </w:r>
      <w:r w:rsidR="007B1A45" w:rsidRPr="00E47ECF">
        <w:rPr>
          <w:rFonts w:cs="Tahoma"/>
          <w:color w:val="000000"/>
          <w:szCs w:val="18"/>
          <w:lang w:val="pt-BR"/>
        </w:rPr>
        <w:t> </w:t>
      </w:r>
      <w:r w:rsidR="00FF3D4D" w:rsidRPr="00E47ECF">
        <w:rPr>
          <w:rFonts w:cs="Tahoma"/>
          <w:color w:val="000000"/>
          <w:szCs w:val="18"/>
          <w:lang w:val="pt-BR"/>
        </w:rPr>
        <w:t>Problemas.</w:t>
      </w:r>
    </w:p>
    <w:p w:rsidR="00DB2D1E" w:rsidRPr="00E47ECF" w:rsidRDefault="00DB2D1E" w:rsidP="00DB2D1E">
      <w:pPr>
        <w:jc w:val="both"/>
        <w:rPr>
          <w:szCs w:val="18"/>
          <w:lang w:val="pt-BR"/>
        </w:rPr>
      </w:pPr>
    </w:p>
    <w:p w:rsidR="00DC0853" w:rsidRPr="00E47ECF" w:rsidRDefault="00DC0853" w:rsidP="00DC0853">
      <w:pPr>
        <w:spacing w:after="60"/>
        <w:rPr>
          <w:szCs w:val="18"/>
          <w:lang w:val="pt-BR"/>
        </w:rPr>
      </w:pPr>
      <w:r w:rsidRPr="00E47ECF">
        <w:rPr>
          <w:rFonts w:cs="Tahoma"/>
          <w:b/>
          <w:bCs/>
          <w:color w:val="000000"/>
          <w:szCs w:val="18"/>
          <w:lang w:val="pt-BR"/>
        </w:rPr>
        <w:t>Regras Comerciais Associadas</w:t>
      </w:r>
    </w:p>
    <w:p w:rsidR="00DB2D1E" w:rsidRPr="00E47ECF" w:rsidRDefault="00DB2D1E" w:rsidP="00FD27BC">
      <w:pPr>
        <w:rPr>
          <w:szCs w:val="18"/>
          <w:lang w:val="pt-BR"/>
        </w:rPr>
      </w:pPr>
      <w:r w:rsidRPr="00E47ECF">
        <w:rPr>
          <w:rFonts w:cs="Tahoma"/>
          <w:color w:val="000000"/>
          <w:szCs w:val="18"/>
          <w:lang w:val="pt-BR"/>
        </w:rPr>
        <w:t>Todos os Serviços oferecem suporte a Produtos da Microsoft lançados comercialmente e disponível de maneira geral (a menos que especificamente excluído do site Microsoft Premier Online ou do site de Ciclo de Vida de Suporte da Microsoft).</w:t>
      </w:r>
      <w:r w:rsidR="00FB5496" w:rsidRPr="00E47ECF">
        <w:rPr>
          <w:rFonts w:cs="Tahoma"/>
          <w:color w:val="000000"/>
          <w:szCs w:val="18"/>
          <w:lang w:val="pt-BR"/>
        </w:rPr>
        <w:t xml:space="preserve"> </w:t>
      </w:r>
      <w:r w:rsidRPr="00E47ECF">
        <w:rPr>
          <w:rFonts w:cs="Tahoma"/>
          <w:color w:val="000000"/>
          <w:szCs w:val="18"/>
          <w:lang w:val="pt-BR"/>
        </w:rPr>
        <w:t>Geralmente, os Serviços serão cobrados de acordo com as horas, serão fornecidos de maneira remota e</w:t>
      </w:r>
      <w:r w:rsidR="007B1A45" w:rsidRPr="00E47ECF">
        <w:rPr>
          <w:rFonts w:cs="Tahoma"/>
          <w:color w:val="000000"/>
          <w:szCs w:val="18"/>
          <w:lang w:val="pt-BR"/>
        </w:rPr>
        <w:t> </w:t>
      </w:r>
      <w:r w:rsidRPr="00E47ECF">
        <w:rPr>
          <w:rFonts w:cs="Tahoma"/>
          <w:color w:val="000000"/>
          <w:szCs w:val="18"/>
          <w:lang w:val="pt-BR"/>
        </w:rPr>
        <w:t>em inglês (a menos que outro idioma esteja disponível).</w:t>
      </w:r>
      <w:r w:rsidR="00FB5496" w:rsidRPr="00E47ECF">
        <w:rPr>
          <w:rFonts w:cs="Tahoma"/>
          <w:color w:val="000000"/>
          <w:szCs w:val="18"/>
          <w:lang w:val="pt-BR"/>
        </w:rPr>
        <w:t xml:space="preserve"> </w:t>
      </w:r>
      <w:r w:rsidRPr="00E47ECF">
        <w:rPr>
          <w:rFonts w:cs="Tahoma"/>
          <w:color w:val="000000"/>
          <w:szCs w:val="18"/>
          <w:lang w:val="pt-BR"/>
        </w:rPr>
        <w:t>Os Serviços serão fornecidos no país no qual o contrato VL</w:t>
      </w:r>
      <w:r w:rsidR="007B1A45" w:rsidRPr="00E47ECF">
        <w:rPr>
          <w:rFonts w:cs="Tahoma"/>
          <w:color w:val="000000"/>
          <w:szCs w:val="18"/>
          <w:lang w:val="pt-BR"/>
        </w:rPr>
        <w:t> </w:t>
      </w:r>
      <w:r w:rsidRPr="00E47ECF">
        <w:rPr>
          <w:rFonts w:cs="Tahoma"/>
          <w:color w:val="000000"/>
          <w:szCs w:val="18"/>
          <w:lang w:val="pt-BR"/>
        </w:rPr>
        <w:t>foi assinado. As visitas no local não são pagas com antecedência e estão sujeitas à disponibilidade do recurso.</w:t>
      </w:r>
      <w:r w:rsidR="00FB5496" w:rsidRPr="00E47ECF">
        <w:rPr>
          <w:rFonts w:cs="Tahoma"/>
          <w:color w:val="000000"/>
          <w:szCs w:val="18"/>
          <w:lang w:val="pt-BR"/>
        </w:rPr>
        <w:t xml:space="preserve"> </w:t>
      </w:r>
      <w:r w:rsidRPr="00E47ECF">
        <w:rPr>
          <w:rFonts w:cs="Tahoma"/>
          <w:color w:val="000000"/>
          <w:szCs w:val="18"/>
          <w:lang w:val="pt-BR"/>
        </w:rPr>
        <w:t>Todos os Serviços que não forem consumidos em uma base anual serão perdidos.</w:t>
      </w:r>
      <w:r w:rsidR="00FB5496" w:rsidRPr="00E47ECF">
        <w:rPr>
          <w:rFonts w:cs="Tahoma"/>
          <w:color w:val="000000"/>
          <w:szCs w:val="18"/>
          <w:lang w:val="pt-BR"/>
        </w:rPr>
        <w:t xml:space="preserve"> </w:t>
      </w:r>
      <w:r w:rsidRPr="00E47ECF">
        <w:rPr>
          <w:rFonts w:cs="Tahoma"/>
          <w:color w:val="000000"/>
          <w:szCs w:val="18"/>
          <w:lang w:val="pt-BR"/>
        </w:rPr>
        <w:t>Mediante solicitação do cliente, nós podemos acessar o sistema dele por meio de conexão remota para analisar o problema.</w:t>
      </w:r>
      <w:r w:rsidR="00FB5496" w:rsidRPr="00E47ECF">
        <w:rPr>
          <w:rFonts w:cs="Tahoma"/>
          <w:color w:val="000000"/>
          <w:szCs w:val="18"/>
          <w:lang w:val="pt-BR"/>
        </w:rPr>
        <w:t xml:space="preserve"> </w:t>
      </w:r>
      <w:r w:rsidRPr="00E47ECF">
        <w:rPr>
          <w:rFonts w:cs="Tahoma"/>
          <w:color w:val="000000"/>
          <w:szCs w:val="18"/>
          <w:lang w:val="pt-BR"/>
        </w:rPr>
        <w:t>O cliente deve ter acesso à Internet para poder aproveitar os serviços com base na Internet.</w:t>
      </w:r>
    </w:p>
    <w:p w:rsidR="00DB2D1E" w:rsidRPr="00E47ECF" w:rsidRDefault="00DB2D1E" w:rsidP="00DB2D1E">
      <w:pPr>
        <w:jc w:val="both"/>
        <w:rPr>
          <w:lang w:val="pt-BR"/>
        </w:rPr>
      </w:pPr>
    </w:p>
    <w:p w:rsidR="00596386" w:rsidRPr="00E47ECF" w:rsidRDefault="00596386" w:rsidP="00596386">
      <w:pPr>
        <w:rPr>
          <w:lang w:val="pt-BR"/>
        </w:rPr>
      </w:pPr>
      <w:r w:rsidRPr="00E47ECF">
        <w:rPr>
          <w:b/>
          <w:sz w:val="24"/>
          <w:szCs w:val="24"/>
          <w:lang w:val="pt-BR"/>
        </w:rPr>
        <w:t>Ofertas de Suporte do Microsoft Windows Azure</w:t>
      </w:r>
    </w:p>
    <w:p w:rsidR="00596386" w:rsidRPr="00E47ECF" w:rsidRDefault="00596386" w:rsidP="00596386">
      <w:pPr>
        <w:rPr>
          <w:b/>
          <w:lang w:val="pt-BR"/>
        </w:rPr>
      </w:pPr>
    </w:p>
    <w:p w:rsidR="00596386" w:rsidRPr="00E47ECF" w:rsidRDefault="00596386" w:rsidP="00596386">
      <w:pPr>
        <w:jc w:val="both"/>
        <w:rPr>
          <w:lang w:val="pt-BR"/>
        </w:rPr>
      </w:pPr>
      <w:r w:rsidRPr="00E47ECF">
        <w:rPr>
          <w:rFonts w:cs="Arial"/>
          <w:color w:val="000000"/>
          <w:szCs w:val="18"/>
          <w:lang w:val="pt-BR"/>
        </w:rPr>
        <w:t>A menos que seja especificado de outra forma abaixo, os Serviços de suporte do Windows Azure estão di</w:t>
      </w:r>
      <w:r w:rsidR="00FF3D4D" w:rsidRPr="00E47ECF">
        <w:rPr>
          <w:rFonts w:cs="Arial"/>
          <w:color w:val="000000"/>
          <w:szCs w:val="18"/>
          <w:lang w:val="pt-BR"/>
        </w:rPr>
        <w:t>sponíveis para o Windows Azure.</w:t>
      </w:r>
    </w:p>
    <w:p w:rsidR="00596386" w:rsidRPr="00E47ECF" w:rsidRDefault="00596386" w:rsidP="00596386">
      <w:pPr>
        <w:tabs>
          <w:tab w:val="left" w:pos="360"/>
        </w:tabs>
        <w:jc w:val="both"/>
        <w:rPr>
          <w:lang w:val="pt-BR"/>
        </w:rPr>
      </w:pPr>
    </w:p>
    <w:p w:rsidR="00596386" w:rsidRPr="00E47ECF" w:rsidRDefault="00596386" w:rsidP="00596386">
      <w:pPr>
        <w:tabs>
          <w:tab w:val="left" w:pos="360"/>
        </w:tabs>
        <w:jc w:val="both"/>
        <w:rPr>
          <w:lang w:val="pt-BR"/>
        </w:rPr>
      </w:pPr>
      <w:r w:rsidRPr="00E47ECF">
        <w:rPr>
          <w:rFonts w:cs="Arial"/>
          <w:szCs w:val="18"/>
          <w:lang w:val="pt-BR"/>
        </w:rPr>
        <w:t>Os Serviços serão fornecidos pela equipe de Suporte do Windows Azure, que é composta pelos especialistas do Windows Azure que responderão às solicitações de suporte de um cliente para Windows Azure</w:t>
      </w:r>
      <w:r w:rsidRPr="00E47ECF">
        <w:rPr>
          <w:rFonts w:cs="Arial"/>
          <w:snapToGrid w:val="0"/>
          <w:szCs w:val="18"/>
          <w:lang w:val="pt-BR"/>
        </w:rPr>
        <w:t xml:space="preserve">. Os clientes recebem uma experiência de suporte elevada com </w:t>
      </w:r>
      <w:r w:rsidRPr="00E47ECF">
        <w:rPr>
          <w:rFonts w:cs="Arial"/>
          <w:szCs w:val="18"/>
          <w:lang w:val="pt-BR"/>
        </w:rPr>
        <w:t>suporte disponível 24 horas por dia, 7 dias por semana e apenas em inglês.</w:t>
      </w:r>
      <w:r w:rsidR="00FB5496" w:rsidRPr="00E47ECF">
        <w:rPr>
          <w:rFonts w:cs="Arial"/>
          <w:szCs w:val="18"/>
          <w:lang w:val="pt-BR"/>
        </w:rPr>
        <w:t xml:space="preserve"> </w:t>
      </w:r>
      <w:r w:rsidRPr="00E47ECF">
        <w:rPr>
          <w:rFonts w:cs="Arial"/>
          <w:szCs w:val="18"/>
          <w:lang w:val="pt-BR"/>
        </w:rPr>
        <w:t>O suporte a outros idiomas (</w:t>
      </w:r>
      <w:hyperlink r:id="rId35" w:history="1">
        <w:r w:rsidRPr="00E47ECF">
          <w:rPr>
            <w:rStyle w:val="Hyperlink"/>
            <w:szCs w:val="18"/>
            <w:lang w:val="pt-BR"/>
          </w:rPr>
          <w:t>www.windowsazure.com/en-us/support/plans/</w:t>
        </w:r>
      </w:hyperlink>
      <w:r w:rsidRPr="00E47ECF">
        <w:rPr>
          <w:rFonts w:cs="Arial"/>
          <w:szCs w:val="18"/>
          <w:lang w:val="pt-BR"/>
        </w:rPr>
        <w:t>) está disponível apenas durante o horário comercial.</w:t>
      </w:r>
    </w:p>
    <w:p w:rsidR="00596386" w:rsidRPr="00E47ECF" w:rsidRDefault="00596386" w:rsidP="00596386">
      <w:pPr>
        <w:tabs>
          <w:tab w:val="left" w:pos="360"/>
        </w:tabs>
        <w:jc w:val="both"/>
        <w:rPr>
          <w:lang w:val="pt-BR"/>
        </w:rPr>
      </w:pPr>
    </w:p>
    <w:p w:rsidR="00596386" w:rsidRPr="00E47ECF" w:rsidRDefault="00596386" w:rsidP="00596386">
      <w:pPr>
        <w:tabs>
          <w:tab w:val="left" w:pos="360"/>
        </w:tabs>
        <w:jc w:val="both"/>
        <w:rPr>
          <w:lang w:val="pt-BR"/>
        </w:rPr>
      </w:pPr>
      <w:r w:rsidRPr="00E47ECF">
        <w:rPr>
          <w:rFonts w:cs="Arial"/>
          <w:szCs w:val="18"/>
          <w:lang w:val="pt-BR"/>
        </w:rPr>
        <w:t>“Incidente” significa uma solicitação de suporte referente à falha ou interrupção e conserto (fix) assistida para um Problema Único de Suporte.</w:t>
      </w:r>
      <w:r w:rsidR="00FB5496" w:rsidRPr="00E47ECF">
        <w:rPr>
          <w:rFonts w:cs="Arial"/>
          <w:szCs w:val="18"/>
          <w:lang w:val="pt-BR"/>
        </w:rPr>
        <w:t xml:space="preserve"> </w:t>
      </w:r>
      <w:r w:rsidRPr="00E47ECF">
        <w:rPr>
          <w:rFonts w:cs="Arial"/>
          <w:szCs w:val="18"/>
          <w:lang w:val="pt-BR"/>
        </w:rPr>
        <w:t>“Problema Único de Suporte” significa um problema que não pode ser subdividido em problemas subordinados.</w:t>
      </w:r>
      <w:r w:rsidR="00FB5496" w:rsidRPr="00E47ECF">
        <w:rPr>
          <w:rFonts w:cs="Arial"/>
          <w:szCs w:val="18"/>
          <w:lang w:val="pt-BR"/>
        </w:rPr>
        <w:t xml:space="preserve"> </w:t>
      </w:r>
      <w:r w:rsidRPr="00E47ECF">
        <w:rPr>
          <w:rFonts w:cs="Arial"/>
          <w:szCs w:val="18"/>
          <w:lang w:val="pt-BR"/>
        </w:rPr>
        <w:t>Se o problema consistir em problemas subordinados, cada um será considerado um Incidente separado.</w:t>
      </w:r>
      <w:r w:rsidR="00FB5496" w:rsidRPr="00E47ECF">
        <w:rPr>
          <w:rFonts w:cs="Arial"/>
          <w:szCs w:val="18"/>
          <w:lang w:val="pt-BR"/>
        </w:rPr>
        <w:t xml:space="preserve"> </w:t>
      </w:r>
      <w:r w:rsidRPr="00E47ECF">
        <w:rPr>
          <w:rFonts w:cs="Arial"/>
          <w:szCs w:val="18"/>
          <w:lang w:val="pt-BR"/>
        </w:rPr>
        <w:t>Incidentes incluem o valor comercialmente razoável dos serviços necessários para solucionar o</w:t>
      </w:r>
      <w:r w:rsidR="007B1A45" w:rsidRPr="00E47ECF">
        <w:rPr>
          <w:rFonts w:cs="Arial"/>
          <w:szCs w:val="18"/>
          <w:lang w:val="pt-BR"/>
        </w:rPr>
        <w:t> </w:t>
      </w:r>
      <w:r w:rsidRPr="00E47ECF">
        <w:rPr>
          <w:rFonts w:cs="Arial"/>
          <w:szCs w:val="18"/>
          <w:lang w:val="pt-BR"/>
        </w:rPr>
        <w:t>problema e auxiliar a resolver o problema de suporte.</w:t>
      </w:r>
      <w:r w:rsidR="00FB5496" w:rsidRPr="00E47ECF">
        <w:rPr>
          <w:rFonts w:cs="Arial"/>
          <w:szCs w:val="18"/>
          <w:lang w:val="pt-BR"/>
        </w:rPr>
        <w:t xml:space="preserve"> </w:t>
      </w:r>
      <w:r w:rsidRPr="00E47ECF">
        <w:rPr>
          <w:rFonts w:cs="Arial"/>
          <w:szCs w:val="18"/>
          <w:lang w:val="pt-BR"/>
        </w:rPr>
        <w:t xml:space="preserve">Incidentes podem ser enviados por meio do site de suporte online assistido em </w:t>
      </w:r>
      <w:hyperlink r:id="rId36" w:history="1">
        <w:r w:rsidRPr="00E47ECF">
          <w:rPr>
            <w:rStyle w:val="Hyperlink"/>
            <w:rFonts w:cs="Arial"/>
            <w:szCs w:val="18"/>
            <w:lang w:val="pt-BR"/>
          </w:rPr>
          <w:t>www.windowsazure.com</w:t>
        </w:r>
      </w:hyperlink>
      <w:r w:rsidRPr="00E47ECF">
        <w:rPr>
          <w:rFonts w:cs="Arial"/>
          <w:szCs w:val="18"/>
          <w:lang w:val="pt-BR"/>
        </w:rPr>
        <w:t>.</w:t>
      </w:r>
    </w:p>
    <w:p w:rsidR="00596386" w:rsidRPr="00E47ECF" w:rsidRDefault="00596386" w:rsidP="00596386">
      <w:pPr>
        <w:tabs>
          <w:tab w:val="left" w:pos="360"/>
        </w:tabs>
        <w:jc w:val="both"/>
        <w:rPr>
          <w:lang w:val="pt-BR"/>
        </w:rPr>
      </w:pPr>
    </w:p>
    <w:p w:rsidR="00596386" w:rsidRPr="00E47ECF" w:rsidRDefault="00596386" w:rsidP="00596386">
      <w:pPr>
        <w:tabs>
          <w:tab w:val="left" w:pos="360"/>
        </w:tabs>
        <w:jc w:val="both"/>
        <w:rPr>
          <w:lang w:val="pt-BR"/>
        </w:rPr>
      </w:pPr>
      <w:r w:rsidRPr="00E47ECF">
        <w:rPr>
          <w:rFonts w:cs="Arial"/>
          <w:szCs w:val="18"/>
          <w:lang w:val="pt-BR"/>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FB5496" w:rsidRPr="00E47ECF">
        <w:rPr>
          <w:rFonts w:cs="Arial"/>
          <w:szCs w:val="18"/>
          <w:lang w:val="pt-BR"/>
        </w:rPr>
        <w:t xml:space="preserve"> </w:t>
      </w:r>
      <w:r w:rsidRPr="00E47ECF">
        <w:rPr>
          <w:rFonts w:cs="Arial"/>
          <w:szCs w:val="18"/>
          <w:lang w:val="pt-BR"/>
        </w:rPr>
        <w:t>Esses serviços adicionais serão regidos pelos termos do contrato separado.</w:t>
      </w:r>
    </w:p>
    <w:p w:rsidR="00596386" w:rsidRPr="00E47ECF" w:rsidRDefault="00596386" w:rsidP="00596386">
      <w:pPr>
        <w:pStyle w:val="normal1"/>
        <w:jc w:val="both"/>
        <w:rPr>
          <w:sz w:val="18"/>
          <w:szCs w:val="18"/>
          <w:lang w:val="pt-BR"/>
        </w:rPr>
      </w:pPr>
    </w:p>
    <w:p w:rsidR="00596386" w:rsidRPr="00E47ECF" w:rsidRDefault="00596386" w:rsidP="00596386">
      <w:pPr>
        <w:widowControl w:val="0"/>
        <w:tabs>
          <w:tab w:val="left" w:pos="720"/>
          <w:tab w:val="left" w:pos="1170"/>
        </w:tabs>
        <w:rPr>
          <w:lang w:val="pt-BR"/>
        </w:rPr>
      </w:pPr>
      <w:r w:rsidRPr="00E47ECF">
        <w:rPr>
          <w:rFonts w:cs="Arial"/>
          <w:b/>
          <w:bCs/>
          <w:sz w:val="24"/>
          <w:szCs w:val="18"/>
          <w:lang w:val="pt-BR"/>
        </w:rPr>
        <w:t>Suporte Profissional Direto para Windows Azure</w:t>
      </w:r>
    </w:p>
    <w:p w:rsidR="00596386" w:rsidRPr="00E47ECF" w:rsidRDefault="00596386" w:rsidP="00596386">
      <w:pPr>
        <w:tabs>
          <w:tab w:val="left" w:pos="360"/>
        </w:tabs>
        <w:jc w:val="both"/>
        <w:rPr>
          <w:lang w:val="pt-BR"/>
        </w:rPr>
      </w:pPr>
    </w:p>
    <w:p w:rsidR="006E7D7A" w:rsidRPr="00E47ECF" w:rsidRDefault="006E7D7A" w:rsidP="006E7D7A">
      <w:pPr>
        <w:tabs>
          <w:tab w:val="left" w:pos="360"/>
        </w:tabs>
        <w:jc w:val="both"/>
        <w:rPr>
          <w:lang w:val="pt-BR"/>
        </w:rPr>
      </w:pPr>
      <w:r w:rsidRPr="00E47ECF">
        <w:rPr>
          <w:rFonts w:cs="Arial"/>
          <w:i/>
          <w:color w:val="000000"/>
          <w:szCs w:val="18"/>
          <w:lang w:val="pt-BR"/>
        </w:rPr>
        <w:t>Disponibilidade de mercado limitada</w:t>
      </w:r>
      <w:r w:rsidRPr="00E47ECF">
        <w:rPr>
          <w:rFonts w:cs="Arial"/>
          <w:color w:val="000000"/>
          <w:szCs w:val="18"/>
          <w:lang w:val="pt-BR"/>
        </w:rPr>
        <w:t xml:space="preserve"> - O Suporte Profissional Direto para serviços do Windows Azure realçados a</w:t>
      </w:r>
      <w:r w:rsidR="007B1A45" w:rsidRPr="00E47ECF">
        <w:rPr>
          <w:rFonts w:cs="Arial"/>
          <w:color w:val="000000"/>
          <w:szCs w:val="18"/>
          <w:lang w:val="pt-BR"/>
        </w:rPr>
        <w:t> </w:t>
      </w:r>
      <w:r w:rsidRPr="00E47ECF">
        <w:rPr>
          <w:rFonts w:cs="Arial"/>
          <w:color w:val="000000"/>
          <w:szCs w:val="18"/>
          <w:lang w:val="pt-BR"/>
        </w:rPr>
        <w:t>seguir são fornecidos apenas em inglês em um número limitado de países (</w:t>
      </w:r>
      <w:hyperlink r:id="rId37" w:history="1">
        <w:r w:rsidRPr="00E47ECF">
          <w:rPr>
            <w:rStyle w:val="Hyperlink"/>
            <w:rFonts w:cs="Arial"/>
            <w:szCs w:val="18"/>
            <w:lang w:val="pt-BR"/>
          </w:rPr>
          <w:t>www.windowsazure.com/en-us/support/plans/</w:t>
        </w:r>
      </w:hyperlink>
      <w:r w:rsidRPr="00E47ECF">
        <w:rPr>
          <w:rFonts w:cs="Arial"/>
          <w:szCs w:val="18"/>
          <w:lang w:val="pt-BR"/>
        </w:rPr>
        <w:t>).</w:t>
      </w:r>
    </w:p>
    <w:p w:rsidR="006E7D7A" w:rsidRPr="00E47ECF" w:rsidRDefault="006E7D7A" w:rsidP="006E7D7A">
      <w:pPr>
        <w:tabs>
          <w:tab w:val="left" w:pos="360"/>
        </w:tabs>
        <w:jc w:val="both"/>
        <w:rPr>
          <w:lang w:val="pt-BR"/>
        </w:rPr>
      </w:pPr>
    </w:p>
    <w:p w:rsidR="00596386" w:rsidRPr="00E47ECF" w:rsidRDefault="00596386" w:rsidP="00596386">
      <w:pPr>
        <w:tabs>
          <w:tab w:val="left" w:pos="360"/>
        </w:tabs>
        <w:jc w:val="both"/>
        <w:rPr>
          <w:lang w:val="pt-BR"/>
        </w:rPr>
      </w:pPr>
      <w:r w:rsidRPr="00E47ECF">
        <w:rPr>
          <w:rFonts w:cs="Arial"/>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FB5496" w:rsidRPr="00E47ECF">
        <w:rPr>
          <w:rFonts w:cs="Arial"/>
          <w:color w:val="000000"/>
          <w:szCs w:val="18"/>
          <w:lang w:val="pt-BR"/>
        </w:rPr>
        <w:t xml:space="preserve"> </w:t>
      </w:r>
      <w:r w:rsidRPr="00E47ECF">
        <w:rPr>
          <w:rFonts w:cs="Arial"/>
          <w:color w:val="000000"/>
          <w:szCs w:val="18"/>
          <w:lang w:val="pt-BR"/>
        </w:rPr>
        <w:t>A gravidade do incidente determinará os níveis de resposta na Microsoft, e o tempo estimado de resposta é definido na tabela a seguir.</w:t>
      </w:r>
      <w:r w:rsidR="00FB5496" w:rsidRPr="00E47ECF">
        <w:rPr>
          <w:rFonts w:cs="Arial"/>
          <w:color w:val="000000"/>
          <w:szCs w:val="18"/>
          <w:lang w:val="pt-BR"/>
        </w:rPr>
        <w:t xml:space="preserve"> </w:t>
      </w:r>
      <w:r w:rsidRPr="00E47ECF">
        <w:rPr>
          <w:rFonts w:cs="Arial"/>
          <w:color w:val="000000"/>
          <w:szCs w:val="18"/>
          <w:lang w:val="pt-BR"/>
        </w:rPr>
        <w:t>A capacidade de a Microsoft prestar os serviços ao cliente depende da inteira e pontual cooperação desta, bem como da precisão e da integridade das informações fornecidas ao cliente.</w:t>
      </w:r>
    </w:p>
    <w:p w:rsidR="000D747C" w:rsidRPr="00E47ECF" w:rsidRDefault="000D747C" w:rsidP="00596386">
      <w:pPr>
        <w:tabs>
          <w:tab w:val="left" w:pos="360"/>
        </w:tabs>
        <w:jc w:val="both"/>
        <w:rPr>
          <w:lang w:val="pt-BR"/>
        </w:rPr>
      </w:pPr>
    </w:p>
    <w:p w:rsidR="007B1A45" w:rsidRPr="00E47ECF" w:rsidRDefault="007B1A45" w:rsidP="00596386">
      <w:pPr>
        <w:tabs>
          <w:tab w:val="left" w:pos="360"/>
        </w:tabs>
        <w:jc w:val="both"/>
        <w:rPr>
          <w:lang w:val="pt-BR"/>
        </w:rPr>
      </w:pPr>
    </w:p>
    <w:p w:rsidR="007B1A45" w:rsidRPr="00E47ECF" w:rsidRDefault="007B1A45" w:rsidP="00596386">
      <w:pPr>
        <w:tabs>
          <w:tab w:val="left" w:pos="360"/>
        </w:tabs>
        <w:jc w:val="both"/>
        <w:rPr>
          <w:lang w:val="pt-BR"/>
        </w:rPr>
      </w:pPr>
    </w:p>
    <w:p w:rsidR="007B1A45" w:rsidRPr="00E47ECF" w:rsidRDefault="007B1A45" w:rsidP="00596386">
      <w:pPr>
        <w:tabs>
          <w:tab w:val="left" w:pos="360"/>
        </w:tabs>
        <w:jc w:val="both"/>
        <w:rPr>
          <w:lang w:val="pt-BR"/>
        </w:rPr>
      </w:pPr>
    </w:p>
    <w:p w:rsidR="007B1A45" w:rsidRPr="00E47ECF" w:rsidRDefault="007B1A45" w:rsidP="00596386">
      <w:pPr>
        <w:tabs>
          <w:tab w:val="left" w:pos="360"/>
        </w:tabs>
        <w:jc w:val="both"/>
        <w:rPr>
          <w:lang w:val="pt-BR"/>
        </w:rPr>
      </w:pPr>
    </w:p>
    <w:p w:rsidR="00381B33" w:rsidRPr="00E47ECF" w:rsidRDefault="00381B33" w:rsidP="00DD7F8E">
      <w:pPr>
        <w:rPr>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443"/>
        <w:gridCol w:w="3150"/>
        <w:gridCol w:w="3600"/>
      </w:tblGrid>
      <w:tr w:rsidR="00596386" w:rsidRPr="00416070" w:rsidTr="007B1A45">
        <w:tc>
          <w:tcPr>
            <w:tcW w:w="1347" w:type="dxa"/>
            <w:shd w:val="clear" w:color="auto" w:fill="FABF8F"/>
          </w:tcPr>
          <w:p w:rsidR="00596386" w:rsidRPr="00416070" w:rsidRDefault="00596386" w:rsidP="0037031E">
            <w:pPr>
              <w:jc w:val="center"/>
              <w:rPr>
                <w:rFonts w:cs="Tahoma"/>
                <w:b/>
                <w:bCs/>
                <w:color w:val="000000"/>
                <w:sz w:val="20"/>
                <w:szCs w:val="18"/>
              </w:rPr>
            </w:pPr>
            <w:r w:rsidRPr="00416070">
              <w:rPr>
                <w:rFonts w:cs="Tahoma"/>
                <w:b/>
                <w:bCs/>
                <w:color w:val="000000"/>
                <w:sz w:val="20"/>
                <w:szCs w:val="18"/>
              </w:rPr>
              <w:lastRenderedPageBreak/>
              <w:t>Severidade</w:t>
            </w:r>
          </w:p>
        </w:tc>
        <w:tc>
          <w:tcPr>
            <w:tcW w:w="1443" w:type="dxa"/>
            <w:shd w:val="clear" w:color="auto" w:fill="FABF8F"/>
          </w:tcPr>
          <w:p w:rsidR="00596386" w:rsidRPr="00416070" w:rsidRDefault="00596386" w:rsidP="0037031E">
            <w:pPr>
              <w:jc w:val="center"/>
              <w:rPr>
                <w:rFonts w:cs="Tahoma"/>
                <w:b/>
                <w:bCs/>
                <w:color w:val="000000"/>
                <w:sz w:val="20"/>
                <w:szCs w:val="18"/>
              </w:rPr>
            </w:pPr>
            <w:r w:rsidRPr="00416070">
              <w:rPr>
                <w:rFonts w:cs="Tahoma"/>
                <w:b/>
                <w:bCs/>
                <w:color w:val="000000"/>
                <w:sz w:val="20"/>
                <w:szCs w:val="18"/>
              </w:rPr>
              <w:t>Contato</w:t>
            </w:r>
          </w:p>
        </w:tc>
        <w:tc>
          <w:tcPr>
            <w:tcW w:w="3150" w:type="dxa"/>
            <w:shd w:val="clear" w:color="auto" w:fill="FABF8F"/>
          </w:tcPr>
          <w:p w:rsidR="00596386" w:rsidRPr="00416070" w:rsidRDefault="00596386" w:rsidP="0037031E">
            <w:pPr>
              <w:jc w:val="center"/>
              <w:rPr>
                <w:rFonts w:cs="Tahoma"/>
                <w:b/>
                <w:bCs/>
                <w:color w:val="000000"/>
                <w:sz w:val="20"/>
                <w:szCs w:val="18"/>
              </w:rPr>
            </w:pPr>
            <w:r w:rsidRPr="00416070">
              <w:rPr>
                <w:rFonts w:cs="Tahoma"/>
                <w:b/>
                <w:bCs/>
                <w:color w:val="000000"/>
                <w:sz w:val="20"/>
                <w:szCs w:val="18"/>
              </w:rPr>
              <w:t>Situação do Cliente</w:t>
            </w:r>
          </w:p>
        </w:tc>
        <w:tc>
          <w:tcPr>
            <w:tcW w:w="3600" w:type="dxa"/>
            <w:shd w:val="clear" w:color="auto" w:fill="FABF8F"/>
          </w:tcPr>
          <w:p w:rsidR="00596386" w:rsidRPr="00416070" w:rsidRDefault="00596386" w:rsidP="007B1A45">
            <w:pPr>
              <w:jc w:val="center"/>
              <w:rPr>
                <w:rFonts w:cs="Tahoma"/>
                <w:b/>
                <w:bCs/>
                <w:color w:val="000000"/>
                <w:sz w:val="20"/>
                <w:szCs w:val="18"/>
              </w:rPr>
            </w:pPr>
            <w:r w:rsidRPr="00416070">
              <w:rPr>
                <w:rFonts w:cs="Tahoma"/>
                <w:b/>
                <w:bCs/>
                <w:color w:val="000000"/>
                <w:sz w:val="20"/>
                <w:szCs w:val="18"/>
              </w:rPr>
              <w:t>Resposta Esperada da</w:t>
            </w:r>
            <w:r w:rsidR="007B1A45" w:rsidRPr="00416070">
              <w:rPr>
                <w:rFonts w:cs="Tahoma"/>
                <w:b/>
                <w:bCs/>
                <w:color w:val="000000"/>
                <w:sz w:val="20"/>
                <w:szCs w:val="18"/>
              </w:rPr>
              <w:t xml:space="preserve"> </w:t>
            </w:r>
            <w:r w:rsidRPr="00416070">
              <w:rPr>
                <w:rFonts w:cs="Tahoma"/>
                <w:b/>
                <w:bCs/>
                <w:color w:val="000000"/>
                <w:sz w:val="20"/>
                <w:szCs w:val="18"/>
              </w:rPr>
              <w:t>Microsoft</w:t>
            </w:r>
          </w:p>
        </w:tc>
      </w:tr>
      <w:tr w:rsidR="00596386" w:rsidRPr="002B5F9E" w:rsidTr="007B1A45">
        <w:tc>
          <w:tcPr>
            <w:tcW w:w="1347" w:type="dxa"/>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A</w:t>
            </w:r>
          </w:p>
        </w:tc>
        <w:tc>
          <w:tcPr>
            <w:tcW w:w="1443" w:type="dxa"/>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Solicitação pela Web</w:t>
            </w:r>
          </w:p>
        </w:tc>
        <w:tc>
          <w:tcPr>
            <w:tcW w:w="3150" w:type="dxa"/>
          </w:tcPr>
          <w:p w:rsidR="00596386" w:rsidRPr="00E47ECF" w:rsidRDefault="00596386" w:rsidP="00647923">
            <w:pPr>
              <w:spacing w:after="60" w:line="240" w:lineRule="atLeast"/>
              <w:rPr>
                <w:lang w:val="pt-BR"/>
              </w:rPr>
            </w:pPr>
            <w:r w:rsidRPr="00E47ECF">
              <w:rPr>
                <w:rFonts w:ascii="SegoeBook" w:hAnsi="SegoeBook"/>
                <w:szCs w:val="18"/>
                <w:lang w:val="pt-BR"/>
              </w:rPr>
              <w:t>Impacto crítico nos negócios:</w:t>
            </w:r>
          </w:p>
          <w:p w:rsidR="00596386" w:rsidRPr="00E47ECF" w:rsidRDefault="00596386" w:rsidP="00647923">
            <w:pPr>
              <w:spacing w:after="60" w:line="240" w:lineRule="atLeast"/>
              <w:rPr>
                <w:lang w:val="pt-BR"/>
              </w:rPr>
            </w:pPr>
            <w:r w:rsidRPr="00E47ECF">
              <w:rPr>
                <w:rFonts w:ascii="SegoeBook" w:hAnsi="SegoeBook"/>
                <w:szCs w:val="18"/>
                <w:lang w:val="pt-BR"/>
              </w:rPr>
              <w:t>Perda ou degradação significativa de</w:t>
            </w:r>
            <w:r w:rsidR="007B1A45" w:rsidRPr="00E47ECF">
              <w:rPr>
                <w:rFonts w:ascii="SegoeBook" w:hAnsi="SegoeBook"/>
                <w:szCs w:val="18"/>
                <w:lang w:val="pt-BR"/>
              </w:rPr>
              <w:t> </w:t>
            </w:r>
            <w:r w:rsidRPr="00E47ECF">
              <w:rPr>
                <w:rFonts w:ascii="SegoeBook" w:hAnsi="SegoeBook"/>
                <w:szCs w:val="18"/>
                <w:lang w:val="pt-BR"/>
              </w:rPr>
              <w:t>serviços (aplicativo inativo)</w:t>
            </w:r>
          </w:p>
          <w:p w:rsidR="00596386" w:rsidRPr="00E47ECF" w:rsidRDefault="00596386" w:rsidP="00647923">
            <w:pPr>
              <w:spacing w:after="60" w:line="240" w:lineRule="atLeast"/>
              <w:rPr>
                <w:rFonts w:ascii="SegoeBook" w:hAnsi="SegoeBook"/>
                <w:szCs w:val="18"/>
                <w:lang w:val="pt-BR"/>
              </w:rPr>
            </w:pPr>
            <w:r w:rsidRPr="00E47ECF">
              <w:rPr>
                <w:rFonts w:ascii="SegoeBook" w:hAnsi="SegoeBook"/>
                <w:szCs w:val="18"/>
                <w:lang w:val="pt-BR"/>
              </w:rPr>
              <w:t>Necessita de atenção em 1 hora</w:t>
            </w:r>
          </w:p>
        </w:tc>
        <w:tc>
          <w:tcPr>
            <w:tcW w:w="3600" w:type="dxa"/>
          </w:tcPr>
          <w:p w:rsidR="00596386" w:rsidRPr="00E47ECF" w:rsidRDefault="00596386" w:rsidP="00647923">
            <w:pPr>
              <w:spacing w:after="60" w:line="240" w:lineRule="atLeast"/>
              <w:rPr>
                <w:lang w:val="pt-BR"/>
              </w:rPr>
            </w:pPr>
            <w:r w:rsidRPr="00E47ECF">
              <w:rPr>
                <w:rFonts w:ascii="SegoeBook" w:hAnsi="SegoeBook"/>
                <w:szCs w:val="18"/>
                <w:lang w:val="pt-BR"/>
              </w:rPr>
              <w:t>1</w:t>
            </w:r>
            <w:r w:rsidRPr="00E47ECF">
              <w:rPr>
                <w:rFonts w:ascii="SegoeBook" w:hAnsi="SegoeBook"/>
                <w:szCs w:val="18"/>
                <w:vertAlign w:val="superscript"/>
                <w:lang w:val="pt-BR"/>
              </w:rPr>
              <w:t>ª</w:t>
            </w:r>
            <w:r w:rsidRPr="00E47ECF">
              <w:rPr>
                <w:rFonts w:ascii="SegoeBook" w:hAnsi="SegoeBook"/>
                <w:szCs w:val="18"/>
                <w:lang w:val="pt-BR"/>
              </w:rPr>
              <w:t xml:space="preserve"> resposta em 1 hora ou menos</w:t>
            </w:r>
          </w:p>
          <w:p w:rsidR="00596386" w:rsidRPr="00E47ECF" w:rsidRDefault="00596386" w:rsidP="00647923">
            <w:pPr>
              <w:spacing w:after="60" w:line="240" w:lineRule="atLeast"/>
              <w:rPr>
                <w:rFonts w:ascii="SegoeBook" w:hAnsi="SegoeBook"/>
                <w:szCs w:val="18"/>
                <w:lang w:val="pt-BR"/>
              </w:rPr>
            </w:pPr>
          </w:p>
        </w:tc>
      </w:tr>
      <w:tr w:rsidR="00596386" w:rsidRPr="002B5F9E" w:rsidTr="007B1A45">
        <w:tc>
          <w:tcPr>
            <w:tcW w:w="1347" w:type="dxa"/>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B</w:t>
            </w:r>
          </w:p>
        </w:tc>
        <w:tc>
          <w:tcPr>
            <w:tcW w:w="1443" w:type="dxa"/>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Solicitação pela Web</w:t>
            </w:r>
          </w:p>
        </w:tc>
        <w:tc>
          <w:tcPr>
            <w:tcW w:w="3150" w:type="dxa"/>
          </w:tcPr>
          <w:p w:rsidR="00596386" w:rsidRPr="00E47ECF" w:rsidRDefault="00596386" w:rsidP="00647923">
            <w:pPr>
              <w:spacing w:after="60" w:line="240" w:lineRule="atLeast"/>
              <w:rPr>
                <w:lang w:val="pt-BR"/>
              </w:rPr>
            </w:pPr>
            <w:r w:rsidRPr="00E47ECF">
              <w:rPr>
                <w:rFonts w:ascii="SegoeBook" w:hAnsi="SegoeBook"/>
                <w:szCs w:val="18"/>
                <w:lang w:val="pt-BR"/>
              </w:rPr>
              <w:t xml:space="preserve">Impacto moderado nos negócios: </w:t>
            </w:r>
          </w:p>
          <w:p w:rsidR="00596386" w:rsidRPr="00E47ECF" w:rsidRDefault="00596386" w:rsidP="00647923">
            <w:pPr>
              <w:spacing w:line="240" w:lineRule="atLeast"/>
              <w:rPr>
                <w:lang w:val="pt-BR"/>
              </w:rPr>
            </w:pPr>
            <w:r w:rsidRPr="00E47ECF">
              <w:rPr>
                <w:rFonts w:ascii="SegoeBook" w:hAnsi="SegoeBook"/>
                <w:szCs w:val="18"/>
                <w:lang w:val="pt-BR"/>
              </w:rPr>
              <w:t>Perda ou degradação moderada dos</w:t>
            </w:r>
            <w:r w:rsidR="007B1A45" w:rsidRPr="00E47ECF">
              <w:rPr>
                <w:rFonts w:ascii="SegoeBook" w:hAnsi="SegoeBook"/>
                <w:szCs w:val="18"/>
                <w:lang w:val="pt-BR"/>
              </w:rPr>
              <w:t> </w:t>
            </w:r>
            <w:r w:rsidRPr="00E47ECF">
              <w:rPr>
                <w:rFonts w:ascii="SegoeBook" w:hAnsi="SegoeBook"/>
                <w:szCs w:val="18"/>
                <w:lang w:val="pt-BR"/>
              </w:rPr>
              <w:t>serviços, mas o trabalho pode razoavelmente continuar de maneira prejudicada</w:t>
            </w:r>
          </w:p>
          <w:p w:rsidR="00596386" w:rsidRPr="00E47ECF" w:rsidRDefault="00596386" w:rsidP="00647923">
            <w:pPr>
              <w:spacing w:after="60" w:line="240" w:lineRule="atLeast"/>
              <w:rPr>
                <w:rFonts w:ascii="SegoeBook" w:hAnsi="SegoeBook"/>
                <w:szCs w:val="18"/>
                <w:lang w:val="pt-BR"/>
              </w:rPr>
            </w:pPr>
            <w:r w:rsidRPr="00E47ECF">
              <w:rPr>
                <w:rFonts w:ascii="SegoeBook" w:hAnsi="SegoeBook"/>
                <w:szCs w:val="18"/>
                <w:lang w:val="pt-BR"/>
              </w:rPr>
              <w:t>Necessita de atenção em 2 horas</w:t>
            </w:r>
          </w:p>
        </w:tc>
        <w:tc>
          <w:tcPr>
            <w:tcW w:w="3600" w:type="dxa"/>
          </w:tcPr>
          <w:p w:rsidR="00596386" w:rsidRPr="00E47ECF" w:rsidRDefault="00596386" w:rsidP="00647923">
            <w:pPr>
              <w:spacing w:line="240" w:lineRule="atLeast"/>
              <w:rPr>
                <w:lang w:val="pt-BR"/>
              </w:rPr>
            </w:pPr>
            <w:r w:rsidRPr="00E47ECF">
              <w:rPr>
                <w:rFonts w:ascii="SegoeBook" w:hAnsi="SegoeBook"/>
                <w:szCs w:val="18"/>
                <w:lang w:val="pt-BR"/>
              </w:rPr>
              <w:t>1</w:t>
            </w:r>
            <w:r w:rsidRPr="00E47ECF">
              <w:rPr>
                <w:rFonts w:ascii="SegoeBook" w:hAnsi="SegoeBook"/>
                <w:szCs w:val="18"/>
                <w:vertAlign w:val="superscript"/>
                <w:lang w:val="pt-BR"/>
              </w:rPr>
              <w:t>ª</w:t>
            </w:r>
            <w:r w:rsidRPr="00E47ECF">
              <w:rPr>
                <w:rFonts w:ascii="SegoeBook" w:hAnsi="SegoeBook"/>
                <w:szCs w:val="18"/>
                <w:lang w:val="pt-BR"/>
              </w:rPr>
              <w:t xml:space="preserve"> resposta em 2 horas ou menos</w:t>
            </w:r>
          </w:p>
          <w:p w:rsidR="00596386" w:rsidRPr="00E47ECF" w:rsidRDefault="00596386" w:rsidP="00647923">
            <w:pPr>
              <w:spacing w:after="60" w:line="240" w:lineRule="atLeast"/>
              <w:rPr>
                <w:rFonts w:ascii="SegoeBook" w:hAnsi="SegoeBook"/>
                <w:szCs w:val="18"/>
                <w:lang w:val="pt-BR"/>
              </w:rPr>
            </w:pPr>
          </w:p>
        </w:tc>
      </w:tr>
      <w:tr w:rsidR="00596386" w:rsidRPr="002B5F9E" w:rsidTr="007B1A45">
        <w:tc>
          <w:tcPr>
            <w:tcW w:w="1347" w:type="dxa"/>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C</w:t>
            </w:r>
          </w:p>
        </w:tc>
        <w:tc>
          <w:tcPr>
            <w:tcW w:w="1443" w:type="dxa"/>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Solicitação pela Web</w:t>
            </w:r>
          </w:p>
        </w:tc>
        <w:tc>
          <w:tcPr>
            <w:tcW w:w="3150" w:type="dxa"/>
          </w:tcPr>
          <w:p w:rsidR="00596386" w:rsidRPr="00E47ECF" w:rsidRDefault="00596386" w:rsidP="00647923">
            <w:pPr>
              <w:rPr>
                <w:lang w:val="pt-BR"/>
              </w:rPr>
            </w:pPr>
            <w:r w:rsidRPr="00E47ECF">
              <w:rPr>
                <w:rFonts w:ascii="SegoeBook" w:hAnsi="SegoeBook"/>
                <w:szCs w:val="18"/>
                <w:lang w:val="pt-BR"/>
              </w:rPr>
              <w:t>Impacto mínimo nos negócios:</w:t>
            </w:r>
          </w:p>
          <w:p w:rsidR="00596386" w:rsidRPr="00E47ECF" w:rsidRDefault="00596386" w:rsidP="00647923">
            <w:pPr>
              <w:rPr>
                <w:lang w:val="pt-BR"/>
              </w:rPr>
            </w:pPr>
            <w:r w:rsidRPr="00E47ECF">
              <w:rPr>
                <w:rFonts w:ascii="SegoeBook" w:hAnsi="SegoeBook"/>
                <w:szCs w:val="18"/>
                <w:lang w:val="pt-BR"/>
              </w:rPr>
              <w:t>Funcionamento de forma substancial, com poucos ou nenhum impedimento dos serviços</w:t>
            </w:r>
          </w:p>
          <w:p w:rsidR="00596386" w:rsidRPr="00E47ECF" w:rsidRDefault="00596386" w:rsidP="00647923">
            <w:pPr>
              <w:spacing w:after="60" w:line="240" w:lineRule="atLeast"/>
              <w:rPr>
                <w:rFonts w:ascii="SegoeBook" w:hAnsi="SegoeBook"/>
                <w:szCs w:val="18"/>
                <w:lang w:val="pt-BR"/>
              </w:rPr>
            </w:pPr>
            <w:r w:rsidRPr="00E47ECF">
              <w:rPr>
                <w:rFonts w:ascii="SegoeBook" w:hAnsi="SegoeBook"/>
                <w:szCs w:val="18"/>
                <w:lang w:val="pt-BR"/>
              </w:rPr>
              <w:t>Necessita de atenção em 4 horas</w:t>
            </w:r>
          </w:p>
        </w:tc>
        <w:tc>
          <w:tcPr>
            <w:tcW w:w="3600" w:type="dxa"/>
          </w:tcPr>
          <w:p w:rsidR="00596386" w:rsidRPr="00E47ECF" w:rsidRDefault="00596386" w:rsidP="00647923">
            <w:pPr>
              <w:rPr>
                <w:lang w:val="pt-BR"/>
              </w:rPr>
            </w:pPr>
            <w:r w:rsidRPr="00E47ECF">
              <w:rPr>
                <w:rFonts w:ascii="SegoeBook" w:hAnsi="SegoeBook"/>
                <w:szCs w:val="18"/>
                <w:lang w:val="pt-BR"/>
              </w:rPr>
              <w:t>1</w:t>
            </w:r>
            <w:r w:rsidRPr="00E47ECF">
              <w:rPr>
                <w:rFonts w:ascii="SegoeBook" w:hAnsi="SegoeBook"/>
                <w:szCs w:val="18"/>
                <w:vertAlign w:val="superscript"/>
                <w:lang w:val="pt-BR"/>
              </w:rPr>
              <w:t>ª</w:t>
            </w:r>
            <w:r w:rsidRPr="00E47ECF">
              <w:rPr>
                <w:rFonts w:ascii="SegoeBook" w:hAnsi="SegoeBook"/>
                <w:szCs w:val="18"/>
                <w:lang w:val="pt-BR"/>
              </w:rPr>
              <w:t xml:space="preserve"> resposta em 4 horas ou menos</w:t>
            </w:r>
          </w:p>
          <w:p w:rsidR="00596386" w:rsidRPr="00E47ECF" w:rsidRDefault="00596386" w:rsidP="00647923">
            <w:pPr>
              <w:spacing w:line="240" w:lineRule="atLeast"/>
              <w:rPr>
                <w:rFonts w:ascii="SegoeBook" w:hAnsi="SegoeBook"/>
                <w:szCs w:val="18"/>
                <w:lang w:val="pt-BR"/>
              </w:rPr>
            </w:pPr>
          </w:p>
        </w:tc>
      </w:tr>
    </w:tbl>
    <w:p w:rsidR="00596386" w:rsidRPr="00E47ECF" w:rsidRDefault="00596386" w:rsidP="00DD7F8E">
      <w:pPr>
        <w:rPr>
          <w:lang w:val="pt-BR"/>
        </w:rPr>
      </w:pPr>
    </w:p>
    <w:p w:rsidR="000D747C" w:rsidRPr="00E47ECF" w:rsidRDefault="000D747C" w:rsidP="000D747C">
      <w:pPr>
        <w:rPr>
          <w:lang w:val="pt-BR"/>
        </w:rPr>
      </w:pPr>
      <w:r w:rsidRPr="00E47ECF">
        <w:rPr>
          <w:rFonts w:cs="Arial"/>
          <w:snapToGrid w:val="0"/>
          <w:color w:val="000000"/>
          <w:szCs w:val="18"/>
          <w:lang w:val="pt-BR"/>
        </w:rPr>
        <w:t>Os clientes podem optar por receber um retorno de chamada da Microsoft.</w:t>
      </w:r>
      <w:r w:rsidR="00FB5496" w:rsidRPr="00E47ECF">
        <w:rPr>
          <w:rFonts w:cs="Arial"/>
          <w:snapToGrid w:val="0"/>
          <w:color w:val="000000"/>
          <w:szCs w:val="18"/>
          <w:lang w:val="pt-BR"/>
        </w:rPr>
        <w:t xml:space="preserve"> </w:t>
      </w:r>
      <w:r w:rsidRPr="00E47ECF">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p>
    <w:p w:rsidR="001C1727" w:rsidRPr="00E47ECF" w:rsidRDefault="001C1727">
      <w:pPr>
        <w:rPr>
          <w:lang w:val="pt-BR"/>
        </w:rPr>
      </w:pPr>
    </w:p>
    <w:p w:rsidR="00DC0853" w:rsidRPr="00E47ECF" w:rsidRDefault="00596386" w:rsidP="00DC0853">
      <w:pPr>
        <w:tabs>
          <w:tab w:val="left" w:pos="360"/>
        </w:tabs>
        <w:spacing w:after="60"/>
        <w:jc w:val="both"/>
        <w:rPr>
          <w:lang w:val="pt-BR"/>
        </w:rPr>
      </w:pPr>
      <w:r w:rsidRPr="00E47ECF">
        <w:rPr>
          <w:rFonts w:cs="Arial"/>
          <w:b/>
          <w:color w:val="000000"/>
          <w:szCs w:val="18"/>
          <w:lang w:val="pt-BR"/>
        </w:rPr>
        <w:t>Serviços Adicionais de Escalonamento</w:t>
      </w:r>
    </w:p>
    <w:p w:rsidR="00596386" w:rsidRPr="00E47ECF" w:rsidRDefault="00596386" w:rsidP="00596386">
      <w:pPr>
        <w:tabs>
          <w:tab w:val="left" w:pos="360"/>
        </w:tabs>
        <w:jc w:val="both"/>
        <w:rPr>
          <w:lang w:val="pt-BR"/>
        </w:rPr>
      </w:pPr>
      <w:r w:rsidRPr="00E47ECF">
        <w:rPr>
          <w:rFonts w:cs="Arial"/>
          <w:color w:val="000000"/>
          <w:szCs w:val="18"/>
          <w:lang w:val="pt-BR"/>
        </w:rPr>
        <w:t>Além dos</w:t>
      </w:r>
      <w:r w:rsidRPr="00E47ECF">
        <w:rPr>
          <w:rFonts w:cs="Arial"/>
          <w:snapToGrid w:val="0"/>
          <w:szCs w:val="18"/>
          <w:lang w:val="pt-BR"/>
        </w:rPr>
        <w:t xml:space="preserve"> Serviços descritos acima, os clientes com Suporte Profissional Direto para Windows Azure recebem </w:t>
      </w:r>
      <w:r w:rsidRPr="00E47ECF">
        <w:rPr>
          <w:rFonts w:cs="Arial"/>
          <w:snapToGrid w:val="0"/>
          <w:color w:val="000000"/>
          <w:szCs w:val="18"/>
          <w:lang w:val="pt-BR"/>
        </w:rPr>
        <w:t>ajuda na coordenação do suporte e relacionamento de serviços para Windows Azure.</w:t>
      </w:r>
      <w:r w:rsidR="00FB5496" w:rsidRPr="00E47ECF">
        <w:rPr>
          <w:rFonts w:cs="Arial"/>
          <w:snapToGrid w:val="0"/>
          <w:color w:val="000000"/>
          <w:szCs w:val="18"/>
          <w:lang w:val="pt-BR"/>
        </w:rPr>
        <w:t xml:space="preserve"> </w:t>
      </w:r>
      <w:r w:rsidRPr="00E47ECF">
        <w:rPr>
          <w:rFonts w:cs="Arial"/>
          <w:snapToGrid w:val="0"/>
          <w:color w:val="000000"/>
          <w:szCs w:val="18"/>
          <w:lang w:val="pt-BR"/>
        </w:rPr>
        <w:t>Esses serviços são fornecidos pelo pessoal de serviços (“Representantes de Escalonamento”).</w:t>
      </w:r>
      <w:r w:rsidR="00FB5496" w:rsidRPr="00E47ECF">
        <w:rPr>
          <w:rFonts w:cs="Arial"/>
          <w:snapToGrid w:val="0"/>
          <w:color w:val="000000"/>
          <w:szCs w:val="18"/>
          <w:lang w:val="pt-BR"/>
        </w:rPr>
        <w:t xml:space="preserve"> </w:t>
      </w:r>
      <w:r w:rsidRPr="00E47ECF">
        <w:rPr>
          <w:rFonts w:cs="Arial"/>
          <w:snapToGrid w:val="0"/>
          <w:color w:val="000000"/>
          <w:szCs w:val="18"/>
          <w:lang w:val="pt-BR"/>
        </w:rPr>
        <w:t xml:space="preserve">Os Representantes de Escalonamento são </w:t>
      </w:r>
      <w:r w:rsidRPr="00E47ECF">
        <w:rPr>
          <w:rFonts w:cs="Arial"/>
          <w:szCs w:val="18"/>
          <w:lang w:val="pt-BR"/>
        </w:rPr>
        <w:t>advogados do cliente</w:t>
      </w:r>
      <w:r w:rsidRPr="00E47ECF">
        <w:rPr>
          <w:rFonts w:cs="Arial"/>
          <w:snapToGrid w:val="0"/>
          <w:color w:val="000000"/>
          <w:szCs w:val="18"/>
          <w:lang w:val="pt-BR"/>
        </w:rPr>
        <w:t xml:space="preserve"> na Microsoft e facilitam a coordenação com as equipes que podem fornecer o suporte técnico disponível para os Serviços Online.</w:t>
      </w:r>
      <w:r w:rsidR="00FB5496" w:rsidRPr="00E47ECF">
        <w:rPr>
          <w:rFonts w:cs="Arial"/>
          <w:snapToGrid w:val="0"/>
          <w:color w:val="000000"/>
          <w:szCs w:val="18"/>
          <w:lang w:val="pt-BR"/>
        </w:rPr>
        <w:t xml:space="preserve"> </w:t>
      </w:r>
      <w:r w:rsidRPr="00E47ECF">
        <w:rPr>
          <w:rFonts w:cs="Arial"/>
          <w:snapToGrid w:val="0"/>
          <w:color w:val="000000"/>
          <w:szCs w:val="18"/>
          <w:lang w:val="pt-BR"/>
        </w:rPr>
        <w:t xml:space="preserve">Os Representantes de Escalonamento também atuam como o ponto de fornecimento de informações e encaminham o </w:t>
      </w:r>
      <w:r w:rsidRPr="00E47ECF">
        <w:rPr>
          <w:rFonts w:cs="Arial"/>
          <w:szCs w:val="18"/>
          <w:lang w:val="pt-BR"/>
        </w:rPr>
        <w:t>feedback</w:t>
      </w:r>
      <w:r w:rsidRPr="00E47ECF">
        <w:rPr>
          <w:rFonts w:cs="Arial"/>
          <w:snapToGrid w:val="0"/>
          <w:color w:val="000000"/>
          <w:szCs w:val="18"/>
          <w:lang w:val="pt-BR"/>
        </w:rPr>
        <w:t xml:space="preserve"> do cliente sobre os Serviços aos outros grupos da Microsoft.</w:t>
      </w:r>
      <w:r w:rsidR="00FB5496" w:rsidRPr="00E47ECF">
        <w:rPr>
          <w:rFonts w:cs="Arial"/>
          <w:snapToGrid w:val="0"/>
          <w:color w:val="000000"/>
          <w:szCs w:val="18"/>
          <w:lang w:val="pt-BR"/>
        </w:rPr>
        <w:t xml:space="preserve"> </w:t>
      </w:r>
      <w:r w:rsidRPr="00E47ECF">
        <w:rPr>
          <w:rFonts w:cs="Arial"/>
          <w:snapToGrid w:val="0"/>
          <w:color w:val="000000"/>
          <w:szCs w:val="18"/>
          <w:lang w:val="pt-BR"/>
        </w:rPr>
        <w:t>Os</w:t>
      </w:r>
      <w:r w:rsidR="007B1A45" w:rsidRPr="00E47ECF">
        <w:rPr>
          <w:rFonts w:cs="Arial"/>
          <w:snapToGrid w:val="0"/>
          <w:color w:val="000000"/>
          <w:szCs w:val="18"/>
          <w:lang w:val="pt-BR"/>
        </w:rPr>
        <w:t> </w:t>
      </w:r>
      <w:r w:rsidRPr="00E47ECF">
        <w:rPr>
          <w:rFonts w:cs="Arial"/>
          <w:snapToGrid w:val="0"/>
          <w:color w:val="000000"/>
          <w:szCs w:val="18"/>
          <w:lang w:val="pt-BR"/>
        </w:rPr>
        <w:t>Representantes de Escalonamento podem ainda prestar os Serviços adicionais a seguir:</w:t>
      </w:r>
    </w:p>
    <w:p w:rsidR="00596386" w:rsidRPr="00E47ECF" w:rsidRDefault="00596386" w:rsidP="00596386">
      <w:pPr>
        <w:tabs>
          <w:tab w:val="left" w:pos="360"/>
        </w:tabs>
        <w:jc w:val="both"/>
        <w:rPr>
          <w:lang w:val="pt-BR"/>
        </w:rPr>
      </w:pPr>
    </w:p>
    <w:p w:rsidR="00596386" w:rsidRPr="00E47ECF" w:rsidRDefault="00596386" w:rsidP="002C1048">
      <w:pPr>
        <w:numPr>
          <w:ilvl w:val="0"/>
          <w:numId w:val="138"/>
        </w:numPr>
        <w:tabs>
          <w:tab w:val="clear" w:pos="720"/>
        </w:tabs>
        <w:spacing w:after="60"/>
        <w:ind w:left="1440"/>
        <w:jc w:val="both"/>
        <w:rPr>
          <w:lang w:val="pt-BR"/>
        </w:rPr>
      </w:pPr>
      <w:r w:rsidRPr="00E47ECF">
        <w:rPr>
          <w:rFonts w:cs="Tahoma"/>
          <w:b/>
          <w:color w:val="000000"/>
          <w:szCs w:val="18"/>
          <w:lang w:val="pt-BR"/>
        </w:rPr>
        <w:t>Planejamento e Facilitação de Recursos.</w:t>
      </w:r>
      <w:r w:rsidRPr="00E47ECF">
        <w:rPr>
          <w:rFonts w:cs="Arial"/>
          <w:szCs w:val="18"/>
          <w:lang w:val="pt-BR"/>
        </w:rPr>
        <w:t xml:space="preserve"> No início do presente Contrato, A Microsoft oferece uma sessão de orientação para gerenciamento de clientes e equipe por teleconferência.</w:t>
      </w:r>
      <w:r w:rsidR="00FB5496" w:rsidRPr="00E47ECF">
        <w:rPr>
          <w:rFonts w:cs="Arial"/>
          <w:szCs w:val="18"/>
          <w:lang w:val="pt-BR"/>
        </w:rPr>
        <w:t xml:space="preserve"> </w:t>
      </w:r>
      <w:r w:rsidRPr="00E47ECF">
        <w:rPr>
          <w:rFonts w:cs="Arial"/>
          <w:szCs w:val="18"/>
          <w:lang w:val="pt-BR"/>
        </w:rPr>
        <w:t>O objetivo dessa reunião é discutir os Serviços de suporte disponíveis e responder a quaisquer dúvidas de forma que o cliente possa planejar o uso dos Serviços.</w:t>
      </w:r>
    </w:p>
    <w:p w:rsidR="00596386" w:rsidRPr="00E47ECF" w:rsidRDefault="00596386" w:rsidP="002C1048">
      <w:pPr>
        <w:numPr>
          <w:ilvl w:val="0"/>
          <w:numId w:val="138"/>
        </w:numPr>
        <w:tabs>
          <w:tab w:val="clear" w:pos="720"/>
        </w:tabs>
        <w:spacing w:after="60"/>
        <w:ind w:left="1440"/>
        <w:jc w:val="both"/>
        <w:rPr>
          <w:lang w:val="pt-BR"/>
        </w:rPr>
      </w:pPr>
      <w:r w:rsidRPr="00E47ECF">
        <w:rPr>
          <w:rFonts w:cs="Tahoma"/>
          <w:b/>
          <w:color w:val="000000"/>
          <w:szCs w:val="18"/>
          <w:lang w:val="pt-BR"/>
        </w:rPr>
        <w:t>Gerenciamento de Escalonamento.</w:t>
      </w:r>
      <w:r w:rsidRPr="00E47ECF">
        <w:rPr>
          <w:rFonts w:cs="Arial"/>
          <w:szCs w:val="18"/>
          <w:lang w:val="pt-BR"/>
        </w:rPr>
        <w:t xml:space="preserve"> Um</w:t>
      </w:r>
      <w:r w:rsidRPr="00E47ECF">
        <w:rPr>
          <w:rFonts w:cs="Arial"/>
          <w:snapToGrid w:val="0"/>
          <w:szCs w:val="18"/>
          <w:lang w:val="pt-BR"/>
        </w:rPr>
        <w:t xml:space="preserve"> Representante de Escalonamento fornecerá ao cliente os serviços de gerenciamento de escalonamento de suporte técnico para Windows Azure.</w:t>
      </w:r>
    </w:p>
    <w:p w:rsidR="00596386" w:rsidRPr="00E47ECF" w:rsidRDefault="00596386" w:rsidP="00596386">
      <w:pPr>
        <w:tabs>
          <w:tab w:val="left" w:pos="360"/>
        </w:tabs>
        <w:jc w:val="both"/>
        <w:rPr>
          <w:lang w:val="pt-BR"/>
        </w:rPr>
      </w:pPr>
    </w:p>
    <w:p w:rsidR="00596386" w:rsidRPr="00E47ECF" w:rsidRDefault="00596386" w:rsidP="00E03856">
      <w:pPr>
        <w:pStyle w:val="normal1"/>
        <w:jc w:val="both"/>
        <w:rPr>
          <w:rFonts w:ascii="Tahoma" w:hAnsi="Tahoma" w:cs="Tahoma"/>
          <w:sz w:val="18"/>
          <w:szCs w:val="18"/>
          <w:lang w:val="pt-BR"/>
        </w:rPr>
      </w:pPr>
      <w:r w:rsidRPr="00E47ECF">
        <w:rPr>
          <w:rFonts w:ascii="Tahoma" w:hAnsi="Tahoma" w:cs="Tahoma"/>
          <w:color w:val="000000"/>
          <w:sz w:val="18"/>
          <w:szCs w:val="18"/>
          <w:lang w:val="pt-BR"/>
        </w:rPr>
        <w:t>Os Serviços de Escalonamento são fornecidos nos mercados disponíveis apenas,</w:t>
      </w:r>
      <w:r w:rsidRPr="00E47ECF">
        <w:rPr>
          <w:rFonts w:ascii="Tahoma" w:hAnsi="Tahoma" w:cs="Tahoma"/>
          <w:color w:val="FF3399"/>
          <w:sz w:val="18"/>
          <w:szCs w:val="18"/>
          <w:lang w:val="pt-BR"/>
        </w:rPr>
        <w:t xml:space="preserve"> </w:t>
      </w:r>
      <w:r w:rsidRPr="00E47ECF">
        <w:rPr>
          <w:rFonts w:ascii="Tahoma" w:hAnsi="Tahoma" w:cs="Tahoma"/>
          <w:sz w:val="18"/>
          <w:szCs w:val="18"/>
          <w:lang w:val="pt-BR"/>
        </w:rPr>
        <w:t>de segunda a sexta-feira, com exceção de finais de semana e feriados.</w:t>
      </w:r>
    </w:p>
    <w:p w:rsidR="00596386" w:rsidRPr="00E47ECF" w:rsidRDefault="00596386" w:rsidP="00596386">
      <w:pPr>
        <w:pStyle w:val="normal1"/>
        <w:jc w:val="both"/>
        <w:rPr>
          <w:sz w:val="18"/>
          <w:szCs w:val="18"/>
          <w:lang w:val="pt-BR"/>
        </w:rPr>
      </w:pPr>
    </w:p>
    <w:p w:rsidR="00DC0853" w:rsidRPr="00E47ECF" w:rsidRDefault="00596386" w:rsidP="00DC0853">
      <w:pPr>
        <w:tabs>
          <w:tab w:val="left" w:pos="360"/>
        </w:tabs>
        <w:spacing w:after="60"/>
        <w:jc w:val="both"/>
        <w:rPr>
          <w:lang w:val="pt-BR"/>
        </w:rPr>
      </w:pPr>
      <w:r w:rsidRPr="00E47ECF">
        <w:rPr>
          <w:rFonts w:cs="Arial"/>
          <w:b/>
          <w:szCs w:val="18"/>
          <w:lang w:val="pt-BR"/>
        </w:rPr>
        <w:t>Outros Serviços de Informações e Benefícios</w:t>
      </w:r>
    </w:p>
    <w:p w:rsidR="00596386" w:rsidRPr="00416070" w:rsidRDefault="00596386" w:rsidP="00596386">
      <w:pPr>
        <w:tabs>
          <w:tab w:val="left" w:pos="360"/>
        </w:tabs>
        <w:jc w:val="both"/>
      </w:pPr>
      <w:r w:rsidRPr="00E47ECF">
        <w:rPr>
          <w:rFonts w:cs="Arial"/>
          <w:szCs w:val="18"/>
          <w:lang w:val="pt-BR"/>
        </w:rPr>
        <w:t>Os Serviços de Informações fornecem informações técnicas sobre o Windows Azure e ferramentas de suporte que ajudam os clientes a implementar e operar o Windows Azure de maneira mais eficaz e eficiente.</w:t>
      </w:r>
      <w:r w:rsidR="00FB5496" w:rsidRPr="00E47ECF">
        <w:rPr>
          <w:rFonts w:cs="Arial"/>
          <w:szCs w:val="18"/>
          <w:lang w:val="pt-BR"/>
        </w:rPr>
        <w:t xml:space="preserve"> </w:t>
      </w:r>
      <w:r w:rsidRPr="00416070">
        <w:rPr>
          <w:rFonts w:cs="Arial"/>
          <w:szCs w:val="18"/>
        </w:rPr>
        <w:t>Os Serviços de Informações incluem o seguinte:</w:t>
      </w:r>
    </w:p>
    <w:p w:rsidR="00596386" w:rsidRPr="00416070" w:rsidRDefault="00596386" w:rsidP="00596386">
      <w:pPr>
        <w:tabs>
          <w:tab w:val="left" w:pos="360"/>
        </w:tabs>
        <w:jc w:val="both"/>
      </w:pPr>
    </w:p>
    <w:p w:rsidR="00596386" w:rsidRPr="00FF3D4D" w:rsidRDefault="00596386" w:rsidP="002C1048">
      <w:pPr>
        <w:pStyle w:val="ListParagraph"/>
        <w:numPr>
          <w:ilvl w:val="0"/>
          <w:numId w:val="139"/>
        </w:numPr>
        <w:tabs>
          <w:tab w:val="left" w:pos="360"/>
        </w:tabs>
        <w:spacing w:after="60"/>
        <w:ind w:left="1440"/>
        <w:contextualSpacing w:val="0"/>
        <w:jc w:val="both"/>
        <w:rPr>
          <w:rFonts w:ascii="Tahoma" w:hAnsi="Tahoma" w:cs="Tahoma"/>
          <w:sz w:val="18"/>
          <w:szCs w:val="18"/>
        </w:rPr>
      </w:pPr>
      <w:r w:rsidRPr="00FF3D4D">
        <w:rPr>
          <w:rFonts w:ascii="Tahoma" w:hAnsi="Tahoma" w:cs="Tahoma"/>
          <w:b/>
          <w:color w:val="000000"/>
          <w:sz w:val="18"/>
          <w:szCs w:val="18"/>
        </w:rPr>
        <w:t>Suporte Profissional Direto para conteúdo exclusivo do Windows Azure.</w:t>
      </w:r>
      <w:r w:rsidRPr="00FF3D4D">
        <w:rPr>
          <w:rFonts w:ascii="Tahoma" w:hAnsi="Tahoma" w:cs="Tahoma"/>
          <w:color w:val="000000"/>
          <w:sz w:val="18"/>
          <w:szCs w:val="18"/>
        </w:rPr>
        <w:t xml:space="preserve"> </w:t>
      </w:r>
      <w:r w:rsidRPr="00FF3D4D">
        <w:rPr>
          <w:rFonts w:ascii="Tahoma" w:hAnsi="Tahoma" w:cs="Tahoma"/>
          <w:snapToGrid w:val="0"/>
          <w:sz w:val="18"/>
          <w:szCs w:val="18"/>
        </w:rPr>
        <w:t>Aos clientes será concedido acesso ao conteúdo exclusivo do Windows Azure, incluindo, mas não se limitando, publicações online relacionadas aos guias de práticas recomendadas de implantação e</w:t>
      </w:r>
      <w:r w:rsidR="007B1A45" w:rsidRPr="00E47ECF">
        <w:rPr>
          <w:rFonts w:ascii="Tahoma" w:hAnsi="Tahoma" w:cs="Tahoma"/>
          <w:snapToGrid w:val="0"/>
          <w:sz w:val="18"/>
          <w:szCs w:val="18"/>
          <w:lang w:val="pt-BR"/>
        </w:rPr>
        <w:t> </w:t>
      </w:r>
      <w:r w:rsidRPr="00FF3D4D">
        <w:rPr>
          <w:rFonts w:ascii="Tahoma" w:hAnsi="Tahoma" w:cs="Tahoma"/>
          <w:snapToGrid w:val="0"/>
          <w:sz w:val="18"/>
          <w:szCs w:val="18"/>
        </w:rPr>
        <w:t>arquiteturais, conteúdo de treinamento arquivado, notificações de Webinars futuros e outras informações gerais sobre o Windows Azure.</w:t>
      </w:r>
    </w:p>
    <w:p w:rsidR="00596386" w:rsidRPr="00E47ECF" w:rsidRDefault="00596386" w:rsidP="002C1048">
      <w:pPr>
        <w:numPr>
          <w:ilvl w:val="0"/>
          <w:numId w:val="139"/>
        </w:numPr>
        <w:tabs>
          <w:tab w:val="left" w:pos="360"/>
        </w:tabs>
        <w:spacing w:after="60"/>
        <w:ind w:left="1440"/>
        <w:jc w:val="both"/>
        <w:rPr>
          <w:rFonts w:cs="Tahoma"/>
          <w:szCs w:val="18"/>
          <w:lang w:val="pt-BR"/>
        </w:rPr>
      </w:pPr>
      <w:r w:rsidRPr="00E47ECF">
        <w:rPr>
          <w:rFonts w:cs="Tahoma"/>
          <w:b/>
          <w:color w:val="000000"/>
          <w:szCs w:val="18"/>
          <w:lang w:val="pt-BR"/>
        </w:rPr>
        <w:t>Webinars.</w:t>
      </w:r>
      <w:r w:rsidRPr="00E47ECF">
        <w:rPr>
          <w:rFonts w:cs="Tahoma"/>
          <w:szCs w:val="18"/>
          <w:lang w:val="pt-BR"/>
        </w:rPr>
        <w:t xml:space="preserve"> Webinars são discussões programadas regularmente conduzidas por profissionais da Microsoft, abrangendo áreas principais dos Serviços Online da Microsoft. Os Webinars incluem, sem se limitar, o “Guia de Introdução” ao Windows Azure, REsumo dos Novos Recursos e Perguntas e</w:t>
      </w:r>
      <w:r w:rsidR="007B1A45" w:rsidRPr="00E47ECF">
        <w:rPr>
          <w:rFonts w:cs="Tahoma"/>
          <w:szCs w:val="18"/>
          <w:lang w:val="pt-BR"/>
        </w:rPr>
        <w:t> </w:t>
      </w:r>
      <w:r w:rsidRPr="00E47ECF">
        <w:rPr>
          <w:rFonts w:cs="Tahoma"/>
          <w:szCs w:val="18"/>
          <w:lang w:val="pt-BR"/>
        </w:rPr>
        <w:t>Resposta</w:t>
      </w:r>
      <w:r w:rsidR="007E2720" w:rsidRPr="00E47ECF">
        <w:rPr>
          <w:rFonts w:cs="Tahoma"/>
          <w:szCs w:val="18"/>
          <w:lang w:val="pt-BR"/>
        </w:rPr>
        <w:t>s “Pergunte aos Especialistas”.</w:t>
      </w:r>
    </w:p>
    <w:p w:rsidR="00596386" w:rsidRPr="00E47ECF" w:rsidRDefault="00596386" w:rsidP="002C1048">
      <w:pPr>
        <w:numPr>
          <w:ilvl w:val="0"/>
          <w:numId w:val="139"/>
        </w:numPr>
        <w:tabs>
          <w:tab w:val="left" w:pos="360"/>
        </w:tabs>
        <w:spacing w:after="60"/>
        <w:ind w:left="1440"/>
        <w:jc w:val="both"/>
        <w:rPr>
          <w:rFonts w:cs="Tahoma"/>
          <w:szCs w:val="18"/>
          <w:lang w:val="pt-BR"/>
        </w:rPr>
      </w:pPr>
      <w:r w:rsidRPr="00E47ECF">
        <w:rPr>
          <w:rFonts w:cs="Tahoma"/>
          <w:b/>
          <w:color w:val="000000"/>
          <w:szCs w:val="18"/>
          <w:lang w:val="pt-BR"/>
        </w:rPr>
        <w:lastRenderedPageBreak/>
        <w:t>Serviços Adicionais de Consultoria executados por Representantes de Escalonamento.</w:t>
      </w:r>
    </w:p>
    <w:p w:rsidR="00596386" w:rsidRPr="00E47ECF" w:rsidRDefault="00596386" w:rsidP="002C1048">
      <w:pPr>
        <w:numPr>
          <w:ilvl w:val="1"/>
          <w:numId w:val="121"/>
        </w:numPr>
        <w:tabs>
          <w:tab w:val="left" w:pos="360"/>
        </w:tabs>
        <w:spacing w:after="60"/>
        <w:ind w:left="1980"/>
        <w:jc w:val="both"/>
        <w:rPr>
          <w:rFonts w:cs="Tahoma"/>
          <w:szCs w:val="18"/>
          <w:lang w:val="pt-BR"/>
        </w:rPr>
      </w:pPr>
      <w:r w:rsidRPr="00E47ECF">
        <w:rPr>
          <w:rFonts w:cs="Tahoma"/>
          <w:snapToGrid w:val="0"/>
          <w:szCs w:val="18"/>
          <w:lang w:val="pt-BR"/>
        </w:rPr>
        <w:t>Refere-se aos principais recursos online.</w:t>
      </w:r>
      <w:r w:rsidR="00FB5496" w:rsidRPr="00E47ECF">
        <w:rPr>
          <w:rFonts w:cs="Tahoma"/>
          <w:snapToGrid w:val="0"/>
          <w:szCs w:val="18"/>
          <w:lang w:val="pt-BR"/>
        </w:rPr>
        <w:t xml:space="preserve"> </w:t>
      </w:r>
      <w:r w:rsidRPr="00E47ECF">
        <w:rPr>
          <w:rFonts w:cs="Tahoma"/>
          <w:snapToGrid w:val="0"/>
          <w:szCs w:val="18"/>
          <w:lang w:val="pt-BR"/>
        </w:rPr>
        <w:t>Um Representante de Escalonamento fornecerá aos clientes recomendações, inclusive instruções sobre como acessar recursos de autoatendimento para ajudar a solucionar as dúvidas sobre recursos e serviços comuns do Windows Azure.</w:t>
      </w:r>
    </w:p>
    <w:p w:rsidR="00596386" w:rsidRPr="00E47ECF" w:rsidRDefault="00596386" w:rsidP="002C1048">
      <w:pPr>
        <w:numPr>
          <w:ilvl w:val="1"/>
          <w:numId w:val="121"/>
        </w:numPr>
        <w:spacing w:after="60"/>
        <w:ind w:left="1980"/>
        <w:jc w:val="both"/>
        <w:rPr>
          <w:rFonts w:cs="Tahoma"/>
          <w:szCs w:val="18"/>
          <w:lang w:val="pt-BR"/>
        </w:rPr>
      </w:pPr>
      <w:r w:rsidRPr="00E47ECF">
        <w:rPr>
          <w:rFonts w:cs="Tahoma"/>
          <w:snapToGrid w:val="0"/>
          <w:szCs w:val="18"/>
          <w:lang w:val="pt-BR"/>
        </w:rPr>
        <w:t>Tendência básica de incidentes.</w:t>
      </w:r>
      <w:r w:rsidR="00FB5496" w:rsidRPr="00E47ECF">
        <w:rPr>
          <w:rFonts w:cs="Tahoma"/>
          <w:snapToGrid w:val="0"/>
          <w:szCs w:val="18"/>
          <w:lang w:val="pt-BR"/>
        </w:rPr>
        <w:t xml:space="preserve"> </w:t>
      </w:r>
      <w:r w:rsidRPr="00E47ECF">
        <w:rPr>
          <w:rFonts w:cs="Tahoma"/>
          <w:snapToGrid w:val="0"/>
          <w:szCs w:val="18"/>
          <w:lang w:val="pt-BR"/>
        </w:rPr>
        <w:t>Um Representante de Escalonamento ajudará a detectar e</w:t>
      </w:r>
      <w:r w:rsidR="007B1A45" w:rsidRPr="00E47ECF">
        <w:rPr>
          <w:rFonts w:cs="Tahoma"/>
          <w:snapToGrid w:val="0"/>
          <w:szCs w:val="18"/>
          <w:lang w:val="pt-BR"/>
        </w:rPr>
        <w:t> </w:t>
      </w:r>
      <w:r w:rsidRPr="00E47ECF">
        <w:rPr>
          <w:rFonts w:cs="Tahoma"/>
          <w:snapToGrid w:val="0"/>
          <w:szCs w:val="18"/>
          <w:lang w:val="pt-BR"/>
        </w:rPr>
        <w:t>avaliar a causa-raiz de solicitações comuns de suporte enviadas pelos clientes, fornecendo sugestões sobre como minimizar tais problemas de suporte no futuro.</w:t>
      </w:r>
    </w:p>
    <w:p w:rsidR="00596386" w:rsidRPr="00FF3D4D" w:rsidRDefault="00596386" w:rsidP="006D6A83">
      <w:pPr>
        <w:pStyle w:val="ListParagraph"/>
        <w:numPr>
          <w:ilvl w:val="1"/>
          <w:numId w:val="121"/>
        </w:numPr>
        <w:tabs>
          <w:tab w:val="left" w:pos="360"/>
        </w:tabs>
        <w:contextualSpacing w:val="0"/>
        <w:jc w:val="both"/>
        <w:rPr>
          <w:rFonts w:ascii="Tahoma" w:hAnsi="Tahoma" w:cs="Tahoma"/>
          <w:sz w:val="18"/>
          <w:szCs w:val="18"/>
        </w:rPr>
      </w:pPr>
      <w:r w:rsidRPr="00FF3D4D">
        <w:rPr>
          <w:rFonts w:ascii="Tahoma" w:hAnsi="Tahoma" w:cs="Tahoma"/>
          <w:b/>
          <w:color w:val="000000"/>
          <w:sz w:val="18"/>
          <w:szCs w:val="18"/>
        </w:rPr>
        <w:t>Relatórios de Otimização do Windows Azure.</w:t>
      </w:r>
      <w:r w:rsidRPr="00FF3D4D">
        <w:rPr>
          <w:rFonts w:ascii="Tahoma" w:hAnsi="Tahoma" w:cs="Tahoma"/>
          <w:color w:val="000000"/>
          <w:sz w:val="18"/>
          <w:szCs w:val="18"/>
        </w:rPr>
        <w:t xml:space="preserve"> </w:t>
      </w:r>
      <w:r w:rsidRPr="00FF3D4D">
        <w:rPr>
          <w:rFonts w:ascii="Tahoma" w:hAnsi="Tahoma" w:cs="Tahoma"/>
          <w:sz w:val="18"/>
          <w:szCs w:val="18"/>
        </w:rPr>
        <w:t>Um Representante de Escalonamento fornecerá relatórios regulares para ajudar a identificar riscos de segurança em potencial</w:t>
      </w:r>
      <w:r w:rsidR="00FB5496" w:rsidRPr="00FF3D4D">
        <w:rPr>
          <w:rFonts w:ascii="Tahoma" w:hAnsi="Tahoma" w:cs="Tahoma"/>
          <w:sz w:val="18"/>
          <w:szCs w:val="18"/>
        </w:rPr>
        <w:t xml:space="preserve"> </w:t>
      </w:r>
      <w:r w:rsidRPr="00FF3D4D">
        <w:rPr>
          <w:rFonts w:ascii="Tahoma" w:hAnsi="Tahoma" w:cs="Tahoma"/>
          <w:sz w:val="18"/>
          <w:szCs w:val="18"/>
        </w:rPr>
        <w:t>e oportunidades de</w:t>
      </w:r>
      <w:r w:rsidR="007B1A45" w:rsidRPr="00E47ECF">
        <w:rPr>
          <w:rFonts w:ascii="Tahoma" w:hAnsi="Tahoma" w:cs="Tahoma"/>
          <w:sz w:val="18"/>
          <w:szCs w:val="18"/>
          <w:lang w:val="pt-BR"/>
        </w:rPr>
        <w:t> </w:t>
      </w:r>
      <w:r w:rsidRPr="00FF3D4D">
        <w:rPr>
          <w:rFonts w:ascii="Tahoma" w:hAnsi="Tahoma" w:cs="Tahoma"/>
          <w:sz w:val="18"/>
          <w:szCs w:val="18"/>
        </w:rPr>
        <w:t>otimização.</w:t>
      </w:r>
    </w:p>
    <w:p w:rsidR="00596386" w:rsidRPr="00E47ECF" w:rsidRDefault="00596386" w:rsidP="00596386">
      <w:pPr>
        <w:pStyle w:val="normal1"/>
        <w:jc w:val="both"/>
        <w:rPr>
          <w:rFonts w:ascii="Tahoma" w:hAnsi="Tahoma" w:cs="Tahoma"/>
          <w:sz w:val="18"/>
          <w:szCs w:val="18"/>
          <w:lang w:val="pt-BR"/>
        </w:rPr>
      </w:pPr>
    </w:p>
    <w:p w:rsidR="00A47BFD" w:rsidRPr="00E47ECF" w:rsidRDefault="00A47BFD" w:rsidP="00596386">
      <w:pPr>
        <w:pStyle w:val="normal1"/>
        <w:jc w:val="both"/>
        <w:rPr>
          <w:sz w:val="18"/>
          <w:szCs w:val="18"/>
          <w:lang w:val="pt-BR"/>
        </w:rPr>
      </w:pPr>
    </w:p>
    <w:p w:rsidR="00596386" w:rsidRPr="00E47ECF" w:rsidRDefault="00596386" w:rsidP="00596386">
      <w:pPr>
        <w:tabs>
          <w:tab w:val="left" w:pos="360"/>
        </w:tabs>
        <w:jc w:val="both"/>
        <w:rPr>
          <w:lang w:val="pt-BR"/>
        </w:rPr>
      </w:pPr>
      <w:r w:rsidRPr="00E47ECF">
        <w:rPr>
          <w:rFonts w:cs="Arial"/>
          <w:b/>
          <w:sz w:val="24"/>
          <w:szCs w:val="18"/>
          <w:lang w:val="pt-BR"/>
        </w:rPr>
        <w:t>Suporte Padrão para Windows Azure</w:t>
      </w:r>
    </w:p>
    <w:p w:rsidR="00596386" w:rsidRPr="00E47ECF" w:rsidRDefault="00596386" w:rsidP="00596386">
      <w:pPr>
        <w:tabs>
          <w:tab w:val="left" w:pos="360"/>
        </w:tabs>
        <w:jc w:val="both"/>
        <w:rPr>
          <w:lang w:val="pt-BR"/>
        </w:rPr>
      </w:pPr>
    </w:p>
    <w:p w:rsidR="00596386" w:rsidRPr="00E47ECF" w:rsidRDefault="00A47BFD" w:rsidP="00596386">
      <w:pPr>
        <w:rPr>
          <w:lang w:val="pt-BR"/>
        </w:rPr>
      </w:pPr>
      <w:r w:rsidRPr="00E47ECF">
        <w:rPr>
          <w:rFonts w:cs="Arial"/>
          <w:color w:val="000000"/>
          <w:szCs w:val="18"/>
          <w:lang w:val="pt-BR"/>
        </w:rPr>
        <w:t>Os clientes são responsáveis pela definição do nível inicial de gravidade durante o processo de envio pela Web em alinhamento com o guia de gravidade fornecido a seguir.</w:t>
      </w:r>
      <w:r w:rsidR="00FB5496" w:rsidRPr="00E47ECF">
        <w:rPr>
          <w:rFonts w:cs="Arial"/>
          <w:color w:val="000000"/>
          <w:szCs w:val="18"/>
          <w:lang w:val="pt-BR"/>
        </w:rPr>
        <w:t xml:space="preserve"> </w:t>
      </w:r>
      <w:r w:rsidRPr="00E47ECF">
        <w:rPr>
          <w:rFonts w:cs="Arial"/>
          <w:color w:val="000000"/>
          <w:szCs w:val="18"/>
          <w:lang w:val="pt-BR"/>
        </w:rPr>
        <w:t xml:space="preserve">A Microsoft pode reduzir o nível de gravidade se o cliente não puder fornecer os recursos ou as respostas adequadas para darmos continuidade aos esforços de resolução do problema. </w:t>
      </w:r>
      <w:r w:rsidRPr="00E47ECF">
        <w:rPr>
          <w:rFonts w:cs="Arial"/>
          <w:szCs w:val="18"/>
          <w:lang w:val="pt-BR"/>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rsidR="00596386" w:rsidRPr="00E47ECF" w:rsidRDefault="00596386" w:rsidP="00596386">
      <w:pPr>
        <w:rPr>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416070" w:rsidTr="002A6416">
        <w:tc>
          <w:tcPr>
            <w:tcW w:w="779" w:type="pct"/>
            <w:shd w:val="clear" w:color="auto" w:fill="FABF8F"/>
          </w:tcPr>
          <w:p w:rsidR="00596386" w:rsidRPr="00416070" w:rsidRDefault="00596386" w:rsidP="0037031E">
            <w:pPr>
              <w:jc w:val="center"/>
              <w:rPr>
                <w:rFonts w:cs="Tahoma"/>
                <w:b/>
                <w:bCs/>
                <w:color w:val="000000"/>
                <w:sz w:val="20"/>
                <w:szCs w:val="18"/>
              </w:rPr>
            </w:pPr>
            <w:r w:rsidRPr="00416070">
              <w:rPr>
                <w:rFonts w:cs="Tahoma"/>
                <w:b/>
                <w:bCs/>
                <w:color w:val="000000"/>
                <w:sz w:val="20"/>
                <w:szCs w:val="18"/>
              </w:rPr>
              <w:t>Severidade</w:t>
            </w:r>
          </w:p>
        </w:tc>
        <w:tc>
          <w:tcPr>
            <w:tcW w:w="1022" w:type="pct"/>
            <w:shd w:val="clear" w:color="auto" w:fill="FABF8F"/>
          </w:tcPr>
          <w:p w:rsidR="00596386" w:rsidRPr="00416070" w:rsidRDefault="00596386" w:rsidP="0037031E">
            <w:pPr>
              <w:jc w:val="center"/>
              <w:rPr>
                <w:rFonts w:cs="Tahoma"/>
                <w:b/>
                <w:bCs/>
                <w:color w:val="000000"/>
                <w:sz w:val="20"/>
                <w:szCs w:val="18"/>
              </w:rPr>
            </w:pPr>
            <w:r w:rsidRPr="00416070">
              <w:rPr>
                <w:rFonts w:cs="Tahoma"/>
                <w:b/>
                <w:bCs/>
                <w:color w:val="000000"/>
                <w:sz w:val="20"/>
                <w:szCs w:val="18"/>
              </w:rPr>
              <w:t>Contato</w:t>
            </w:r>
          </w:p>
        </w:tc>
        <w:tc>
          <w:tcPr>
            <w:tcW w:w="1571" w:type="pct"/>
            <w:shd w:val="clear" w:color="auto" w:fill="FABF8F"/>
          </w:tcPr>
          <w:p w:rsidR="00596386" w:rsidRPr="00416070" w:rsidRDefault="00596386" w:rsidP="0037031E">
            <w:pPr>
              <w:jc w:val="center"/>
              <w:rPr>
                <w:rFonts w:cs="Tahoma"/>
                <w:b/>
                <w:bCs/>
                <w:color w:val="000000"/>
                <w:sz w:val="20"/>
                <w:szCs w:val="18"/>
              </w:rPr>
            </w:pPr>
            <w:r w:rsidRPr="00416070">
              <w:rPr>
                <w:rFonts w:cs="Tahoma"/>
                <w:b/>
                <w:bCs/>
                <w:color w:val="000000"/>
                <w:sz w:val="20"/>
                <w:szCs w:val="18"/>
              </w:rPr>
              <w:t>Situação do Cliente</w:t>
            </w:r>
          </w:p>
        </w:tc>
        <w:tc>
          <w:tcPr>
            <w:tcW w:w="1628" w:type="pct"/>
            <w:shd w:val="clear" w:color="auto" w:fill="FABF8F"/>
          </w:tcPr>
          <w:p w:rsidR="00596386" w:rsidRPr="00416070" w:rsidRDefault="00596386" w:rsidP="0037031E">
            <w:pPr>
              <w:jc w:val="center"/>
              <w:rPr>
                <w:rFonts w:cs="Tahoma"/>
                <w:b/>
                <w:bCs/>
                <w:color w:val="000000"/>
                <w:sz w:val="20"/>
                <w:szCs w:val="18"/>
              </w:rPr>
            </w:pPr>
            <w:r w:rsidRPr="00416070">
              <w:rPr>
                <w:rFonts w:cs="Tahoma"/>
                <w:b/>
                <w:bCs/>
                <w:color w:val="000000"/>
                <w:sz w:val="20"/>
                <w:szCs w:val="18"/>
              </w:rPr>
              <w:t>Resposta Esperada da Microsoft</w:t>
            </w:r>
          </w:p>
        </w:tc>
      </w:tr>
      <w:tr w:rsidR="00596386" w:rsidRPr="002B5F9E" w:rsidTr="002A6416">
        <w:tc>
          <w:tcPr>
            <w:tcW w:w="779" w:type="pct"/>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A</w:t>
            </w:r>
          </w:p>
        </w:tc>
        <w:tc>
          <w:tcPr>
            <w:tcW w:w="1022" w:type="pct"/>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Solicitação pela Web</w:t>
            </w:r>
          </w:p>
        </w:tc>
        <w:tc>
          <w:tcPr>
            <w:tcW w:w="1571" w:type="pct"/>
          </w:tcPr>
          <w:p w:rsidR="00596386" w:rsidRPr="00E47ECF" w:rsidRDefault="00596386" w:rsidP="00647923">
            <w:pPr>
              <w:spacing w:after="60" w:line="240" w:lineRule="atLeast"/>
              <w:rPr>
                <w:lang w:val="pt-BR"/>
              </w:rPr>
            </w:pPr>
            <w:r w:rsidRPr="00E47ECF">
              <w:rPr>
                <w:rFonts w:ascii="SegoeBook" w:hAnsi="SegoeBook"/>
                <w:szCs w:val="18"/>
                <w:lang w:val="pt-BR"/>
              </w:rPr>
              <w:t>Impacto crítico nos negócios:</w:t>
            </w:r>
          </w:p>
          <w:p w:rsidR="00596386" w:rsidRPr="00E47ECF" w:rsidRDefault="00596386" w:rsidP="00647923">
            <w:pPr>
              <w:spacing w:after="60" w:line="240" w:lineRule="atLeast"/>
              <w:rPr>
                <w:lang w:val="pt-BR"/>
              </w:rPr>
            </w:pPr>
            <w:r w:rsidRPr="00E47ECF">
              <w:rPr>
                <w:rFonts w:ascii="SegoeBook" w:hAnsi="SegoeBook"/>
                <w:szCs w:val="18"/>
                <w:lang w:val="pt-BR"/>
              </w:rPr>
              <w:t>Perda ou degradação significativa de serviços (aplicativo inativo)</w:t>
            </w:r>
          </w:p>
          <w:p w:rsidR="00596386" w:rsidRPr="00E47ECF" w:rsidRDefault="00596386" w:rsidP="00647923">
            <w:pPr>
              <w:spacing w:after="60" w:line="240" w:lineRule="atLeast"/>
              <w:rPr>
                <w:rFonts w:ascii="SegoeBook" w:hAnsi="SegoeBook"/>
                <w:szCs w:val="18"/>
                <w:lang w:val="pt-BR"/>
              </w:rPr>
            </w:pPr>
            <w:r w:rsidRPr="00E47ECF">
              <w:rPr>
                <w:rFonts w:ascii="SegoeBook" w:hAnsi="SegoeBook"/>
                <w:szCs w:val="18"/>
                <w:lang w:val="pt-BR"/>
              </w:rPr>
              <w:t>Necessita de atenção em 2 horas</w:t>
            </w:r>
          </w:p>
        </w:tc>
        <w:tc>
          <w:tcPr>
            <w:tcW w:w="1628" w:type="pct"/>
          </w:tcPr>
          <w:p w:rsidR="00596386" w:rsidRPr="00E47ECF" w:rsidRDefault="00596386" w:rsidP="00647923">
            <w:pPr>
              <w:spacing w:after="60" w:line="240" w:lineRule="atLeast"/>
              <w:rPr>
                <w:lang w:val="pt-BR"/>
              </w:rPr>
            </w:pPr>
            <w:r w:rsidRPr="00E47ECF">
              <w:rPr>
                <w:rFonts w:ascii="SegoeBook" w:hAnsi="SegoeBook"/>
                <w:szCs w:val="18"/>
                <w:lang w:val="pt-BR"/>
              </w:rPr>
              <w:t>1</w:t>
            </w:r>
            <w:r w:rsidRPr="00E47ECF">
              <w:rPr>
                <w:rFonts w:ascii="SegoeBook" w:hAnsi="SegoeBook"/>
                <w:szCs w:val="18"/>
                <w:vertAlign w:val="superscript"/>
                <w:lang w:val="pt-BR"/>
              </w:rPr>
              <w:t>ª</w:t>
            </w:r>
            <w:r w:rsidRPr="00E47ECF">
              <w:rPr>
                <w:rFonts w:ascii="SegoeBook" w:hAnsi="SegoeBook"/>
                <w:szCs w:val="18"/>
                <w:lang w:val="pt-BR"/>
              </w:rPr>
              <w:t xml:space="preserve"> resposta em 2 horas ou menos</w:t>
            </w:r>
          </w:p>
          <w:p w:rsidR="00596386" w:rsidRPr="00E47ECF" w:rsidRDefault="00596386" w:rsidP="00647923">
            <w:pPr>
              <w:spacing w:after="60" w:line="240" w:lineRule="atLeast"/>
              <w:rPr>
                <w:rFonts w:ascii="SegoeBook" w:hAnsi="SegoeBook"/>
                <w:szCs w:val="18"/>
                <w:lang w:val="pt-BR"/>
              </w:rPr>
            </w:pPr>
          </w:p>
        </w:tc>
      </w:tr>
      <w:tr w:rsidR="00596386" w:rsidRPr="002B5F9E" w:rsidTr="002A6416">
        <w:tc>
          <w:tcPr>
            <w:tcW w:w="779" w:type="pct"/>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B</w:t>
            </w:r>
          </w:p>
        </w:tc>
        <w:tc>
          <w:tcPr>
            <w:tcW w:w="1022" w:type="pct"/>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Solicitação pela Web</w:t>
            </w:r>
          </w:p>
        </w:tc>
        <w:tc>
          <w:tcPr>
            <w:tcW w:w="1571" w:type="pct"/>
          </w:tcPr>
          <w:p w:rsidR="00596386" w:rsidRPr="00E47ECF" w:rsidRDefault="00596386" w:rsidP="00647923">
            <w:pPr>
              <w:spacing w:after="60" w:line="240" w:lineRule="atLeast"/>
              <w:rPr>
                <w:lang w:val="pt-BR"/>
              </w:rPr>
            </w:pPr>
            <w:r w:rsidRPr="00E47ECF">
              <w:rPr>
                <w:rFonts w:ascii="SegoeBook" w:hAnsi="SegoeBook"/>
                <w:szCs w:val="18"/>
                <w:lang w:val="pt-BR"/>
              </w:rPr>
              <w:t xml:space="preserve">Impacto moderado nos negócios: </w:t>
            </w:r>
          </w:p>
          <w:p w:rsidR="00596386" w:rsidRPr="00E47ECF" w:rsidRDefault="00596386" w:rsidP="00647923">
            <w:pPr>
              <w:spacing w:line="240" w:lineRule="atLeast"/>
              <w:rPr>
                <w:lang w:val="pt-BR"/>
              </w:rPr>
            </w:pPr>
            <w:r w:rsidRPr="00E47ECF">
              <w:rPr>
                <w:rFonts w:ascii="SegoeBook" w:hAnsi="SegoeBook"/>
                <w:szCs w:val="18"/>
                <w:lang w:val="pt-BR"/>
              </w:rPr>
              <w:t>Perda ou degradação moderada dos serviços, mas o trabalho pode razoavelmente continuar de maneira prejudicada</w:t>
            </w:r>
          </w:p>
          <w:p w:rsidR="00596386" w:rsidRPr="00E47ECF" w:rsidRDefault="00596386" w:rsidP="00647923">
            <w:pPr>
              <w:spacing w:after="60" w:line="240" w:lineRule="atLeast"/>
              <w:rPr>
                <w:rFonts w:ascii="SegoeBook" w:hAnsi="SegoeBook"/>
                <w:szCs w:val="18"/>
                <w:lang w:val="pt-BR"/>
              </w:rPr>
            </w:pPr>
            <w:r w:rsidRPr="00E47ECF">
              <w:rPr>
                <w:rFonts w:ascii="SegoeBook" w:hAnsi="SegoeBook"/>
                <w:szCs w:val="18"/>
                <w:lang w:val="pt-BR"/>
              </w:rPr>
              <w:t>Necessita de atenção em 4 horas</w:t>
            </w:r>
          </w:p>
        </w:tc>
        <w:tc>
          <w:tcPr>
            <w:tcW w:w="1628" w:type="pct"/>
          </w:tcPr>
          <w:p w:rsidR="00596386" w:rsidRPr="00E47ECF" w:rsidRDefault="00596386" w:rsidP="00647923">
            <w:pPr>
              <w:spacing w:line="240" w:lineRule="atLeast"/>
              <w:rPr>
                <w:lang w:val="pt-BR"/>
              </w:rPr>
            </w:pPr>
            <w:r w:rsidRPr="00E47ECF">
              <w:rPr>
                <w:rFonts w:ascii="SegoeBook" w:hAnsi="SegoeBook"/>
                <w:szCs w:val="18"/>
                <w:lang w:val="pt-BR"/>
              </w:rPr>
              <w:t>1</w:t>
            </w:r>
            <w:r w:rsidRPr="00E47ECF">
              <w:rPr>
                <w:rFonts w:ascii="SegoeBook" w:hAnsi="SegoeBook"/>
                <w:szCs w:val="18"/>
                <w:vertAlign w:val="superscript"/>
                <w:lang w:val="pt-BR"/>
              </w:rPr>
              <w:t>ª</w:t>
            </w:r>
            <w:r w:rsidRPr="00E47ECF">
              <w:rPr>
                <w:rFonts w:ascii="SegoeBook" w:hAnsi="SegoeBook"/>
                <w:szCs w:val="18"/>
                <w:lang w:val="pt-BR"/>
              </w:rPr>
              <w:t xml:space="preserve"> resposta em 4 horas ou menos</w:t>
            </w:r>
          </w:p>
          <w:p w:rsidR="00596386" w:rsidRPr="00E47ECF" w:rsidRDefault="00596386" w:rsidP="00647923">
            <w:pPr>
              <w:spacing w:after="60" w:line="240" w:lineRule="atLeast"/>
              <w:rPr>
                <w:rFonts w:ascii="SegoeBook" w:hAnsi="SegoeBook"/>
                <w:szCs w:val="18"/>
                <w:lang w:val="pt-BR"/>
              </w:rPr>
            </w:pPr>
          </w:p>
        </w:tc>
      </w:tr>
      <w:tr w:rsidR="00596386" w:rsidRPr="002B5F9E" w:rsidTr="002A6416">
        <w:tc>
          <w:tcPr>
            <w:tcW w:w="779" w:type="pct"/>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C</w:t>
            </w:r>
          </w:p>
        </w:tc>
        <w:tc>
          <w:tcPr>
            <w:tcW w:w="1022" w:type="pct"/>
          </w:tcPr>
          <w:p w:rsidR="00596386" w:rsidRPr="00416070" w:rsidRDefault="00596386" w:rsidP="00647923">
            <w:pPr>
              <w:spacing w:after="60" w:line="240" w:lineRule="atLeast"/>
              <w:jc w:val="center"/>
              <w:rPr>
                <w:rFonts w:ascii="SegoeBook" w:hAnsi="SegoeBook"/>
                <w:szCs w:val="18"/>
              </w:rPr>
            </w:pPr>
            <w:r w:rsidRPr="00416070">
              <w:rPr>
                <w:rFonts w:ascii="SegoeBook" w:hAnsi="SegoeBook"/>
                <w:szCs w:val="18"/>
              </w:rPr>
              <w:t>Solicitação pela Web</w:t>
            </w:r>
          </w:p>
        </w:tc>
        <w:tc>
          <w:tcPr>
            <w:tcW w:w="1571" w:type="pct"/>
          </w:tcPr>
          <w:p w:rsidR="00596386" w:rsidRPr="00E47ECF" w:rsidRDefault="00596386" w:rsidP="00647923">
            <w:pPr>
              <w:rPr>
                <w:lang w:val="pt-BR"/>
              </w:rPr>
            </w:pPr>
            <w:r w:rsidRPr="00E47ECF">
              <w:rPr>
                <w:rFonts w:ascii="SegoeBook" w:hAnsi="SegoeBook"/>
                <w:szCs w:val="18"/>
                <w:lang w:val="pt-BR"/>
              </w:rPr>
              <w:t>Impacto mínimo nos negócios:</w:t>
            </w:r>
          </w:p>
          <w:p w:rsidR="00596386" w:rsidRPr="00E47ECF" w:rsidRDefault="00596386" w:rsidP="00647923">
            <w:pPr>
              <w:rPr>
                <w:lang w:val="pt-BR"/>
              </w:rPr>
            </w:pPr>
            <w:r w:rsidRPr="00E47ECF">
              <w:rPr>
                <w:rFonts w:ascii="SegoeBook" w:hAnsi="SegoeBook"/>
                <w:szCs w:val="18"/>
                <w:lang w:val="pt-BR"/>
              </w:rPr>
              <w:t>Funcionamento de forma substancial, com poucos ou nenhum impedimento dos serviços</w:t>
            </w:r>
          </w:p>
          <w:p w:rsidR="00596386" w:rsidRPr="00E47ECF" w:rsidRDefault="00596386" w:rsidP="00647923">
            <w:pPr>
              <w:spacing w:after="60" w:line="240" w:lineRule="atLeast"/>
              <w:rPr>
                <w:rFonts w:ascii="SegoeBook" w:hAnsi="SegoeBook"/>
                <w:szCs w:val="18"/>
                <w:lang w:val="pt-BR"/>
              </w:rPr>
            </w:pPr>
            <w:r w:rsidRPr="00E47ECF">
              <w:rPr>
                <w:rFonts w:ascii="SegoeBook" w:hAnsi="SegoeBook"/>
                <w:szCs w:val="18"/>
                <w:lang w:val="pt-BR"/>
              </w:rPr>
              <w:t>Necessita de atenção em 8 horas</w:t>
            </w:r>
          </w:p>
        </w:tc>
        <w:tc>
          <w:tcPr>
            <w:tcW w:w="1628" w:type="pct"/>
          </w:tcPr>
          <w:p w:rsidR="00596386" w:rsidRPr="00E47ECF" w:rsidRDefault="00596386" w:rsidP="00647923">
            <w:pPr>
              <w:rPr>
                <w:lang w:val="pt-BR"/>
              </w:rPr>
            </w:pPr>
            <w:r w:rsidRPr="00E47ECF">
              <w:rPr>
                <w:rFonts w:ascii="SegoeBook" w:hAnsi="SegoeBook"/>
                <w:szCs w:val="18"/>
                <w:lang w:val="pt-BR"/>
              </w:rPr>
              <w:t>1</w:t>
            </w:r>
            <w:r w:rsidRPr="00E47ECF">
              <w:rPr>
                <w:rFonts w:ascii="SegoeBook" w:hAnsi="SegoeBook"/>
                <w:szCs w:val="18"/>
                <w:vertAlign w:val="superscript"/>
                <w:lang w:val="pt-BR"/>
              </w:rPr>
              <w:t>ª</w:t>
            </w:r>
            <w:r w:rsidRPr="00E47ECF">
              <w:rPr>
                <w:rFonts w:ascii="SegoeBook" w:hAnsi="SegoeBook"/>
                <w:szCs w:val="18"/>
                <w:lang w:val="pt-BR"/>
              </w:rPr>
              <w:t xml:space="preserve"> resposta em 8 horas ou menos</w:t>
            </w:r>
          </w:p>
          <w:p w:rsidR="00596386" w:rsidRPr="00E47ECF" w:rsidRDefault="00596386" w:rsidP="00647923">
            <w:pPr>
              <w:spacing w:line="240" w:lineRule="atLeast"/>
              <w:rPr>
                <w:rFonts w:ascii="SegoeBook" w:hAnsi="SegoeBook"/>
                <w:szCs w:val="18"/>
                <w:lang w:val="pt-BR"/>
              </w:rPr>
            </w:pPr>
          </w:p>
        </w:tc>
      </w:tr>
    </w:tbl>
    <w:p w:rsidR="00596386" w:rsidRPr="00E47ECF" w:rsidRDefault="00596386" w:rsidP="00596386">
      <w:pPr>
        <w:rPr>
          <w:szCs w:val="18"/>
          <w:lang w:val="pt-BR"/>
        </w:rPr>
      </w:pPr>
    </w:p>
    <w:p w:rsidR="00596386" w:rsidRPr="00E47ECF" w:rsidRDefault="00596386" w:rsidP="00596386">
      <w:pPr>
        <w:tabs>
          <w:tab w:val="left" w:pos="360"/>
        </w:tabs>
        <w:jc w:val="both"/>
        <w:rPr>
          <w:lang w:val="pt-BR"/>
        </w:rPr>
      </w:pPr>
      <w:r w:rsidRPr="00E47ECF">
        <w:rPr>
          <w:rFonts w:cs="Arial"/>
          <w:snapToGrid w:val="0"/>
          <w:color w:val="000000"/>
          <w:szCs w:val="18"/>
          <w:lang w:val="pt-BR"/>
        </w:rPr>
        <w:t>Os clientes podem optar por receber um retorno de chamada da Microsoft em até 3 incidentes por mês.</w:t>
      </w:r>
      <w:r w:rsidR="00FB5496" w:rsidRPr="00E47ECF">
        <w:rPr>
          <w:rFonts w:cs="Arial"/>
          <w:snapToGrid w:val="0"/>
          <w:color w:val="000000"/>
          <w:szCs w:val="18"/>
          <w:lang w:val="pt-BR"/>
        </w:rPr>
        <w:t xml:space="preserve"> </w:t>
      </w:r>
      <w:r w:rsidRPr="00E47ECF">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p>
    <w:p w:rsidR="00596386" w:rsidRPr="00E47ECF" w:rsidRDefault="00596386" w:rsidP="00596386">
      <w:pPr>
        <w:tabs>
          <w:tab w:val="left" w:pos="360"/>
        </w:tabs>
        <w:jc w:val="both"/>
        <w:rPr>
          <w:lang w:val="pt-BR"/>
        </w:rPr>
      </w:pPr>
    </w:p>
    <w:p w:rsidR="00596386" w:rsidRPr="00E47ECF" w:rsidRDefault="00596386" w:rsidP="00596386">
      <w:pPr>
        <w:tabs>
          <w:tab w:val="left" w:pos="360"/>
        </w:tabs>
        <w:jc w:val="both"/>
        <w:rPr>
          <w:lang w:val="pt-BR"/>
        </w:rPr>
      </w:pPr>
      <w:r w:rsidRPr="00E47ECF">
        <w:rPr>
          <w:rFonts w:cs="Arial"/>
          <w:b/>
          <w:sz w:val="24"/>
          <w:szCs w:val="18"/>
          <w:lang w:val="pt-BR"/>
        </w:rPr>
        <w:t>Suporte ao Desenvolvedor para Windows Azure</w:t>
      </w:r>
    </w:p>
    <w:p w:rsidR="00596386" w:rsidRPr="00E47ECF" w:rsidRDefault="00596386" w:rsidP="00596386">
      <w:pPr>
        <w:tabs>
          <w:tab w:val="left" w:pos="360"/>
        </w:tabs>
        <w:jc w:val="both"/>
        <w:rPr>
          <w:b/>
          <w:lang w:val="pt-BR"/>
        </w:rPr>
      </w:pPr>
    </w:p>
    <w:p w:rsidR="00596386" w:rsidRPr="00E47ECF" w:rsidRDefault="00596386" w:rsidP="00596386">
      <w:pPr>
        <w:rPr>
          <w:lang w:val="pt-BR"/>
        </w:rPr>
      </w:pPr>
      <w:r w:rsidRPr="00E47ECF">
        <w:rPr>
          <w:szCs w:val="18"/>
          <w:lang w:val="pt-BR"/>
        </w:rPr>
        <w:t xml:space="preserve">A Microsoft assumirá como padrão o nível de gravidade de todos os Incidentes enviados como Gravidade C. </w:t>
      </w:r>
      <w:r w:rsidR="007009C5" w:rsidRPr="00E47ECF">
        <w:rPr>
          <w:szCs w:val="18"/>
          <w:lang w:val="pt-BR"/>
        </w:rPr>
        <w:br/>
      </w:r>
      <w:r w:rsidRPr="00E47ECF">
        <w:rPr>
          <w:szCs w:val="18"/>
          <w:lang w:val="pt-BR"/>
        </w:rPr>
        <w:t>A gravidade do incidente determinará os níveis de resposta na Microsoft e o tempo estimado de resposta, conforme</w:t>
      </w:r>
      <w:r w:rsidR="007009C5" w:rsidRPr="00E47ECF">
        <w:rPr>
          <w:szCs w:val="18"/>
          <w:lang w:val="pt-BR"/>
        </w:rPr>
        <w:t> </w:t>
      </w:r>
      <w:r w:rsidRPr="00E47ECF">
        <w:rPr>
          <w:szCs w:val="18"/>
          <w:lang w:val="pt-BR"/>
        </w:rPr>
        <w:t>estabelecido na tabela abaixo.</w:t>
      </w:r>
      <w:r w:rsidR="00FB5496" w:rsidRPr="00E47ECF">
        <w:rPr>
          <w:szCs w:val="18"/>
          <w:lang w:val="pt-BR"/>
        </w:rPr>
        <w:t xml:space="preserve"> </w:t>
      </w:r>
      <w:r w:rsidRPr="00E47ECF">
        <w:rPr>
          <w:szCs w:val="18"/>
          <w:lang w:val="pt-BR"/>
        </w:rPr>
        <w:t>A capacidade de a Microsoft prestar os serviços depende da inteira e</w:t>
      </w:r>
      <w:r w:rsidR="007009C5" w:rsidRPr="00E47ECF">
        <w:rPr>
          <w:szCs w:val="18"/>
          <w:lang w:val="pt-BR"/>
        </w:rPr>
        <w:t> </w:t>
      </w:r>
      <w:r w:rsidRPr="00E47ECF">
        <w:rPr>
          <w:szCs w:val="18"/>
          <w:lang w:val="pt-BR"/>
        </w:rPr>
        <w:t>pontual cooperação desta, bem como da precisão e da integridade das informações fornecidas ao cliente.</w:t>
      </w:r>
    </w:p>
    <w:p w:rsidR="00596386" w:rsidRPr="00E47ECF" w:rsidRDefault="00596386" w:rsidP="00596386">
      <w:pPr>
        <w:rPr>
          <w:lang w:val="pt-BR"/>
        </w:rPr>
      </w:pPr>
    </w:p>
    <w:p w:rsidR="007B1A45" w:rsidRPr="00E47ECF" w:rsidRDefault="007B1A45" w:rsidP="00596386">
      <w:pPr>
        <w:rPr>
          <w:lang w:val="pt-BR"/>
        </w:rPr>
      </w:pPr>
    </w:p>
    <w:p w:rsidR="007B1A45" w:rsidRPr="00E47ECF" w:rsidRDefault="007B1A45" w:rsidP="00596386">
      <w:pPr>
        <w:rPr>
          <w:lang w:val="pt-BR"/>
        </w:rPr>
      </w:pPr>
    </w:p>
    <w:p w:rsidR="007B1A45" w:rsidRPr="00E47ECF" w:rsidRDefault="007B1A45" w:rsidP="00596386">
      <w:pPr>
        <w:rPr>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833"/>
      </w:tblGrid>
      <w:tr w:rsidR="00596386" w:rsidRPr="00416070" w:rsidTr="002A6416">
        <w:tc>
          <w:tcPr>
            <w:tcW w:w="769" w:type="pct"/>
            <w:shd w:val="clear" w:color="auto" w:fill="FABF8F"/>
          </w:tcPr>
          <w:p w:rsidR="00596386" w:rsidRPr="00416070" w:rsidRDefault="00596386" w:rsidP="0037031E">
            <w:pPr>
              <w:jc w:val="center"/>
              <w:rPr>
                <w:rFonts w:cs="Tahoma"/>
                <w:b/>
                <w:bCs/>
                <w:color w:val="000000"/>
                <w:sz w:val="20"/>
                <w:szCs w:val="18"/>
              </w:rPr>
            </w:pPr>
            <w:r w:rsidRPr="00416070">
              <w:rPr>
                <w:rFonts w:cs="Tahoma"/>
                <w:b/>
                <w:bCs/>
                <w:color w:val="000000"/>
                <w:sz w:val="20"/>
                <w:szCs w:val="18"/>
              </w:rPr>
              <w:lastRenderedPageBreak/>
              <w:t>Severidade</w:t>
            </w:r>
          </w:p>
        </w:tc>
        <w:tc>
          <w:tcPr>
            <w:tcW w:w="1007" w:type="pct"/>
            <w:shd w:val="clear" w:color="auto" w:fill="FABF8F"/>
          </w:tcPr>
          <w:p w:rsidR="00596386" w:rsidRPr="00416070" w:rsidRDefault="00596386" w:rsidP="0037031E">
            <w:pPr>
              <w:jc w:val="center"/>
              <w:rPr>
                <w:rFonts w:cs="Tahoma"/>
                <w:b/>
                <w:bCs/>
                <w:color w:val="000000"/>
                <w:sz w:val="20"/>
                <w:szCs w:val="18"/>
              </w:rPr>
            </w:pPr>
            <w:r w:rsidRPr="00416070">
              <w:rPr>
                <w:rFonts w:cs="Tahoma"/>
                <w:b/>
                <w:bCs/>
                <w:color w:val="000000"/>
                <w:sz w:val="20"/>
                <w:szCs w:val="18"/>
              </w:rPr>
              <w:t>Contato</w:t>
            </w:r>
          </w:p>
        </w:tc>
        <w:tc>
          <w:tcPr>
            <w:tcW w:w="1745" w:type="pct"/>
            <w:shd w:val="clear" w:color="auto" w:fill="FABF8F"/>
          </w:tcPr>
          <w:p w:rsidR="00596386" w:rsidRPr="00416070" w:rsidRDefault="00596386" w:rsidP="0037031E">
            <w:pPr>
              <w:jc w:val="center"/>
              <w:rPr>
                <w:rFonts w:cs="Tahoma"/>
                <w:b/>
                <w:bCs/>
                <w:color w:val="000000"/>
                <w:sz w:val="20"/>
                <w:szCs w:val="18"/>
              </w:rPr>
            </w:pPr>
            <w:r w:rsidRPr="00416070">
              <w:rPr>
                <w:rFonts w:cs="Tahoma"/>
                <w:b/>
                <w:bCs/>
                <w:color w:val="000000"/>
                <w:sz w:val="20"/>
                <w:szCs w:val="18"/>
              </w:rPr>
              <w:t>Situação do Cliente</w:t>
            </w:r>
          </w:p>
        </w:tc>
        <w:tc>
          <w:tcPr>
            <w:tcW w:w="1479" w:type="pct"/>
            <w:shd w:val="clear" w:color="auto" w:fill="FABF8F"/>
          </w:tcPr>
          <w:p w:rsidR="00596386" w:rsidRPr="00416070" w:rsidRDefault="00596386" w:rsidP="007B1A45">
            <w:pPr>
              <w:jc w:val="center"/>
              <w:rPr>
                <w:rFonts w:cs="Tahoma"/>
                <w:b/>
                <w:bCs/>
                <w:color w:val="000000"/>
                <w:sz w:val="20"/>
                <w:szCs w:val="18"/>
              </w:rPr>
            </w:pPr>
            <w:r w:rsidRPr="00416070">
              <w:rPr>
                <w:rFonts w:cs="Tahoma"/>
                <w:b/>
                <w:bCs/>
                <w:color w:val="000000"/>
                <w:sz w:val="20"/>
                <w:szCs w:val="18"/>
              </w:rPr>
              <w:t>Resposta Esperada da</w:t>
            </w:r>
            <w:r w:rsidR="007B1A45" w:rsidRPr="00416070">
              <w:rPr>
                <w:rFonts w:cs="Tahoma"/>
                <w:b/>
                <w:bCs/>
                <w:color w:val="000000"/>
                <w:sz w:val="20"/>
                <w:szCs w:val="18"/>
              </w:rPr>
              <w:t> </w:t>
            </w:r>
            <w:r w:rsidRPr="00416070">
              <w:rPr>
                <w:rFonts w:cs="Tahoma"/>
                <w:b/>
                <w:bCs/>
                <w:color w:val="000000"/>
                <w:sz w:val="20"/>
                <w:szCs w:val="18"/>
              </w:rPr>
              <w:t>Microsoft</w:t>
            </w:r>
          </w:p>
        </w:tc>
      </w:tr>
      <w:tr w:rsidR="00596386" w:rsidRPr="002B5F9E" w:rsidTr="002A6416">
        <w:tc>
          <w:tcPr>
            <w:tcW w:w="769" w:type="pct"/>
          </w:tcPr>
          <w:p w:rsidR="00596386" w:rsidRPr="00E47ECF" w:rsidRDefault="00596386" w:rsidP="00647923">
            <w:pPr>
              <w:spacing w:after="60" w:line="240" w:lineRule="atLeast"/>
              <w:jc w:val="center"/>
              <w:rPr>
                <w:lang w:val="pt-BR"/>
              </w:rPr>
            </w:pPr>
            <w:r w:rsidRPr="00E47ECF">
              <w:rPr>
                <w:rFonts w:cs="Tahoma"/>
                <w:szCs w:val="18"/>
                <w:lang w:val="pt-BR"/>
              </w:rPr>
              <w:t>C</w:t>
            </w:r>
          </w:p>
          <w:p w:rsidR="00596386" w:rsidRPr="00E47ECF" w:rsidRDefault="00596386" w:rsidP="00647923">
            <w:pPr>
              <w:spacing w:after="60" w:line="240" w:lineRule="atLeast"/>
              <w:jc w:val="center"/>
              <w:rPr>
                <w:rFonts w:cs="Tahoma"/>
                <w:szCs w:val="18"/>
                <w:lang w:val="pt-BR"/>
              </w:rPr>
            </w:pPr>
            <w:r w:rsidRPr="00E47ECF">
              <w:rPr>
                <w:rFonts w:cs="Tahoma"/>
                <w:szCs w:val="18"/>
                <w:lang w:val="pt-BR"/>
              </w:rPr>
              <w:t>(Todos os casos assumirão como padrão a Severidade C)</w:t>
            </w:r>
          </w:p>
        </w:tc>
        <w:tc>
          <w:tcPr>
            <w:tcW w:w="1007" w:type="pct"/>
          </w:tcPr>
          <w:p w:rsidR="00596386" w:rsidRPr="00416070" w:rsidRDefault="00596386" w:rsidP="00647923">
            <w:pPr>
              <w:spacing w:after="60" w:line="240" w:lineRule="atLeast"/>
              <w:jc w:val="center"/>
              <w:rPr>
                <w:rFonts w:cs="Tahoma"/>
                <w:szCs w:val="18"/>
              </w:rPr>
            </w:pPr>
            <w:r w:rsidRPr="00416070">
              <w:rPr>
                <w:rFonts w:cs="Tahoma"/>
                <w:szCs w:val="18"/>
              </w:rPr>
              <w:t>Solicitação pela Web</w:t>
            </w:r>
          </w:p>
        </w:tc>
        <w:tc>
          <w:tcPr>
            <w:tcW w:w="1745" w:type="pct"/>
          </w:tcPr>
          <w:p w:rsidR="00596386" w:rsidRPr="00E47ECF" w:rsidRDefault="00596386" w:rsidP="00647923">
            <w:pPr>
              <w:rPr>
                <w:lang w:val="pt-BR"/>
              </w:rPr>
            </w:pPr>
            <w:r w:rsidRPr="00E47ECF">
              <w:rPr>
                <w:rFonts w:cs="Tahoma"/>
                <w:szCs w:val="18"/>
                <w:lang w:val="pt-BR"/>
              </w:rPr>
              <w:t>Impacto mínimo nos negócios:</w:t>
            </w:r>
          </w:p>
          <w:p w:rsidR="00596386" w:rsidRPr="00E47ECF" w:rsidRDefault="00596386" w:rsidP="00647923">
            <w:pPr>
              <w:rPr>
                <w:lang w:val="pt-BR"/>
              </w:rPr>
            </w:pPr>
            <w:r w:rsidRPr="00E47ECF">
              <w:rPr>
                <w:rFonts w:cs="Tahoma"/>
                <w:szCs w:val="18"/>
                <w:lang w:val="pt-BR"/>
              </w:rPr>
              <w:t>Funcionamento de forma substancial, com poucos ou nenhum impedimento dos serviços</w:t>
            </w:r>
          </w:p>
          <w:p w:rsidR="00596386" w:rsidRPr="00E47ECF" w:rsidRDefault="00596386" w:rsidP="00647923">
            <w:pPr>
              <w:spacing w:after="60" w:line="240" w:lineRule="atLeast"/>
              <w:rPr>
                <w:rFonts w:cs="Tahoma"/>
                <w:szCs w:val="18"/>
                <w:lang w:val="pt-BR"/>
              </w:rPr>
            </w:pPr>
            <w:r w:rsidRPr="00E47ECF">
              <w:rPr>
                <w:rFonts w:cs="Tahoma"/>
                <w:szCs w:val="18"/>
                <w:lang w:val="pt-BR"/>
              </w:rPr>
              <w:t>Necessita de atenção em 8 horas</w:t>
            </w:r>
          </w:p>
        </w:tc>
        <w:tc>
          <w:tcPr>
            <w:tcW w:w="1479" w:type="pct"/>
          </w:tcPr>
          <w:p w:rsidR="00596386" w:rsidRPr="00E47ECF" w:rsidRDefault="00596386" w:rsidP="00647923">
            <w:pPr>
              <w:rPr>
                <w:lang w:val="pt-BR"/>
              </w:rPr>
            </w:pPr>
            <w:r w:rsidRPr="00E47ECF">
              <w:rPr>
                <w:rFonts w:cs="Tahoma"/>
                <w:szCs w:val="18"/>
                <w:lang w:val="pt-BR"/>
              </w:rPr>
              <w:t>1</w:t>
            </w:r>
            <w:r w:rsidRPr="00E47ECF">
              <w:rPr>
                <w:rFonts w:cs="Tahoma"/>
                <w:szCs w:val="18"/>
                <w:vertAlign w:val="superscript"/>
                <w:lang w:val="pt-BR"/>
              </w:rPr>
              <w:t>ª</w:t>
            </w:r>
            <w:r w:rsidRPr="00E47ECF">
              <w:rPr>
                <w:rFonts w:cs="Tahoma"/>
                <w:szCs w:val="18"/>
                <w:lang w:val="pt-BR"/>
              </w:rPr>
              <w:t xml:space="preserve"> resposta em 8 horas ou</w:t>
            </w:r>
            <w:r w:rsidR="007B1A45" w:rsidRPr="00E47ECF">
              <w:rPr>
                <w:rFonts w:cs="Tahoma"/>
                <w:szCs w:val="18"/>
                <w:lang w:val="pt-BR"/>
              </w:rPr>
              <w:t> </w:t>
            </w:r>
            <w:r w:rsidRPr="00E47ECF">
              <w:rPr>
                <w:rFonts w:cs="Tahoma"/>
                <w:szCs w:val="18"/>
                <w:lang w:val="pt-BR"/>
              </w:rPr>
              <w:t>menos</w:t>
            </w:r>
          </w:p>
          <w:p w:rsidR="00596386" w:rsidRPr="00E47ECF" w:rsidRDefault="00596386" w:rsidP="00647923">
            <w:pPr>
              <w:spacing w:line="240" w:lineRule="atLeast"/>
              <w:rPr>
                <w:rFonts w:cs="Tahoma"/>
                <w:szCs w:val="18"/>
                <w:lang w:val="pt-BR"/>
              </w:rPr>
            </w:pPr>
          </w:p>
        </w:tc>
      </w:tr>
    </w:tbl>
    <w:p w:rsidR="00596386" w:rsidRPr="00E47ECF" w:rsidRDefault="00596386" w:rsidP="00596386">
      <w:pPr>
        <w:rPr>
          <w:lang w:val="pt-BR"/>
        </w:rPr>
      </w:pPr>
    </w:p>
    <w:p w:rsidR="00596386" w:rsidRPr="00E47ECF" w:rsidRDefault="00596386" w:rsidP="00596386">
      <w:pPr>
        <w:tabs>
          <w:tab w:val="left" w:pos="360"/>
        </w:tabs>
        <w:jc w:val="both"/>
        <w:rPr>
          <w:lang w:val="pt-BR"/>
        </w:rPr>
      </w:pPr>
      <w:r w:rsidRPr="00E47ECF">
        <w:rPr>
          <w:rFonts w:cs="Arial"/>
          <w:snapToGrid w:val="0"/>
          <w:color w:val="000000"/>
          <w:szCs w:val="18"/>
          <w:lang w:val="pt-BR"/>
        </w:rPr>
        <w:t>A equipe de Suporte do Windows Azure trabalhará com clientes para solucionar o problema e ajudar a resolver os Incidentes pelos canais online (por exemplo, por email ou portal do Windows Azure).</w:t>
      </w:r>
      <w:r w:rsidR="00FB5496" w:rsidRPr="00E47ECF">
        <w:rPr>
          <w:rFonts w:cs="Arial"/>
          <w:snapToGrid w:val="0"/>
          <w:color w:val="000000"/>
          <w:szCs w:val="18"/>
          <w:lang w:val="pt-BR"/>
        </w:rPr>
        <w:t xml:space="preserve"> </w:t>
      </w:r>
      <w:r w:rsidRPr="00E47ECF">
        <w:rPr>
          <w:rFonts w:cs="Arial"/>
          <w:snapToGrid w:val="0"/>
          <w:color w:val="000000"/>
          <w:szCs w:val="18"/>
          <w:lang w:val="pt-BR"/>
        </w:rPr>
        <w:t>A equipe de Suporte do Windows Azure poderá contatar o cliente pelo número de telefone fornecido pelo cliente, se necessário, para resolver um Incidente.</w:t>
      </w:r>
    </w:p>
    <w:p w:rsidR="00596386" w:rsidRPr="00E47ECF" w:rsidRDefault="00596386" w:rsidP="00DD7F8E">
      <w:pPr>
        <w:rPr>
          <w:lang w:val="pt-BR"/>
        </w:rPr>
      </w:pPr>
    </w:p>
    <w:p w:rsidR="00DD7F8E" w:rsidRPr="00E47ECF" w:rsidRDefault="00DD7F8E" w:rsidP="00DD7F8E">
      <w:pPr>
        <w:rPr>
          <w:lang w:val="pt-BR"/>
        </w:rPr>
      </w:pPr>
      <w:r w:rsidRPr="00E47ECF">
        <w:rPr>
          <w:b/>
          <w:sz w:val="24"/>
          <w:szCs w:val="24"/>
          <w:lang w:val="pt-BR"/>
        </w:rPr>
        <w:t>Ofertas do Programa Microsoft Enterprise Strategy</w:t>
      </w:r>
    </w:p>
    <w:p w:rsidR="00DD7F8E" w:rsidRPr="00E47ECF" w:rsidRDefault="00DD7F8E" w:rsidP="00DD7F8E">
      <w:pPr>
        <w:rPr>
          <w:lang w:val="pt-BR"/>
        </w:rPr>
      </w:pPr>
    </w:p>
    <w:p w:rsidR="00DD7F8E" w:rsidRPr="00E47ECF" w:rsidRDefault="00DD7F8E" w:rsidP="006D6BED">
      <w:pPr>
        <w:widowControl w:val="0"/>
        <w:tabs>
          <w:tab w:val="left" w:pos="720"/>
          <w:tab w:val="left" w:pos="1170"/>
        </w:tabs>
        <w:spacing w:after="60"/>
        <w:rPr>
          <w:lang w:val="pt-BR"/>
        </w:rPr>
      </w:pPr>
      <w:r w:rsidRPr="00E47ECF">
        <w:rPr>
          <w:rFonts w:cs="Arial"/>
          <w:b/>
          <w:bCs/>
          <w:szCs w:val="18"/>
          <w:lang w:val="pt-BR"/>
        </w:rPr>
        <w:t>Visão Geral do Programa Enterprise Strategy</w:t>
      </w:r>
    </w:p>
    <w:p w:rsidR="00DD7F8E" w:rsidRPr="00E47ECF" w:rsidRDefault="00DD7F8E" w:rsidP="006D6BED">
      <w:pPr>
        <w:rPr>
          <w:lang w:val="pt-BR"/>
        </w:rPr>
      </w:pPr>
      <w:r w:rsidRPr="00E47ECF">
        <w:rPr>
          <w:rFonts w:cs="Arial"/>
          <w:lang w:val="pt-BR"/>
        </w:rPr>
        <w:t>O Programa Enterprise Strategy para o Contrato Microsoft Enterprise oferece aos clientes a consultoria de um</w:t>
      </w:r>
      <w:r w:rsidR="007B1A45" w:rsidRPr="00E47ECF">
        <w:rPr>
          <w:rFonts w:cs="Arial"/>
          <w:lang w:val="pt-BR"/>
        </w:rPr>
        <w:t> </w:t>
      </w:r>
      <w:r w:rsidRPr="00E47ECF">
        <w:rPr>
          <w:rFonts w:cs="Arial"/>
          <w:lang w:val="pt-BR"/>
        </w:rPr>
        <w:t>Arquitetos Microsoft Enterprise sobre como acelerar o tempo de adoção da tecnologia e como planejar uma</w:t>
      </w:r>
      <w:r w:rsidR="007B1A45" w:rsidRPr="00E47ECF">
        <w:rPr>
          <w:rFonts w:cs="Arial"/>
          <w:lang w:val="pt-BR"/>
        </w:rPr>
        <w:t> </w:t>
      </w:r>
      <w:r w:rsidRPr="00E47ECF">
        <w:rPr>
          <w:rFonts w:cs="Arial"/>
          <w:lang w:val="pt-BR"/>
        </w:rPr>
        <w:t>alteração</w:t>
      </w:r>
      <w:r w:rsidR="007B1A45" w:rsidRPr="00E47ECF">
        <w:rPr>
          <w:rFonts w:cs="Arial"/>
          <w:lang w:val="pt-BR"/>
        </w:rPr>
        <w:t> </w:t>
      </w:r>
      <w:r w:rsidRPr="00E47ECF">
        <w:rPr>
          <w:rFonts w:cs="Arial"/>
          <w:lang w:val="pt-BR"/>
        </w:rPr>
        <w:t xml:space="preserve">significativa para valorizar seu investimento feito nas tecnologias e nos produtos da Microsoft. Cronogramas, datas e programações de entrega são apenas estimativas e estão sujeitos a alterações. </w:t>
      </w:r>
    </w:p>
    <w:p w:rsidR="00DD7F8E" w:rsidRPr="00E47ECF" w:rsidRDefault="00DD7F8E" w:rsidP="006D6BED">
      <w:pPr>
        <w:rPr>
          <w:lang w:val="pt-BR"/>
        </w:rPr>
      </w:pPr>
    </w:p>
    <w:p w:rsidR="0064651F" w:rsidRPr="00E47ECF" w:rsidRDefault="00DD7F8E" w:rsidP="006D6BED">
      <w:pPr>
        <w:rPr>
          <w:lang w:val="pt-BR"/>
        </w:rPr>
      </w:pPr>
      <w:r w:rsidRPr="00E47ECF">
        <w:rPr>
          <w:rFonts w:cs="Arial"/>
          <w:lang w:val="pt-BR"/>
        </w:rPr>
        <w:t>As ofertas do Programa Enterprise Strategy contêm os seguintes componentes, que serão fornecidos para cada ano do Contrato Enterprise do Cliente:</w:t>
      </w:r>
    </w:p>
    <w:p w:rsidR="00DD7F8E" w:rsidRPr="00E47ECF" w:rsidRDefault="00DD7F8E" w:rsidP="006D6BED">
      <w:pPr>
        <w:rPr>
          <w:lang w:val="pt-BR"/>
        </w:rPr>
      </w:pPr>
    </w:p>
    <w:p w:rsidR="00FD27BC" w:rsidRPr="00E47ECF" w:rsidRDefault="00FD27BC" w:rsidP="006D6BED">
      <w:pPr>
        <w:rPr>
          <w:lang w:val="pt-BR"/>
        </w:rPr>
      </w:pPr>
      <w:bookmarkStart w:id="971" w:name="OLE_LINK5"/>
      <w:bookmarkStart w:id="972"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416070" w:rsidTr="002A6416">
        <w:tc>
          <w:tcPr>
            <w:tcW w:w="2555" w:type="dxa"/>
            <w:shd w:val="clear" w:color="auto" w:fill="FABF8F"/>
            <w:vAlign w:val="center"/>
          </w:tcPr>
          <w:p w:rsidR="00FD27BC" w:rsidRPr="00416070" w:rsidRDefault="00FD27BC" w:rsidP="00FD27BC">
            <w:pPr>
              <w:jc w:val="center"/>
              <w:rPr>
                <w:rFonts w:cs="Tahoma"/>
                <w:color w:val="000000"/>
                <w:szCs w:val="18"/>
              </w:rPr>
            </w:pPr>
            <w:r w:rsidRPr="00416070">
              <w:rPr>
                <w:rFonts w:cs="Tahoma"/>
                <w:b/>
                <w:bCs/>
                <w:color w:val="000000"/>
                <w:sz w:val="20"/>
                <w:szCs w:val="18"/>
              </w:rPr>
              <w:t>Área</w:t>
            </w:r>
          </w:p>
        </w:tc>
        <w:tc>
          <w:tcPr>
            <w:tcW w:w="2215" w:type="dxa"/>
            <w:shd w:val="clear" w:color="auto" w:fill="FABF8F"/>
            <w:vAlign w:val="center"/>
          </w:tcPr>
          <w:p w:rsidR="00FD27BC" w:rsidRPr="00416070" w:rsidRDefault="00FD27BC" w:rsidP="00FD27BC">
            <w:pPr>
              <w:jc w:val="center"/>
              <w:rPr>
                <w:rFonts w:cs="Tahoma"/>
                <w:b/>
                <w:bCs/>
                <w:color w:val="000000"/>
                <w:sz w:val="20"/>
                <w:szCs w:val="20"/>
              </w:rPr>
            </w:pPr>
            <w:r w:rsidRPr="00416070">
              <w:rPr>
                <w:rFonts w:cs="Tahoma"/>
                <w:b/>
                <w:bCs/>
                <w:color w:val="000000"/>
                <w:sz w:val="20"/>
                <w:szCs w:val="20"/>
              </w:rPr>
              <w:t>Enterprise Strategy Connect</w:t>
            </w:r>
          </w:p>
        </w:tc>
        <w:tc>
          <w:tcPr>
            <w:tcW w:w="2340" w:type="dxa"/>
            <w:shd w:val="clear" w:color="auto" w:fill="FABF8F"/>
            <w:vAlign w:val="center"/>
          </w:tcPr>
          <w:p w:rsidR="00FD27BC" w:rsidRPr="00416070" w:rsidRDefault="00FD27BC" w:rsidP="00FD27BC">
            <w:pPr>
              <w:jc w:val="center"/>
              <w:rPr>
                <w:rFonts w:cs="Tahoma"/>
                <w:color w:val="000000"/>
                <w:sz w:val="20"/>
                <w:szCs w:val="20"/>
              </w:rPr>
            </w:pPr>
            <w:r w:rsidRPr="00416070">
              <w:rPr>
                <w:rFonts w:cs="Tahoma"/>
                <w:b/>
                <w:bCs/>
                <w:color w:val="000000"/>
                <w:sz w:val="20"/>
                <w:szCs w:val="20"/>
              </w:rPr>
              <w:t>Enterprise Strategy Foundation</w:t>
            </w:r>
          </w:p>
        </w:tc>
        <w:tc>
          <w:tcPr>
            <w:tcW w:w="2250" w:type="dxa"/>
            <w:shd w:val="clear" w:color="auto" w:fill="FABF8F"/>
            <w:vAlign w:val="center"/>
          </w:tcPr>
          <w:p w:rsidR="00FD27BC" w:rsidRPr="00416070" w:rsidRDefault="00FD27BC" w:rsidP="00FD27BC">
            <w:pPr>
              <w:jc w:val="center"/>
              <w:rPr>
                <w:rFonts w:cs="Tahoma"/>
                <w:b/>
                <w:bCs/>
                <w:color w:val="000000"/>
                <w:sz w:val="20"/>
                <w:szCs w:val="18"/>
              </w:rPr>
            </w:pPr>
            <w:r w:rsidRPr="00416070">
              <w:rPr>
                <w:rFonts w:cs="Tahoma"/>
                <w:b/>
                <w:bCs/>
                <w:color w:val="000000"/>
                <w:sz w:val="20"/>
                <w:szCs w:val="18"/>
              </w:rPr>
              <w:t>Enterprise Strategy Portfolio</w:t>
            </w:r>
          </w:p>
        </w:tc>
      </w:tr>
      <w:tr w:rsidR="00FD27BC" w:rsidRPr="002B5F9E" w:rsidTr="002A6416">
        <w:tc>
          <w:tcPr>
            <w:tcW w:w="2555" w:type="dxa"/>
            <w:vAlign w:val="center"/>
          </w:tcPr>
          <w:p w:rsidR="00FD27BC" w:rsidRPr="00416070" w:rsidRDefault="00FD27BC" w:rsidP="00FD27BC">
            <w:pPr>
              <w:rPr>
                <w:rFonts w:cs="Tahoma"/>
                <w:color w:val="000000"/>
                <w:szCs w:val="18"/>
              </w:rPr>
            </w:pPr>
            <w:r w:rsidRPr="00416070">
              <w:rPr>
                <w:rFonts w:cs="Tahoma"/>
                <w:color w:val="000000"/>
                <w:szCs w:val="18"/>
              </w:rPr>
              <w:t>Arquitetos Enterprise</w:t>
            </w:r>
          </w:p>
        </w:tc>
        <w:tc>
          <w:tcPr>
            <w:tcW w:w="2215" w:type="dxa"/>
            <w:vAlign w:val="center"/>
          </w:tcPr>
          <w:p w:rsidR="00FD27BC" w:rsidRPr="00E47ECF" w:rsidRDefault="00FD27BC" w:rsidP="00FD27BC">
            <w:pPr>
              <w:jc w:val="center"/>
              <w:rPr>
                <w:rFonts w:eastAsia="MS UI Gothic" w:cs="Tahoma"/>
                <w:color w:val="000000"/>
                <w:szCs w:val="18"/>
                <w:lang w:val="pt-BR"/>
              </w:rPr>
            </w:pPr>
            <w:r w:rsidRPr="00E47ECF">
              <w:rPr>
                <w:rFonts w:eastAsia="MS UI Gothic" w:cs="Tahoma"/>
                <w:color w:val="000000"/>
                <w:szCs w:val="18"/>
                <w:lang w:val="pt-BR"/>
              </w:rPr>
              <w:t>1 Arquiteto Microsoft Enterprise disponível 25% do período</w:t>
            </w:r>
          </w:p>
        </w:tc>
        <w:tc>
          <w:tcPr>
            <w:tcW w:w="2340" w:type="dxa"/>
            <w:vAlign w:val="center"/>
          </w:tcPr>
          <w:p w:rsidR="00FD27BC" w:rsidRPr="00E47ECF" w:rsidRDefault="00FD27BC" w:rsidP="00FD27BC">
            <w:pPr>
              <w:jc w:val="center"/>
              <w:rPr>
                <w:rFonts w:cs="Tahoma"/>
                <w:color w:val="000000"/>
                <w:szCs w:val="18"/>
                <w:lang w:val="pt-BR"/>
              </w:rPr>
            </w:pPr>
            <w:r w:rsidRPr="00E47ECF">
              <w:rPr>
                <w:rFonts w:eastAsia="MS UI Gothic" w:cs="Tahoma"/>
                <w:color w:val="000000"/>
                <w:szCs w:val="18"/>
                <w:lang w:val="pt-BR"/>
              </w:rPr>
              <w:t>1 Arquiteto Microsoft Enterprise de meio período</w:t>
            </w:r>
          </w:p>
        </w:tc>
        <w:tc>
          <w:tcPr>
            <w:tcW w:w="2250" w:type="dxa"/>
            <w:vAlign w:val="center"/>
          </w:tcPr>
          <w:p w:rsidR="00FD27BC" w:rsidRPr="00E47ECF" w:rsidRDefault="00FD27BC" w:rsidP="00FD27BC">
            <w:pPr>
              <w:jc w:val="center"/>
              <w:rPr>
                <w:rFonts w:cs="Tahoma"/>
                <w:color w:val="000000"/>
                <w:szCs w:val="18"/>
                <w:lang w:val="pt-BR"/>
              </w:rPr>
            </w:pPr>
            <w:r w:rsidRPr="00E47ECF">
              <w:rPr>
                <w:rFonts w:eastAsia="MS UI Gothic" w:cs="Tahoma"/>
                <w:color w:val="000000"/>
                <w:szCs w:val="18"/>
                <w:lang w:val="pt-BR"/>
              </w:rPr>
              <w:t>1 Arquiteto Microsoft Enterprise em período integral</w:t>
            </w:r>
          </w:p>
        </w:tc>
      </w:tr>
      <w:tr w:rsidR="00FD27BC" w:rsidRPr="002B5F9E" w:rsidTr="002A6416">
        <w:tc>
          <w:tcPr>
            <w:tcW w:w="2555" w:type="dxa"/>
            <w:vAlign w:val="center"/>
          </w:tcPr>
          <w:p w:rsidR="00FD27BC" w:rsidRPr="00416070" w:rsidRDefault="00FD27BC" w:rsidP="00FD27BC">
            <w:pPr>
              <w:rPr>
                <w:rFonts w:cs="Tahoma"/>
                <w:color w:val="000000"/>
                <w:szCs w:val="18"/>
              </w:rPr>
            </w:pPr>
            <w:r w:rsidRPr="00416070">
              <w:rPr>
                <w:rFonts w:cs="Tahoma"/>
                <w:color w:val="000000"/>
                <w:szCs w:val="18"/>
              </w:rPr>
              <w:t>Avaliação</w:t>
            </w:r>
            <w:r w:rsidRPr="00416070">
              <w:rPr>
                <w:rFonts w:cs="Tahoma"/>
                <w:b/>
                <w:bCs/>
                <w:color w:val="000000"/>
                <w:sz w:val="20"/>
                <w:szCs w:val="18"/>
              </w:rPr>
              <w:t xml:space="preserve"> </w:t>
            </w:r>
            <w:r w:rsidRPr="00416070">
              <w:rPr>
                <w:rFonts w:cs="Tahoma"/>
                <w:b/>
                <w:bCs/>
                <w:color w:val="000000"/>
                <w:sz w:val="20"/>
                <w:szCs w:val="18"/>
                <w:vertAlign w:val="superscript"/>
              </w:rPr>
              <w:t>1</w:t>
            </w:r>
          </w:p>
        </w:tc>
        <w:tc>
          <w:tcPr>
            <w:tcW w:w="2215" w:type="dxa"/>
            <w:vAlign w:val="center"/>
          </w:tcPr>
          <w:p w:rsidR="00FD27BC" w:rsidRPr="00E47ECF" w:rsidRDefault="00FD27BC" w:rsidP="00FD27BC">
            <w:pPr>
              <w:jc w:val="center"/>
              <w:rPr>
                <w:rFonts w:cs="Tahoma"/>
                <w:color w:val="000000"/>
                <w:szCs w:val="18"/>
                <w:lang w:val="pt-BR"/>
              </w:rPr>
            </w:pPr>
            <w:r w:rsidRPr="00E47ECF">
              <w:rPr>
                <w:rFonts w:cs="Tahoma"/>
                <w:color w:val="000000"/>
                <w:szCs w:val="18"/>
                <w:lang w:val="pt-BR"/>
              </w:rPr>
              <w:t>Até 25% do esforço do Arquiteto por ano</w:t>
            </w:r>
          </w:p>
        </w:tc>
        <w:tc>
          <w:tcPr>
            <w:tcW w:w="2340" w:type="dxa"/>
            <w:vAlign w:val="center"/>
          </w:tcPr>
          <w:p w:rsidR="00FD27BC" w:rsidRPr="00E47ECF" w:rsidRDefault="00FD27BC" w:rsidP="00FD27BC">
            <w:pPr>
              <w:jc w:val="center"/>
              <w:rPr>
                <w:rFonts w:cs="Tahoma"/>
                <w:color w:val="000000"/>
                <w:szCs w:val="18"/>
                <w:lang w:val="pt-BR"/>
              </w:rPr>
            </w:pPr>
            <w:r w:rsidRPr="00E47ECF">
              <w:rPr>
                <w:rFonts w:cs="Tahoma"/>
                <w:color w:val="000000"/>
                <w:szCs w:val="18"/>
                <w:lang w:val="pt-BR"/>
              </w:rPr>
              <w:t>Até 25% do esforço do Arquiteto por ano</w:t>
            </w:r>
          </w:p>
        </w:tc>
        <w:tc>
          <w:tcPr>
            <w:tcW w:w="2250" w:type="dxa"/>
            <w:vAlign w:val="center"/>
          </w:tcPr>
          <w:p w:rsidR="00FD27BC" w:rsidRPr="00E47ECF" w:rsidRDefault="00FD27BC" w:rsidP="00FD27BC">
            <w:pPr>
              <w:jc w:val="center"/>
              <w:rPr>
                <w:rFonts w:cs="Tahoma"/>
                <w:color w:val="000000"/>
                <w:szCs w:val="18"/>
                <w:lang w:val="pt-BR"/>
              </w:rPr>
            </w:pPr>
            <w:r w:rsidRPr="00E47ECF">
              <w:rPr>
                <w:rFonts w:cs="Tahoma"/>
                <w:color w:val="000000"/>
                <w:szCs w:val="18"/>
                <w:lang w:val="pt-BR"/>
              </w:rPr>
              <w:t>Até 25% do esforço do Arquiteto por ano</w:t>
            </w:r>
          </w:p>
        </w:tc>
      </w:tr>
      <w:tr w:rsidR="00FD27BC" w:rsidRPr="002B5F9E" w:rsidTr="002A6416">
        <w:tc>
          <w:tcPr>
            <w:tcW w:w="2555" w:type="dxa"/>
            <w:vAlign w:val="center"/>
          </w:tcPr>
          <w:p w:rsidR="00FD27BC" w:rsidRPr="00416070" w:rsidRDefault="00FD27BC" w:rsidP="00FD27BC">
            <w:pPr>
              <w:rPr>
                <w:rFonts w:cs="Tahoma"/>
                <w:color w:val="000000"/>
                <w:szCs w:val="18"/>
              </w:rPr>
            </w:pPr>
            <w:r w:rsidRPr="00416070">
              <w:rPr>
                <w:rFonts w:cs="Tahoma"/>
                <w:color w:val="000000"/>
                <w:szCs w:val="18"/>
              </w:rPr>
              <w:t>Projeto Enterprise Strategy</w:t>
            </w:r>
            <w:r w:rsidRPr="00416070">
              <w:rPr>
                <w:rFonts w:cs="Tahoma"/>
                <w:b/>
                <w:bCs/>
                <w:color w:val="000000"/>
                <w:sz w:val="20"/>
                <w:szCs w:val="18"/>
              </w:rPr>
              <w:t xml:space="preserve"> </w:t>
            </w:r>
            <w:r w:rsidRPr="00416070">
              <w:rPr>
                <w:rFonts w:cs="Tahoma"/>
                <w:b/>
                <w:bCs/>
                <w:color w:val="000000"/>
                <w:sz w:val="20"/>
                <w:szCs w:val="18"/>
                <w:vertAlign w:val="superscript"/>
              </w:rPr>
              <w:t>1</w:t>
            </w:r>
          </w:p>
        </w:tc>
        <w:tc>
          <w:tcPr>
            <w:tcW w:w="2215" w:type="dxa"/>
            <w:vAlign w:val="center"/>
          </w:tcPr>
          <w:p w:rsidR="00FD27BC" w:rsidRPr="00E47ECF" w:rsidRDefault="00FD27BC" w:rsidP="00FD27BC">
            <w:pPr>
              <w:jc w:val="center"/>
              <w:rPr>
                <w:rFonts w:cs="Tahoma"/>
                <w:color w:val="000000"/>
                <w:szCs w:val="18"/>
                <w:lang w:val="pt-BR"/>
              </w:rPr>
            </w:pPr>
            <w:r w:rsidRPr="00E47ECF">
              <w:rPr>
                <w:rFonts w:cs="Tahoma"/>
                <w:color w:val="000000"/>
                <w:szCs w:val="18"/>
                <w:lang w:val="pt-BR"/>
              </w:rPr>
              <w:t>Até 75% do esforço do Arquiteto por ano</w:t>
            </w:r>
          </w:p>
        </w:tc>
        <w:tc>
          <w:tcPr>
            <w:tcW w:w="2340" w:type="dxa"/>
            <w:vAlign w:val="center"/>
          </w:tcPr>
          <w:p w:rsidR="00FD27BC" w:rsidRPr="00E47ECF" w:rsidRDefault="00FD27BC" w:rsidP="00FD27BC">
            <w:pPr>
              <w:jc w:val="center"/>
              <w:rPr>
                <w:rFonts w:cs="Tahoma"/>
                <w:color w:val="000000"/>
                <w:szCs w:val="18"/>
                <w:lang w:val="pt-BR"/>
              </w:rPr>
            </w:pPr>
            <w:r w:rsidRPr="00E47ECF">
              <w:rPr>
                <w:rFonts w:cs="Tahoma"/>
                <w:color w:val="000000"/>
                <w:szCs w:val="18"/>
                <w:lang w:val="pt-BR"/>
              </w:rPr>
              <w:t>Até 75% do esforço do Arquiteto por ano</w:t>
            </w:r>
          </w:p>
        </w:tc>
        <w:tc>
          <w:tcPr>
            <w:tcW w:w="2250" w:type="dxa"/>
            <w:vAlign w:val="center"/>
          </w:tcPr>
          <w:p w:rsidR="00FD27BC" w:rsidRPr="00E47ECF" w:rsidRDefault="00FD27BC" w:rsidP="00FD27BC">
            <w:pPr>
              <w:jc w:val="center"/>
              <w:rPr>
                <w:rFonts w:cs="Tahoma"/>
                <w:color w:val="000000"/>
                <w:szCs w:val="18"/>
                <w:lang w:val="pt-BR"/>
              </w:rPr>
            </w:pPr>
            <w:r w:rsidRPr="00E47ECF">
              <w:rPr>
                <w:rFonts w:cs="Tahoma"/>
                <w:color w:val="000000"/>
                <w:szCs w:val="18"/>
                <w:lang w:val="pt-BR"/>
              </w:rPr>
              <w:t>Até 75% do esforço do Arquiteto por ano</w:t>
            </w:r>
          </w:p>
        </w:tc>
      </w:tr>
      <w:tr w:rsidR="00FD27BC" w:rsidRPr="00416070" w:rsidTr="002A6416">
        <w:tc>
          <w:tcPr>
            <w:tcW w:w="2555" w:type="dxa"/>
            <w:vAlign w:val="center"/>
          </w:tcPr>
          <w:p w:rsidR="00FD27BC" w:rsidRPr="00416070" w:rsidRDefault="00FD27BC" w:rsidP="00FD27BC">
            <w:pPr>
              <w:rPr>
                <w:rFonts w:cs="Tahoma"/>
                <w:color w:val="000000"/>
                <w:szCs w:val="18"/>
              </w:rPr>
            </w:pPr>
            <w:r w:rsidRPr="00416070">
              <w:rPr>
                <w:rFonts w:cs="Tahoma"/>
                <w:color w:val="000000"/>
                <w:szCs w:val="18"/>
              </w:rPr>
              <w:t>Oficinas do Compromisso</w:t>
            </w:r>
          </w:p>
        </w:tc>
        <w:tc>
          <w:tcPr>
            <w:tcW w:w="2215" w:type="dxa"/>
            <w:vAlign w:val="center"/>
          </w:tcPr>
          <w:p w:rsidR="00FD27BC" w:rsidRPr="00416070" w:rsidRDefault="00FD27BC" w:rsidP="00FD27BC">
            <w:pPr>
              <w:jc w:val="center"/>
              <w:rPr>
                <w:rFonts w:cs="Tahoma"/>
                <w:color w:val="000000"/>
                <w:szCs w:val="18"/>
              </w:rPr>
            </w:pPr>
            <w:r w:rsidRPr="00416070">
              <w:rPr>
                <w:rFonts w:cs="Tahoma"/>
                <w:color w:val="000000"/>
                <w:szCs w:val="18"/>
              </w:rPr>
              <w:t>Até 1 por ano</w:t>
            </w:r>
          </w:p>
        </w:tc>
        <w:tc>
          <w:tcPr>
            <w:tcW w:w="2340" w:type="dxa"/>
            <w:vAlign w:val="center"/>
          </w:tcPr>
          <w:p w:rsidR="00FD27BC" w:rsidRPr="00416070" w:rsidRDefault="00FD27BC" w:rsidP="00FD27BC">
            <w:pPr>
              <w:jc w:val="center"/>
              <w:rPr>
                <w:rFonts w:cs="Tahoma"/>
                <w:color w:val="000000"/>
                <w:szCs w:val="18"/>
              </w:rPr>
            </w:pPr>
            <w:r w:rsidRPr="00416070">
              <w:rPr>
                <w:rFonts w:cs="Tahoma"/>
                <w:color w:val="000000"/>
                <w:szCs w:val="18"/>
              </w:rPr>
              <w:t>Até 2 por ano</w:t>
            </w:r>
          </w:p>
        </w:tc>
        <w:tc>
          <w:tcPr>
            <w:tcW w:w="2250" w:type="dxa"/>
            <w:vAlign w:val="center"/>
          </w:tcPr>
          <w:p w:rsidR="00FD27BC" w:rsidRPr="00416070" w:rsidRDefault="00FD27BC" w:rsidP="00FD27BC">
            <w:pPr>
              <w:spacing w:before="120"/>
              <w:jc w:val="center"/>
              <w:rPr>
                <w:rFonts w:cs="Tahoma"/>
                <w:color w:val="000000"/>
                <w:szCs w:val="18"/>
              </w:rPr>
            </w:pPr>
            <w:r w:rsidRPr="00416070">
              <w:t>Até 4 por ano</w:t>
            </w:r>
          </w:p>
        </w:tc>
      </w:tr>
      <w:tr w:rsidR="00FD27BC" w:rsidRPr="00416070" w:rsidTr="002A6416">
        <w:tc>
          <w:tcPr>
            <w:tcW w:w="2555" w:type="dxa"/>
            <w:vAlign w:val="center"/>
          </w:tcPr>
          <w:p w:rsidR="00FD27BC" w:rsidRPr="00416070" w:rsidRDefault="00FD27BC" w:rsidP="00FD27BC">
            <w:pPr>
              <w:rPr>
                <w:rFonts w:cs="Tahoma"/>
                <w:color w:val="000000"/>
                <w:szCs w:val="18"/>
              </w:rPr>
            </w:pPr>
            <w:r w:rsidRPr="00416070">
              <w:rPr>
                <w:rFonts w:cs="Tahoma"/>
                <w:color w:val="000000"/>
                <w:szCs w:val="18"/>
              </w:rPr>
              <w:t>Enterprise Strategy Network</w:t>
            </w:r>
          </w:p>
        </w:tc>
        <w:tc>
          <w:tcPr>
            <w:tcW w:w="2215" w:type="dxa"/>
            <w:vAlign w:val="center"/>
          </w:tcPr>
          <w:p w:rsidR="00FD27BC" w:rsidRPr="00416070" w:rsidRDefault="00FD27BC" w:rsidP="00FD27BC">
            <w:pPr>
              <w:jc w:val="center"/>
              <w:rPr>
                <w:rFonts w:ascii="MS UI Gothic" w:eastAsia="MS UI Gothic" w:hAnsi="MS UI Gothic" w:cs="MS UI Gothic"/>
                <w:color w:val="000000"/>
                <w:szCs w:val="18"/>
              </w:rPr>
            </w:pPr>
            <w:r w:rsidRPr="00416070">
              <w:rPr>
                <w:rFonts w:ascii="MS UI Gothic" w:eastAsia="MS UI Gothic" w:hAnsi="MS UI Gothic" w:cs="MS UI Gothic"/>
                <w:color w:val="000000"/>
                <w:szCs w:val="18"/>
              </w:rPr>
              <w:t>✓</w:t>
            </w:r>
          </w:p>
        </w:tc>
        <w:tc>
          <w:tcPr>
            <w:tcW w:w="2340" w:type="dxa"/>
            <w:vAlign w:val="center"/>
          </w:tcPr>
          <w:p w:rsidR="00FD27BC" w:rsidRPr="00416070" w:rsidRDefault="00FD27BC" w:rsidP="00FD27BC">
            <w:pPr>
              <w:jc w:val="center"/>
              <w:rPr>
                <w:rFonts w:ascii="MS UI Gothic" w:eastAsia="MS UI Gothic" w:hAnsi="MS UI Gothic" w:cs="MS UI Gothic"/>
                <w:color w:val="000000"/>
                <w:szCs w:val="18"/>
              </w:rPr>
            </w:pPr>
            <w:r w:rsidRPr="00416070">
              <w:rPr>
                <w:rFonts w:ascii="MS UI Gothic" w:eastAsia="MS UI Gothic" w:hAnsi="MS UI Gothic" w:cs="MS UI Gothic"/>
                <w:color w:val="000000"/>
                <w:szCs w:val="18"/>
              </w:rPr>
              <w:t>✓</w:t>
            </w:r>
          </w:p>
        </w:tc>
        <w:tc>
          <w:tcPr>
            <w:tcW w:w="2250" w:type="dxa"/>
            <w:vAlign w:val="center"/>
          </w:tcPr>
          <w:p w:rsidR="00FD27BC" w:rsidRPr="00416070" w:rsidRDefault="00FD27BC" w:rsidP="00FD27BC">
            <w:pPr>
              <w:jc w:val="center"/>
              <w:rPr>
                <w:rFonts w:ascii="MS UI Gothic" w:eastAsia="MS UI Gothic" w:hAnsi="MS UI Gothic" w:cs="MS UI Gothic"/>
              </w:rPr>
            </w:pPr>
            <w:r w:rsidRPr="00416070">
              <w:rPr>
                <w:rFonts w:ascii="MS UI Gothic" w:eastAsia="MS UI Gothic" w:hAnsi="MS UI Gothic" w:cs="MS UI Gothic"/>
                <w:color w:val="000000"/>
                <w:szCs w:val="18"/>
              </w:rPr>
              <w:t>✓</w:t>
            </w:r>
          </w:p>
        </w:tc>
      </w:tr>
      <w:tr w:rsidR="00FD27BC" w:rsidRPr="00416070" w:rsidTr="002A6416">
        <w:tc>
          <w:tcPr>
            <w:tcW w:w="2555" w:type="dxa"/>
            <w:vAlign w:val="center"/>
          </w:tcPr>
          <w:p w:rsidR="00FD27BC" w:rsidRPr="00416070" w:rsidRDefault="00FD27BC" w:rsidP="00FD27BC">
            <w:pPr>
              <w:rPr>
                <w:rFonts w:cs="Tahoma"/>
                <w:color w:val="000000"/>
                <w:szCs w:val="18"/>
              </w:rPr>
            </w:pPr>
            <w:r w:rsidRPr="00416070">
              <w:rPr>
                <w:rFonts w:cs="Tahoma"/>
                <w:color w:val="000000"/>
                <w:szCs w:val="18"/>
              </w:rPr>
              <w:t>Enterprise Strategy Library</w:t>
            </w:r>
          </w:p>
        </w:tc>
        <w:tc>
          <w:tcPr>
            <w:tcW w:w="2215" w:type="dxa"/>
            <w:vAlign w:val="center"/>
          </w:tcPr>
          <w:p w:rsidR="00FD27BC" w:rsidRPr="00416070" w:rsidRDefault="00FD27BC" w:rsidP="00FD27BC">
            <w:pPr>
              <w:jc w:val="center"/>
              <w:rPr>
                <w:rFonts w:ascii="MS UI Gothic" w:eastAsia="MS UI Gothic" w:hAnsi="MS UI Gothic" w:cs="MS UI Gothic"/>
                <w:color w:val="000000"/>
                <w:szCs w:val="18"/>
              </w:rPr>
            </w:pPr>
            <w:r w:rsidRPr="00416070">
              <w:rPr>
                <w:rFonts w:ascii="MS UI Gothic" w:eastAsia="MS UI Gothic" w:hAnsi="MS UI Gothic" w:cs="MS UI Gothic"/>
                <w:color w:val="000000"/>
                <w:szCs w:val="18"/>
              </w:rPr>
              <w:t>✓</w:t>
            </w:r>
          </w:p>
        </w:tc>
        <w:tc>
          <w:tcPr>
            <w:tcW w:w="2340" w:type="dxa"/>
            <w:vAlign w:val="center"/>
          </w:tcPr>
          <w:p w:rsidR="00FD27BC" w:rsidRPr="00416070" w:rsidRDefault="00FD27BC" w:rsidP="00FD27BC">
            <w:pPr>
              <w:jc w:val="center"/>
              <w:rPr>
                <w:rFonts w:ascii="MS UI Gothic" w:eastAsia="MS UI Gothic" w:hAnsi="MS UI Gothic" w:cs="MS UI Gothic"/>
                <w:color w:val="000000"/>
                <w:szCs w:val="18"/>
              </w:rPr>
            </w:pPr>
            <w:r w:rsidRPr="00416070">
              <w:rPr>
                <w:rFonts w:ascii="MS UI Gothic" w:eastAsia="MS UI Gothic" w:hAnsi="MS UI Gothic" w:cs="MS UI Gothic"/>
                <w:color w:val="000000"/>
                <w:szCs w:val="18"/>
              </w:rPr>
              <w:t>✓</w:t>
            </w:r>
          </w:p>
        </w:tc>
        <w:tc>
          <w:tcPr>
            <w:tcW w:w="2250" w:type="dxa"/>
            <w:vAlign w:val="center"/>
          </w:tcPr>
          <w:p w:rsidR="00FD27BC" w:rsidRPr="00416070" w:rsidRDefault="00FD27BC" w:rsidP="00FD27BC">
            <w:pPr>
              <w:jc w:val="center"/>
              <w:rPr>
                <w:rFonts w:ascii="MS UI Gothic" w:eastAsia="MS UI Gothic" w:hAnsi="MS UI Gothic" w:cs="MS UI Gothic"/>
              </w:rPr>
            </w:pPr>
            <w:r w:rsidRPr="00416070">
              <w:rPr>
                <w:rFonts w:ascii="MS UI Gothic" w:eastAsia="MS UI Gothic" w:hAnsi="MS UI Gothic" w:cs="MS UI Gothic"/>
                <w:color w:val="000000"/>
                <w:szCs w:val="18"/>
              </w:rPr>
              <w:t>✓</w:t>
            </w:r>
          </w:p>
        </w:tc>
      </w:tr>
      <w:tr w:rsidR="00FD27BC" w:rsidRPr="00416070" w:rsidTr="002A6416">
        <w:tc>
          <w:tcPr>
            <w:tcW w:w="2555" w:type="dxa"/>
            <w:vAlign w:val="center"/>
          </w:tcPr>
          <w:p w:rsidR="00FD27BC" w:rsidRPr="00416070" w:rsidRDefault="00FD27BC" w:rsidP="00FD27BC">
            <w:pPr>
              <w:rPr>
                <w:rFonts w:cs="Tahoma"/>
                <w:color w:val="000000"/>
                <w:szCs w:val="18"/>
              </w:rPr>
            </w:pPr>
            <w:r w:rsidRPr="00416070">
              <w:rPr>
                <w:rFonts w:cs="Tahoma"/>
                <w:color w:val="000000"/>
                <w:szCs w:val="18"/>
              </w:rPr>
              <w:t>Instruções Estratégicas</w:t>
            </w:r>
          </w:p>
        </w:tc>
        <w:tc>
          <w:tcPr>
            <w:tcW w:w="2215" w:type="dxa"/>
            <w:vAlign w:val="center"/>
          </w:tcPr>
          <w:p w:rsidR="00FD27BC" w:rsidRPr="00416070" w:rsidRDefault="00FD27BC" w:rsidP="00FD27BC">
            <w:pPr>
              <w:jc w:val="center"/>
              <w:rPr>
                <w:rFonts w:ascii="MS UI Gothic" w:eastAsia="MS UI Gothic" w:hAnsi="MS UI Gothic" w:cs="MS UI Gothic"/>
                <w:color w:val="000000"/>
                <w:szCs w:val="18"/>
              </w:rPr>
            </w:pPr>
            <w:r w:rsidRPr="00416070">
              <w:rPr>
                <w:rFonts w:ascii="MS UI Gothic" w:eastAsia="MS UI Gothic" w:hAnsi="MS UI Gothic" w:cs="MS UI Gothic"/>
                <w:color w:val="000000"/>
                <w:szCs w:val="18"/>
              </w:rPr>
              <w:t>✓</w:t>
            </w:r>
          </w:p>
        </w:tc>
        <w:tc>
          <w:tcPr>
            <w:tcW w:w="2340" w:type="dxa"/>
            <w:vAlign w:val="center"/>
          </w:tcPr>
          <w:p w:rsidR="00FD27BC" w:rsidRPr="00416070" w:rsidRDefault="00FD27BC" w:rsidP="00FD27BC">
            <w:pPr>
              <w:jc w:val="center"/>
              <w:rPr>
                <w:rFonts w:cs="Tahoma"/>
                <w:color w:val="000000"/>
                <w:szCs w:val="18"/>
              </w:rPr>
            </w:pPr>
            <w:r w:rsidRPr="00416070">
              <w:rPr>
                <w:rFonts w:ascii="MS UI Gothic" w:eastAsia="MS UI Gothic" w:hAnsi="MS UI Gothic" w:cs="MS UI Gothic"/>
                <w:color w:val="000000"/>
                <w:szCs w:val="18"/>
              </w:rPr>
              <w:t>✓</w:t>
            </w:r>
          </w:p>
        </w:tc>
        <w:tc>
          <w:tcPr>
            <w:tcW w:w="2250" w:type="dxa"/>
            <w:vAlign w:val="center"/>
          </w:tcPr>
          <w:p w:rsidR="00FD27BC" w:rsidRPr="00416070" w:rsidRDefault="00FD27BC" w:rsidP="00FD27BC">
            <w:pPr>
              <w:jc w:val="center"/>
              <w:rPr>
                <w:rFonts w:cs="Tahoma"/>
                <w:color w:val="000000"/>
                <w:szCs w:val="18"/>
              </w:rPr>
            </w:pPr>
            <w:r w:rsidRPr="00416070">
              <w:rPr>
                <w:rFonts w:ascii="MS UI Gothic" w:eastAsia="MS UI Gothic" w:hAnsi="MS UI Gothic" w:cs="MS UI Gothic"/>
              </w:rPr>
              <w:t>✓</w:t>
            </w:r>
          </w:p>
        </w:tc>
      </w:tr>
      <w:tr w:rsidR="00FD27BC" w:rsidRPr="00416070" w:rsidTr="002A6416">
        <w:tc>
          <w:tcPr>
            <w:tcW w:w="2555" w:type="dxa"/>
            <w:vAlign w:val="center"/>
          </w:tcPr>
          <w:p w:rsidR="00FD27BC" w:rsidRPr="00416070" w:rsidRDefault="00FD27BC" w:rsidP="005F0406">
            <w:pPr>
              <w:rPr>
                <w:rFonts w:cs="Tahoma"/>
                <w:color w:val="000000"/>
                <w:szCs w:val="18"/>
              </w:rPr>
            </w:pPr>
            <w:r w:rsidRPr="00416070">
              <w:rPr>
                <w:rFonts w:cs="Tahoma"/>
                <w:color w:val="000000"/>
                <w:szCs w:val="18"/>
              </w:rPr>
              <w:t>Enterprise Services Capacity Complementar</w:t>
            </w:r>
          </w:p>
        </w:tc>
        <w:tc>
          <w:tcPr>
            <w:tcW w:w="2215" w:type="dxa"/>
            <w:vAlign w:val="center"/>
          </w:tcPr>
          <w:p w:rsidR="00FD27BC" w:rsidRPr="00416070" w:rsidRDefault="00FD27BC" w:rsidP="00FD27BC">
            <w:pPr>
              <w:jc w:val="center"/>
              <w:rPr>
                <w:rFonts w:ascii="MS UI Gothic" w:eastAsia="MS UI Gothic" w:hAnsi="MS UI Gothic" w:cs="MS UI Gothic"/>
                <w:color w:val="000000"/>
                <w:szCs w:val="18"/>
              </w:rPr>
            </w:pPr>
            <w:r w:rsidRPr="00416070">
              <w:rPr>
                <w:rFonts w:cs="Tahoma"/>
                <w:color w:val="000000"/>
                <w:szCs w:val="18"/>
              </w:rPr>
              <w:t>200 horas</w:t>
            </w:r>
          </w:p>
        </w:tc>
        <w:tc>
          <w:tcPr>
            <w:tcW w:w="2340" w:type="dxa"/>
            <w:vAlign w:val="center"/>
          </w:tcPr>
          <w:p w:rsidR="00FD27BC" w:rsidRPr="00416070" w:rsidRDefault="00FD27BC" w:rsidP="00FD27BC">
            <w:pPr>
              <w:jc w:val="center"/>
              <w:rPr>
                <w:rFonts w:ascii="MS UI Gothic" w:eastAsia="MS UI Gothic" w:hAnsi="MS UI Gothic" w:cs="MS UI Gothic"/>
                <w:color w:val="000000"/>
                <w:szCs w:val="18"/>
              </w:rPr>
            </w:pPr>
            <w:r w:rsidRPr="00416070">
              <w:rPr>
                <w:rFonts w:cs="Tahoma"/>
                <w:color w:val="000000"/>
                <w:szCs w:val="18"/>
              </w:rPr>
              <w:t>200 horas</w:t>
            </w:r>
          </w:p>
        </w:tc>
        <w:tc>
          <w:tcPr>
            <w:tcW w:w="2250" w:type="dxa"/>
            <w:vAlign w:val="center"/>
          </w:tcPr>
          <w:p w:rsidR="00FD27BC" w:rsidRPr="00416070" w:rsidRDefault="00FD27BC" w:rsidP="00FD27BC">
            <w:pPr>
              <w:jc w:val="center"/>
              <w:rPr>
                <w:rFonts w:ascii="MS UI Gothic" w:eastAsia="MS UI Gothic" w:hAnsi="MS UI Gothic" w:cs="MS UI Gothic"/>
              </w:rPr>
            </w:pPr>
            <w:r w:rsidRPr="00416070">
              <w:rPr>
                <w:rFonts w:cs="Tahoma"/>
                <w:color w:val="000000"/>
                <w:szCs w:val="18"/>
              </w:rPr>
              <w:t>200 horas</w:t>
            </w:r>
          </w:p>
        </w:tc>
      </w:tr>
    </w:tbl>
    <w:p w:rsidR="00DD7F8E" w:rsidRPr="00E47ECF" w:rsidRDefault="00415DDA" w:rsidP="00DD7F8E">
      <w:pPr>
        <w:rPr>
          <w:lang w:val="pt-BR"/>
        </w:rPr>
      </w:pPr>
      <w:r w:rsidRPr="00E47ECF">
        <w:rPr>
          <w:rFonts w:cs="Tahoma"/>
          <w:b/>
          <w:bCs/>
          <w:color w:val="000000"/>
          <w:sz w:val="20"/>
          <w:szCs w:val="18"/>
          <w:vertAlign w:val="superscript"/>
          <w:lang w:val="pt-BR"/>
        </w:rPr>
        <w:t>1</w:t>
      </w:r>
      <w:r w:rsidRPr="00E47ECF">
        <w:rPr>
          <w:rFonts w:cs="Tahoma"/>
          <w:b/>
          <w:bCs/>
          <w:i/>
          <w:color w:val="000000"/>
          <w:sz w:val="20"/>
          <w:szCs w:val="18"/>
          <w:vertAlign w:val="superscript"/>
          <w:lang w:val="pt-BR"/>
        </w:rPr>
        <w:t xml:space="preserve"> </w:t>
      </w:r>
      <w:r w:rsidRPr="00E47ECF">
        <w:rPr>
          <w:rFonts w:eastAsia="Times New Roman" w:cs="Tahoma"/>
          <w:i/>
          <w:sz w:val="16"/>
          <w:szCs w:val="20"/>
          <w:lang w:val="pt-BR"/>
        </w:rPr>
        <w:t>A quantidade de esforço real é acordada entre a Microsoft e o Cliente</w:t>
      </w:r>
    </w:p>
    <w:p w:rsidR="00415DDA" w:rsidRPr="00E47ECF" w:rsidRDefault="00415DDA" w:rsidP="00DD7F8E">
      <w:pPr>
        <w:rPr>
          <w:lang w:val="pt-BR"/>
        </w:rPr>
      </w:pPr>
    </w:p>
    <w:p w:rsidR="00DD7F8E" w:rsidRPr="00416070" w:rsidRDefault="00DD7F8E" w:rsidP="00E77F1E">
      <w:pPr>
        <w:spacing w:after="60"/>
      </w:pPr>
      <w:r w:rsidRPr="00416070">
        <w:rPr>
          <w:rFonts w:cs="Arial"/>
          <w:b/>
        </w:rPr>
        <w:t xml:space="preserve">O Arquiteto Enterprise: </w:t>
      </w:r>
    </w:p>
    <w:p w:rsidR="005F0406" w:rsidRPr="00E47ECF" w:rsidRDefault="005F0406" w:rsidP="005F0406">
      <w:pPr>
        <w:numPr>
          <w:ilvl w:val="0"/>
          <w:numId w:val="93"/>
        </w:numPr>
        <w:spacing w:after="60"/>
        <w:ind w:left="1440"/>
        <w:contextualSpacing/>
        <w:rPr>
          <w:lang w:val="pt-BR"/>
        </w:rPr>
      </w:pPr>
      <w:r w:rsidRPr="00E47ECF">
        <w:rPr>
          <w:rFonts w:eastAsia="Times New Roman" w:cs="Tahoma"/>
          <w:szCs w:val="20"/>
          <w:lang w:val="pt-BR"/>
        </w:rPr>
        <w:t>Fornece ao Cliente soluções modernas arquiteturais para plataformas de tecnologia que atendem a</w:t>
      </w:r>
      <w:r w:rsidR="007B1A45" w:rsidRPr="00E47ECF">
        <w:rPr>
          <w:rFonts w:eastAsia="Times New Roman" w:cs="Tahoma"/>
          <w:szCs w:val="20"/>
          <w:lang w:val="pt-BR"/>
        </w:rPr>
        <w:t> </w:t>
      </w:r>
      <w:r w:rsidRPr="00E47ECF">
        <w:rPr>
          <w:rFonts w:eastAsia="Times New Roman" w:cs="Tahoma"/>
          <w:szCs w:val="20"/>
          <w:lang w:val="pt-BR"/>
        </w:rPr>
        <w:t>necessidades comerciais imediatas.</w:t>
      </w:r>
    </w:p>
    <w:p w:rsidR="00DD7F8E" w:rsidRPr="00E47ECF" w:rsidRDefault="00DD7F8E" w:rsidP="002C1048">
      <w:pPr>
        <w:numPr>
          <w:ilvl w:val="0"/>
          <w:numId w:val="93"/>
        </w:numPr>
        <w:spacing w:after="60"/>
        <w:ind w:left="1440"/>
        <w:rPr>
          <w:lang w:val="pt-BR"/>
        </w:rPr>
      </w:pPr>
      <w:r w:rsidRPr="00E47ECF">
        <w:rPr>
          <w:rFonts w:eastAsia="Times New Roman" w:cs="Tahoma"/>
          <w:szCs w:val="20"/>
          <w:lang w:val="pt-BR"/>
        </w:rPr>
        <w:t>Trabalhará juntamente com o Cliente para criar um Plano de Prestação de Serviços de Arquitetura a ser seguido pelo Cliente que define etapas e metas e estabelece processos, dados e regras para monitorar o progresso com relação ao plano.</w:t>
      </w:r>
      <w:r w:rsidR="00FB5496" w:rsidRPr="00E47ECF">
        <w:rPr>
          <w:rFonts w:eastAsia="Times New Roman" w:cs="Tahoma"/>
          <w:szCs w:val="20"/>
          <w:lang w:val="pt-BR"/>
        </w:rPr>
        <w:t xml:space="preserve"> </w:t>
      </w:r>
    </w:p>
    <w:p w:rsidR="00DD7F8E" w:rsidRPr="00E47ECF" w:rsidRDefault="00DD7F8E" w:rsidP="00E77F1E">
      <w:pPr>
        <w:numPr>
          <w:ilvl w:val="0"/>
          <w:numId w:val="93"/>
        </w:numPr>
        <w:spacing w:after="60"/>
        <w:ind w:left="1440"/>
        <w:rPr>
          <w:lang w:val="pt-BR"/>
        </w:rPr>
      </w:pPr>
      <w:r w:rsidRPr="00E47ECF">
        <w:rPr>
          <w:rFonts w:eastAsia="Times New Roman" w:cs="Tahoma"/>
          <w:szCs w:val="20"/>
          <w:lang w:val="pt-BR"/>
        </w:rPr>
        <w:t>Também apresentará atualizações mensais de status do progresso do Cliente com relação ao</w:t>
      </w:r>
      <w:r w:rsidR="007B1A45" w:rsidRPr="00E47ECF">
        <w:rPr>
          <w:rFonts w:eastAsia="Times New Roman" w:cs="Tahoma"/>
          <w:szCs w:val="20"/>
          <w:lang w:val="pt-BR"/>
        </w:rPr>
        <w:t> </w:t>
      </w:r>
      <w:r w:rsidRPr="00E47ECF">
        <w:rPr>
          <w:rFonts w:eastAsia="Times New Roman" w:cs="Tahoma"/>
          <w:szCs w:val="20"/>
          <w:lang w:val="pt-BR"/>
        </w:rPr>
        <w:t>plano.</w:t>
      </w:r>
    </w:p>
    <w:p w:rsidR="00415DDA" w:rsidRPr="00E47ECF" w:rsidRDefault="00415DDA" w:rsidP="002C1048">
      <w:pPr>
        <w:numPr>
          <w:ilvl w:val="0"/>
          <w:numId w:val="93"/>
        </w:numPr>
        <w:spacing w:after="60"/>
        <w:ind w:left="1440"/>
        <w:rPr>
          <w:lang w:val="pt-BR"/>
        </w:rPr>
      </w:pPr>
      <w:r w:rsidRPr="00E47ECF">
        <w:rPr>
          <w:rFonts w:cs="Tahoma"/>
          <w:lang w:val="pt-BR"/>
        </w:rPr>
        <w:t>Gerenciará o acesso à Microsoft Enterprise Strategy Network.</w:t>
      </w:r>
    </w:p>
    <w:p w:rsidR="00E03856" w:rsidRPr="00E47ECF" w:rsidRDefault="00E03856">
      <w:pPr>
        <w:rPr>
          <w:lang w:val="pt-BR"/>
        </w:rPr>
      </w:pPr>
    </w:p>
    <w:p w:rsidR="007B1A45" w:rsidRPr="00E47ECF" w:rsidRDefault="007B1A45">
      <w:pPr>
        <w:rPr>
          <w:lang w:val="pt-BR"/>
        </w:rPr>
      </w:pPr>
    </w:p>
    <w:p w:rsidR="00DD7F8E" w:rsidRPr="00416070" w:rsidRDefault="00DD7F8E" w:rsidP="00DD7F8E">
      <w:pPr>
        <w:spacing w:after="60"/>
      </w:pPr>
      <w:r w:rsidRPr="00416070">
        <w:rPr>
          <w:rFonts w:cs="Arial"/>
          <w:b/>
        </w:rPr>
        <w:lastRenderedPageBreak/>
        <w:t>A Avaliação:</w:t>
      </w:r>
    </w:p>
    <w:p w:rsidR="00DD7F8E" w:rsidRPr="00E47ECF" w:rsidRDefault="00DD7F8E" w:rsidP="00E77F1E">
      <w:pPr>
        <w:numPr>
          <w:ilvl w:val="0"/>
          <w:numId w:val="94"/>
        </w:numPr>
        <w:spacing w:after="60"/>
        <w:ind w:left="1440"/>
        <w:rPr>
          <w:lang w:val="pt-BR"/>
        </w:rPr>
      </w:pPr>
      <w:r w:rsidRPr="00E47ECF">
        <w:rPr>
          <w:rFonts w:eastAsia="Times New Roman" w:cs="Tahoma"/>
          <w:szCs w:val="20"/>
          <w:lang w:val="pt-BR"/>
        </w:rPr>
        <w:t>Identifica oportunidades de TI que se alinhem com os objetivos de negócios do Cliente.</w:t>
      </w:r>
    </w:p>
    <w:p w:rsidR="00DD7F8E" w:rsidRPr="00E47ECF" w:rsidRDefault="005F0406" w:rsidP="005F0406">
      <w:pPr>
        <w:numPr>
          <w:ilvl w:val="0"/>
          <w:numId w:val="94"/>
        </w:numPr>
        <w:spacing w:after="60"/>
        <w:ind w:left="1440"/>
        <w:rPr>
          <w:lang w:val="pt-BR"/>
        </w:rPr>
      </w:pPr>
      <w:r w:rsidRPr="00E47ECF">
        <w:rPr>
          <w:rFonts w:eastAsia="Times New Roman" w:cs="Tahoma"/>
          <w:szCs w:val="20"/>
          <w:lang w:val="pt-BR"/>
        </w:rPr>
        <w:t>Estabelece o contexto comercial e arquitetural antes da projeção com relação aos serviços de TI</w:t>
      </w:r>
      <w:r w:rsidR="007B1A45" w:rsidRPr="00E47ECF">
        <w:rPr>
          <w:rFonts w:eastAsia="Times New Roman" w:cs="Tahoma"/>
          <w:szCs w:val="20"/>
          <w:lang w:val="pt-BR"/>
        </w:rPr>
        <w:t> </w:t>
      </w:r>
      <w:r w:rsidRPr="00E47ECF">
        <w:rPr>
          <w:rFonts w:eastAsia="Times New Roman" w:cs="Tahoma"/>
          <w:szCs w:val="20"/>
          <w:lang w:val="pt-BR"/>
        </w:rPr>
        <w:t>e</w:t>
      </w:r>
      <w:r w:rsidR="007B1A45" w:rsidRPr="00E47ECF">
        <w:rPr>
          <w:rFonts w:eastAsia="Times New Roman" w:cs="Tahoma"/>
          <w:szCs w:val="20"/>
          <w:lang w:val="pt-BR"/>
        </w:rPr>
        <w:t> </w:t>
      </w:r>
      <w:r w:rsidRPr="00E47ECF">
        <w:rPr>
          <w:rFonts w:eastAsia="Times New Roman" w:cs="Tahoma"/>
          <w:szCs w:val="20"/>
          <w:lang w:val="pt-BR"/>
        </w:rPr>
        <w:t>grupos comerciais impactados, a fim de reconhecer dependências e definir esforços e custos para justificar o planejamento adicional.</w:t>
      </w:r>
    </w:p>
    <w:p w:rsidR="00DD7F8E" w:rsidRPr="00E47ECF" w:rsidRDefault="00DD7F8E" w:rsidP="00E77F1E">
      <w:pPr>
        <w:numPr>
          <w:ilvl w:val="0"/>
          <w:numId w:val="94"/>
        </w:numPr>
        <w:spacing w:after="60"/>
        <w:ind w:left="1440"/>
        <w:rPr>
          <w:lang w:val="pt-BR"/>
        </w:rPr>
      </w:pPr>
      <w:r w:rsidRPr="00E47ECF">
        <w:rPr>
          <w:rFonts w:eastAsia="Times New Roman" w:cs="Tahoma"/>
          <w:szCs w:val="20"/>
          <w:lang w:val="pt-BR"/>
        </w:rPr>
        <w:t>Seleciona, confirma e prioriza oportunidades como iniciativas no Plano de Prestação de Serviços de</w:t>
      </w:r>
      <w:r w:rsidR="007B1A45" w:rsidRPr="00E47ECF">
        <w:rPr>
          <w:rFonts w:eastAsia="Times New Roman" w:cs="Tahoma"/>
          <w:szCs w:val="20"/>
          <w:lang w:val="pt-BR"/>
        </w:rPr>
        <w:t> </w:t>
      </w:r>
      <w:r w:rsidRPr="00E47ECF">
        <w:rPr>
          <w:rFonts w:eastAsia="Times New Roman" w:cs="Tahoma"/>
          <w:szCs w:val="20"/>
          <w:lang w:val="pt-BR"/>
        </w:rPr>
        <w:t>Arquitetura.</w:t>
      </w:r>
    </w:p>
    <w:p w:rsidR="00DD7F8E" w:rsidRPr="00E47ECF" w:rsidRDefault="00DD7F8E" w:rsidP="00E77F1E">
      <w:pPr>
        <w:numPr>
          <w:ilvl w:val="0"/>
          <w:numId w:val="94"/>
        </w:numPr>
        <w:spacing w:after="60"/>
        <w:ind w:left="1440"/>
        <w:rPr>
          <w:lang w:val="pt-BR"/>
        </w:rPr>
      </w:pPr>
      <w:r w:rsidRPr="00E47ECF">
        <w:rPr>
          <w:rFonts w:eastAsia="Times New Roman" w:cs="Tahoma"/>
          <w:szCs w:val="20"/>
          <w:lang w:val="pt-BR"/>
        </w:rPr>
        <w:t>Resulta no Relatório de Avaliação Final que recomenda pelo menos uma atividade como um Projeto Enterprise Strategy depois de uma avaliação baseada em critérios de soluções alternativas.</w:t>
      </w:r>
    </w:p>
    <w:p w:rsidR="00DD7F8E" w:rsidRPr="00E47ECF" w:rsidRDefault="00DD7F8E" w:rsidP="00DD7F8E">
      <w:pPr>
        <w:spacing w:after="60"/>
        <w:rPr>
          <w:lang w:val="pt-BR"/>
        </w:rPr>
      </w:pPr>
    </w:p>
    <w:p w:rsidR="00DD7F8E" w:rsidRPr="00E47ECF" w:rsidRDefault="00DD7F8E" w:rsidP="00E77F1E">
      <w:pPr>
        <w:spacing w:after="60"/>
        <w:rPr>
          <w:lang w:val="pt-BR"/>
        </w:rPr>
      </w:pPr>
      <w:r w:rsidRPr="00E47ECF">
        <w:rPr>
          <w:rFonts w:cs="Arial"/>
          <w:b/>
          <w:lang w:val="pt-BR"/>
        </w:rPr>
        <w:t>Projetos Enterprise Strategy</w:t>
      </w:r>
    </w:p>
    <w:p w:rsidR="00DD7F8E" w:rsidRPr="00E47ECF" w:rsidRDefault="00DD7F8E" w:rsidP="00CA52FE">
      <w:pPr>
        <w:rPr>
          <w:lang w:val="pt-BR"/>
        </w:rPr>
      </w:pPr>
      <w:r w:rsidRPr="00E47ECF">
        <w:rPr>
          <w:rFonts w:eastAsia="Arial" w:cs="Tahoma"/>
          <w:bCs/>
          <w:color w:val="000000"/>
          <w:szCs w:val="18"/>
          <w:lang w:val="pt-BR"/>
        </w:rPr>
        <w:t xml:space="preserve">O Arquiteto </w:t>
      </w:r>
      <w:r w:rsidRPr="00E47ECF">
        <w:rPr>
          <w:rFonts w:cs="Tahoma"/>
          <w:bCs/>
          <w:szCs w:val="18"/>
          <w:lang w:val="pt-BR"/>
        </w:rPr>
        <w:t xml:space="preserve">Enterprise trabalhará juntamente com o Cliente </w:t>
      </w:r>
      <w:r w:rsidRPr="00E47ECF">
        <w:rPr>
          <w:rFonts w:cs="Tahoma"/>
          <w:bCs/>
          <w:color w:val="000000"/>
          <w:szCs w:val="18"/>
          <w:lang w:val="pt-BR"/>
        </w:rPr>
        <w:t xml:space="preserve">para desenvolver um plano </w:t>
      </w:r>
      <w:r w:rsidRPr="00E47ECF">
        <w:rPr>
          <w:rFonts w:cs="Tahoma"/>
          <w:color w:val="000000"/>
          <w:szCs w:val="18"/>
          <w:lang w:val="pt-BR"/>
        </w:rPr>
        <w:t>a fim de ajudar o Cliente a</w:t>
      </w:r>
      <w:r w:rsidR="006A42EC" w:rsidRPr="00E47ECF">
        <w:rPr>
          <w:rFonts w:cs="Tahoma"/>
          <w:color w:val="000000"/>
          <w:szCs w:val="18"/>
          <w:lang w:val="pt-BR"/>
        </w:rPr>
        <w:t> </w:t>
      </w:r>
      <w:r w:rsidRPr="00E47ECF">
        <w:rPr>
          <w:rFonts w:cs="Tahoma"/>
          <w:color w:val="000000"/>
          <w:szCs w:val="18"/>
          <w:lang w:val="pt-BR"/>
        </w:rPr>
        <w:t>perceber objetivos de negócio identificados para a(s) iniciativa(s) selecionada(s) e mudar para seu futuro estado de</w:t>
      </w:r>
      <w:r w:rsidR="006A42EC" w:rsidRPr="00E47ECF">
        <w:rPr>
          <w:rFonts w:cs="Tahoma"/>
          <w:color w:val="000000"/>
          <w:szCs w:val="18"/>
          <w:lang w:val="pt-BR"/>
        </w:rPr>
        <w:t> </w:t>
      </w:r>
      <w:r w:rsidRPr="00E47ECF">
        <w:rPr>
          <w:rFonts w:cs="Tahoma"/>
          <w:color w:val="000000"/>
          <w:szCs w:val="18"/>
          <w:lang w:val="pt-BR"/>
        </w:rPr>
        <w:t>TI definido, ajudando a reduzir a implantação e as interrupções de operação, bem como acelerar o retorno sobre investimento.</w:t>
      </w:r>
    </w:p>
    <w:p w:rsidR="00CA52FE" w:rsidRPr="00E47ECF" w:rsidRDefault="00CA52FE" w:rsidP="00CA52FE">
      <w:pPr>
        <w:rPr>
          <w:lang w:val="pt-BR"/>
        </w:rPr>
      </w:pPr>
    </w:p>
    <w:p w:rsidR="00DD7F8E" w:rsidRPr="00E47ECF" w:rsidRDefault="00415DDA" w:rsidP="00E77F1E">
      <w:pPr>
        <w:spacing w:after="60"/>
        <w:rPr>
          <w:lang w:val="pt-BR"/>
        </w:rPr>
      </w:pPr>
      <w:r w:rsidRPr="00E47ECF">
        <w:rPr>
          <w:rFonts w:cs="Tahoma"/>
          <w:b/>
          <w:color w:val="000000"/>
          <w:szCs w:val="18"/>
          <w:lang w:val="pt-BR"/>
        </w:rPr>
        <w:t>Os Projetos Enterprise Strategy incluem:</w:t>
      </w:r>
    </w:p>
    <w:p w:rsidR="00DD7F8E" w:rsidRPr="00E47ECF" w:rsidRDefault="00DD7F8E" w:rsidP="00E77F1E">
      <w:pPr>
        <w:numPr>
          <w:ilvl w:val="0"/>
          <w:numId w:val="95"/>
        </w:numPr>
        <w:spacing w:after="60"/>
        <w:ind w:left="1440"/>
        <w:rPr>
          <w:lang w:val="pt-BR"/>
        </w:rPr>
      </w:pPr>
      <w:r w:rsidRPr="00E47ECF">
        <w:rPr>
          <w:rFonts w:eastAsia="Times New Roman" w:cs="Tahoma"/>
          <w:szCs w:val="20"/>
          <w:lang w:val="pt-BR"/>
        </w:rPr>
        <w:t xml:space="preserve">Documentação e alinhamento de tecnologias da Microsoft com os principais objetivos de negócios. </w:t>
      </w:r>
    </w:p>
    <w:p w:rsidR="00DD7F8E" w:rsidRPr="00E47ECF" w:rsidRDefault="00DD7F8E" w:rsidP="00E77F1E">
      <w:pPr>
        <w:numPr>
          <w:ilvl w:val="0"/>
          <w:numId w:val="95"/>
        </w:numPr>
        <w:tabs>
          <w:tab w:val="left" w:pos="1080"/>
        </w:tabs>
        <w:spacing w:after="60"/>
        <w:ind w:left="1440"/>
        <w:rPr>
          <w:lang w:val="pt-BR"/>
        </w:rPr>
      </w:pPr>
      <w:r w:rsidRPr="00E47ECF">
        <w:rPr>
          <w:rFonts w:eastAsia="Times New Roman" w:cs="Tahoma"/>
          <w:szCs w:val="20"/>
          <w:lang w:val="pt-BR"/>
        </w:rPr>
        <w:t>Desenvolvimento de um caso de negócios para identificar os benefícios e custos potenciais de cada unidade funcional ou de negócios que pode ser afetada pelo projeto.</w:t>
      </w:r>
    </w:p>
    <w:p w:rsidR="00DD7F8E" w:rsidRPr="00E47ECF" w:rsidRDefault="00DD7F8E" w:rsidP="00E77F1E">
      <w:pPr>
        <w:numPr>
          <w:ilvl w:val="0"/>
          <w:numId w:val="95"/>
        </w:numPr>
        <w:tabs>
          <w:tab w:val="left" w:pos="1080"/>
        </w:tabs>
        <w:spacing w:after="60"/>
        <w:ind w:left="1440"/>
        <w:rPr>
          <w:lang w:val="pt-BR"/>
        </w:rPr>
      </w:pPr>
      <w:r w:rsidRPr="00E47ECF">
        <w:rPr>
          <w:rFonts w:eastAsia="Times New Roman" w:cs="Tahoma"/>
          <w:szCs w:val="20"/>
          <w:lang w:val="pt-BR"/>
        </w:rPr>
        <w:t>Criação de um Documento de Definição de Arquitetura que descreve a arquitetura functional de aplicativos e tecnologias, bem como os requisitos de especificações compatíveis com as recomendações.</w:t>
      </w:r>
    </w:p>
    <w:p w:rsidR="00DD7F8E" w:rsidRPr="00E47ECF" w:rsidRDefault="00DD7F8E" w:rsidP="00E77F1E">
      <w:pPr>
        <w:numPr>
          <w:ilvl w:val="0"/>
          <w:numId w:val="95"/>
        </w:numPr>
        <w:tabs>
          <w:tab w:val="left" w:pos="1080"/>
        </w:tabs>
        <w:spacing w:after="60"/>
        <w:ind w:left="1440"/>
        <w:rPr>
          <w:lang w:val="pt-BR"/>
        </w:rPr>
      </w:pPr>
      <w:r w:rsidRPr="00E47ECF">
        <w:rPr>
          <w:rFonts w:eastAsia="Times New Roman" w:cs="Tahoma"/>
          <w:szCs w:val="20"/>
          <w:lang w:val="pt-BR"/>
        </w:rPr>
        <w:t>Criação de um Plano de Medição que descreve a métrica para avaliar o progresso com relação aos objetivos desejados de negócios, contabilidade e tempo.</w:t>
      </w:r>
    </w:p>
    <w:p w:rsidR="00DD7F8E" w:rsidRPr="00E47ECF" w:rsidRDefault="00DD7F8E" w:rsidP="00E77F1E">
      <w:pPr>
        <w:numPr>
          <w:ilvl w:val="0"/>
          <w:numId w:val="95"/>
        </w:numPr>
        <w:spacing w:after="60"/>
        <w:ind w:left="1440"/>
        <w:rPr>
          <w:lang w:val="pt-BR"/>
        </w:rPr>
      </w:pPr>
      <w:r w:rsidRPr="00E47ECF">
        <w:rPr>
          <w:rFonts w:eastAsia="Times New Roman" w:cs="Tahoma"/>
          <w:szCs w:val="20"/>
          <w:lang w:val="pt-BR"/>
        </w:rPr>
        <w:t>Ajustar as Práticas Recomendadas da Microsoft em supervisão/governança, adoção e medição ao ambiente do Cliente.</w:t>
      </w:r>
    </w:p>
    <w:p w:rsidR="00DD7F8E" w:rsidRPr="00E47ECF" w:rsidRDefault="00DD7F8E" w:rsidP="00E77F1E">
      <w:pPr>
        <w:numPr>
          <w:ilvl w:val="0"/>
          <w:numId w:val="95"/>
        </w:numPr>
        <w:spacing w:after="60"/>
        <w:ind w:left="1440"/>
        <w:rPr>
          <w:lang w:val="pt-BR"/>
        </w:rPr>
      </w:pPr>
      <w:r w:rsidRPr="00E47ECF">
        <w:rPr>
          <w:rFonts w:eastAsia="Times New Roman" w:cs="Tahoma"/>
          <w:szCs w:val="20"/>
          <w:lang w:val="pt-BR"/>
        </w:rPr>
        <w:t>Trabalhar com a equipe de gerenciamento do Cliente para estabelecer controle do programa</w:t>
      </w:r>
      <w:r w:rsidRPr="00E47ECF">
        <w:rPr>
          <w:rFonts w:eastAsia="Arial" w:cs="Tahoma"/>
          <w:szCs w:val="18"/>
          <w:lang w:val="pt-BR"/>
        </w:rPr>
        <w:t>.</w:t>
      </w:r>
    </w:p>
    <w:p w:rsidR="00415DDA" w:rsidRPr="00E47ECF" w:rsidDel="00954C6A" w:rsidRDefault="00415DDA" w:rsidP="00E77F1E">
      <w:pPr>
        <w:numPr>
          <w:ilvl w:val="0"/>
          <w:numId w:val="95"/>
        </w:numPr>
        <w:ind w:left="1440"/>
        <w:rPr>
          <w:lang w:val="pt-BR"/>
        </w:rPr>
      </w:pPr>
      <w:r w:rsidRPr="00E47ECF">
        <w:rPr>
          <w:rFonts w:eastAsia="Times New Roman" w:cs="Tahoma"/>
          <w:szCs w:val="20"/>
          <w:lang w:val="pt-BR"/>
        </w:rPr>
        <w:t>Revisão regular do progresso do Cliente com relação ao scorecard de objetivos de negócios.</w:t>
      </w:r>
    </w:p>
    <w:p w:rsidR="00CA52FE" w:rsidRPr="00E47ECF" w:rsidRDefault="00CA52FE" w:rsidP="00E77F1E">
      <w:pPr>
        <w:rPr>
          <w:lang w:val="pt-BR"/>
        </w:rPr>
      </w:pPr>
    </w:p>
    <w:p w:rsidR="00DD7F8E" w:rsidRPr="00E47ECF" w:rsidRDefault="00DD7F8E" w:rsidP="00DD7F8E">
      <w:pPr>
        <w:rPr>
          <w:lang w:val="pt-BR"/>
        </w:rPr>
      </w:pPr>
      <w:r w:rsidRPr="00E47ECF">
        <w:rPr>
          <w:rFonts w:eastAsia="Arial" w:cs="Arial"/>
          <w:b/>
          <w:sz w:val="24"/>
          <w:szCs w:val="18"/>
          <w:lang w:val="pt-BR"/>
        </w:rPr>
        <w:t>Benefícios do Programa</w:t>
      </w:r>
    </w:p>
    <w:p w:rsidR="00DD7F8E" w:rsidRPr="00E47ECF" w:rsidRDefault="00DD7F8E" w:rsidP="00DD7F8E">
      <w:pPr>
        <w:rPr>
          <w:lang w:val="pt-BR"/>
        </w:rPr>
      </w:pPr>
    </w:p>
    <w:p w:rsidR="00DD7F8E" w:rsidRPr="00E47ECF" w:rsidRDefault="00DD7F8E" w:rsidP="00DD7F8E">
      <w:pPr>
        <w:rPr>
          <w:szCs w:val="18"/>
          <w:lang w:val="pt-BR"/>
        </w:rPr>
      </w:pPr>
      <w:r w:rsidRPr="00E47ECF">
        <w:rPr>
          <w:rFonts w:eastAsia="Arial" w:cs="Arial"/>
          <w:szCs w:val="18"/>
          <w:lang w:val="pt-BR"/>
        </w:rPr>
        <w:t xml:space="preserve">Em todo o compromisso, estão disponíveis os seguintes benefícios do programa: </w:t>
      </w:r>
    </w:p>
    <w:p w:rsidR="00DD7F8E" w:rsidRPr="00E47ECF" w:rsidRDefault="00DD7F8E" w:rsidP="00DD7F8E">
      <w:pPr>
        <w:spacing w:after="60"/>
        <w:rPr>
          <w:szCs w:val="18"/>
          <w:lang w:val="pt-BR"/>
        </w:rPr>
      </w:pPr>
    </w:p>
    <w:p w:rsidR="00E77F1E" w:rsidRPr="00E47ECF" w:rsidRDefault="00E77F1E" w:rsidP="00E77F1E">
      <w:pPr>
        <w:spacing w:after="60"/>
        <w:rPr>
          <w:szCs w:val="18"/>
          <w:lang w:val="pt-BR"/>
        </w:rPr>
      </w:pPr>
      <w:r w:rsidRPr="00E47ECF">
        <w:rPr>
          <w:b/>
          <w:szCs w:val="18"/>
          <w:lang w:val="pt-BR"/>
        </w:rPr>
        <w:t>Enterprise Strategy Network</w:t>
      </w:r>
    </w:p>
    <w:p w:rsidR="00C151FB" w:rsidRPr="00E47ECF" w:rsidRDefault="00C151FB" w:rsidP="00C151FB">
      <w:pPr>
        <w:rPr>
          <w:szCs w:val="18"/>
          <w:lang w:val="pt-BR"/>
        </w:rPr>
      </w:pPr>
      <w:r w:rsidRPr="00E47ECF">
        <w:rPr>
          <w:szCs w:val="18"/>
          <w:lang w:val="pt-BR"/>
        </w:rPr>
        <w:t>O Programa Enterprise Strategy inclui uma conexão integral com as equipes de desenvolvimento e pesquisa da Microsoft e com os especialistas no assunto dos departamentos de serviços da Microsoft. Os Arquitetos Enterprise usam essa experiência no assunto para fornecer aos Clientes notificações de práticas recomendadas, orientações específicas em determinadas arquiteturas de referência e tecnologias da Microsoft. As recomendações de práticas recomendadas e materiais associados e ferramentas são incluídos na Biblioteca do Microsoft Enterprise Strategy para</w:t>
      </w:r>
      <w:r w:rsidR="006A42EC" w:rsidRPr="00E47ECF">
        <w:rPr>
          <w:szCs w:val="18"/>
          <w:lang w:val="pt-BR"/>
        </w:rPr>
        <w:t> </w:t>
      </w:r>
      <w:r w:rsidRPr="00E47ECF">
        <w:rPr>
          <w:szCs w:val="18"/>
          <w:lang w:val="pt-BR"/>
        </w:rPr>
        <w:t>ajudar a acelerar o fornecimento de projetos ESP aos clientes.</w:t>
      </w:r>
    </w:p>
    <w:p w:rsidR="001C1727" w:rsidRPr="00E47ECF" w:rsidRDefault="001C1727">
      <w:pPr>
        <w:rPr>
          <w:szCs w:val="18"/>
          <w:lang w:val="pt-BR"/>
        </w:rPr>
      </w:pPr>
    </w:p>
    <w:p w:rsidR="00E77F1E" w:rsidRPr="00E47ECF" w:rsidRDefault="00C151FB" w:rsidP="00E77F1E">
      <w:pPr>
        <w:spacing w:after="60"/>
        <w:rPr>
          <w:szCs w:val="18"/>
          <w:lang w:val="pt-BR"/>
        </w:rPr>
      </w:pPr>
      <w:r w:rsidRPr="00E47ECF">
        <w:rPr>
          <w:b/>
          <w:szCs w:val="18"/>
          <w:lang w:val="pt-BR"/>
        </w:rPr>
        <w:t>Enterprise Strategy Library</w:t>
      </w:r>
    </w:p>
    <w:p w:rsidR="00C151FB" w:rsidRPr="00E47ECF" w:rsidRDefault="00C151FB" w:rsidP="00E77F1E">
      <w:pPr>
        <w:rPr>
          <w:szCs w:val="18"/>
          <w:lang w:val="pt-BR"/>
        </w:rPr>
      </w:pPr>
      <w:r w:rsidRPr="00E47ECF">
        <w:rPr>
          <w:szCs w:val="18"/>
          <w:lang w:val="pt-BR"/>
        </w:rPr>
        <w:t xml:space="preserve">O Programa Enterprise Strategy inclui </w:t>
      </w:r>
      <w:r w:rsidRPr="00E47ECF">
        <w:rPr>
          <w:rFonts w:eastAsia="Arial" w:cs="Arial"/>
          <w:szCs w:val="18"/>
          <w:lang w:val="pt-BR"/>
        </w:rPr>
        <w:t>uma ampla coleção de materiais inclusive Ideias do Setor e ferramentas de Benchmarks, métodos e modelos de referência de Arquitetura Enterprise e Arquitetura de Solução. Dependendo das</w:t>
      </w:r>
      <w:r w:rsidR="006A42EC" w:rsidRPr="00E47ECF">
        <w:rPr>
          <w:rFonts w:eastAsia="Arial" w:cs="Arial"/>
          <w:szCs w:val="18"/>
          <w:lang w:val="pt-BR"/>
        </w:rPr>
        <w:t> </w:t>
      </w:r>
      <w:r w:rsidRPr="00E47ECF">
        <w:rPr>
          <w:rFonts w:eastAsia="Arial" w:cs="Arial"/>
          <w:szCs w:val="18"/>
          <w:lang w:val="pt-BR"/>
        </w:rPr>
        <w:t>necessidades dos Clientes, o Arquiteto Enterprise usa o conjunto de materiais e ferramentas apropriados.</w:t>
      </w:r>
    </w:p>
    <w:p w:rsidR="00C151FB" w:rsidRPr="00E47ECF" w:rsidRDefault="00C151FB" w:rsidP="00E77F1E">
      <w:pPr>
        <w:rPr>
          <w:szCs w:val="18"/>
          <w:lang w:val="pt-BR"/>
        </w:rPr>
      </w:pPr>
    </w:p>
    <w:p w:rsidR="00E77F1E" w:rsidRPr="00E47ECF" w:rsidRDefault="00E77F1E" w:rsidP="00E77F1E">
      <w:pPr>
        <w:spacing w:after="60"/>
        <w:rPr>
          <w:szCs w:val="18"/>
          <w:lang w:val="pt-BR"/>
        </w:rPr>
      </w:pPr>
      <w:r w:rsidRPr="00E47ECF">
        <w:rPr>
          <w:b/>
          <w:szCs w:val="18"/>
          <w:lang w:val="pt-BR"/>
        </w:rPr>
        <w:t>Oficinas do Compromisso</w:t>
      </w:r>
    </w:p>
    <w:p w:rsidR="00DD7F8E" w:rsidRPr="00E47ECF" w:rsidRDefault="00DD7F8E" w:rsidP="00E77F1E">
      <w:pPr>
        <w:rPr>
          <w:szCs w:val="18"/>
          <w:lang w:val="pt-BR"/>
        </w:rPr>
      </w:pPr>
      <w:r w:rsidRPr="00E47ECF">
        <w:rPr>
          <w:rFonts w:eastAsia="Arial" w:cs="Arial"/>
          <w:szCs w:val="18"/>
          <w:lang w:val="pt-BR"/>
        </w:rPr>
        <w:t>Essas oficinas de nível executivo tem duração de até um dia e geralmente são conduzidas em escritórios regionais da</w:t>
      </w:r>
      <w:r w:rsidR="006A42EC" w:rsidRPr="00E47ECF">
        <w:rPr>
          <w:rFonts w:eastAsia="Arial" w:cs="Arial"/>
          <w:szCs w:val="18"/>
          <w:lang w:val="pt-BR"/>
        </w:rPr>
        <w:t> </w:t>
      </w:r>
      <w:r w:rsidRPr="00E47ECF">
        <w:rPr>
          <w:rFonts w:eastAsia="Arial" w:cs="Arial"/>
          <w:szCs w:val="18"/>
          <w:lang w:val="pt-BR"/>
        </w:rPr>
        <w:t>Microsoft na subsidiária local. Elas são criadas e personalizadas para que os líderes de negócios e TI do Cliente compreendam a relevância das tecnologias emergentes e das ideias do setor para seus negócios.</w:t>
      </w:r>
      <w:r w:rsidR="00FB5496" w:rsidRPr="00E47ECF">
        <w:rPr>
          <w:rFonts w:eastAsia="Arial" w:cs="Arial"/>
          <w:szCs w:val="18"/>
          <w:lang w:val="pt-BR"/>
        </w:rPr>
        <w:t xml:space="preserve"> </w:t>
      </w:r>
      <w:r w:rsidRPr="00E47ECF">
        <w:rPr>
          <w:rFonts w:eastAsia="Arial" w:cs="Arial"/>
          <w:szCs w:val="18"/>
          <w:lang w:val="pt-BR"/>
        </w:rPr>
        <w:t>O Cliente é</w:t>
      </w:r>
      <w:r w:rsidR="006A42EC" w:rsidRPr="00E47ECF">
        <w:rPr>
          <w:rFonts w:eastAsia="Arial" w:cs="Arial"/>
          <w:szCs w:val="18"/>
          <w:lang w:val="pt-BR"/>
        </w:rPr>
        <w:t> </w:t>
      </w:r>
      <w:r w:rsidRPr="00E47ECF">
        <w:rPr>
          <w:rFonts w:eastAsia="Arial" w:cs="Arial"/>
          <w:szCs w:val="18"/>
          <w:lang w:val="pt-BR"/>
        </w:rPr>
        <w:t>responsável por arcar com os custos de participar dessas oficinas.</w:t>
      </w:r>
    </w:p>
    <w:p w:rsidR="00DD7F8E" w:rsidRPr="00E47ECF" w:rsidRDefault="00DD7F8E" w:rsidP="00E77F1E">
      <w:pPr>
        <w:rPr>
          <w:szCs w:val="18"/>
          <w:lang w:val="pt-BR"/>
        </w:rPr>
      </w:pPr>
    </w:p>
    <w:p w:rsidR="00E77F1E" w:rsidRPr="00E47ECF" w:rsidRDefault="00E77F1E" w:rsidP="00E77F1E">
      <w:pPr>
        <w:spacing w:after="60"/>
        <w:rPr>
          <w:rFonts w:cs="Tahoma"/>
          <w:lang w:val="pt-BR"/>
        </w:rPr>
      </w:pPr>
      <w:r w:rsidRPr="00E47ECF">
        <w:rPr>
          <w:rFonts w:cs="Tahoma"/>
          <w:b/>
          <w:szCs w:val="18"/>
          <w:lang w:val="pt-BR"/>
        </w:rPr>
        <w:lastRenderedPageBreak/>
        <w:t>Instruções Estratégicas</w:t>
      </w:r>
    </w:p>
    <w:p w:rsidR="00DD7F8E" w:rsidRPr="00E47ECF" w:rsidRDefault="00DD7F8E" w:rsidP="00E77F1E">
      <w:pPr>
        <w:spacing w:after="60"/>
        <w:rPr>
          <w:rFonts w:cs="Tahoma"/>
          <w:lang w:val="pt-BR"/>
        </w:rPr>
      </w:pPr>
      <w:r w:rsidRPr="00E47ECF">
        <w:rPr>
          <w:rFonts w:eastAsia="Arial" w:cs="Tahoma"/>
          <w:lang w:val="pt-BR"/>
        </w:rPr>
        <w:t>Trata-se de webconferências globais com duração de uma hora para líderes de negócios e TI a respeito de</w:t>
      </w:r>
      <w:r w:rsidR="006A42EC" w:rsidRPr="00E47ECF">
        <w:rPr>
          <w:rFonts w:eastAsia="Arial" w:cs="Tahoma"/>
          <w:lang w:val="pt-BR"/>
        </w:rPr>
        <w:t> </w:t>
      </w:r>
      <w:r w:rsidRPr="00E47ECF">
        <w:rPr>
          <w:rFonts w:eastAsia="Arial" w:cs="Tahoma"/>
          <w:lang w:val="pt-BR"/>
        </w:rPr>
        <w:t>oportunidades de negócios e do setor, tendências de tecnologia e perspectiva da Microsoft sobre pontos de</w:t>
      </w:r>
      <w:r w:rsidR="006A42EC" w:rsidRPr="00E47ECF">
        <w:rPr>
          <w:rFonts w:eastAsia="Arial" w:cs="Tahoma"/>
          <w:lang w:val="pt-BR"/>
        </w:rPr>
        <w:t> </w:t>
      </w:r>
      <w:r w:rsidRPr="00E47ECF">
        <w:rPr>
          <w:rFonts w:eastAsia="Arial" w:cs="Tahoma"/>
          <w:lang w:val="pt-BR"/>
        </w:rPr>
        <w:t>vistas</w:t>
      </w:r>
      <w:r w:rsidR="006A42EC" w:rsidRPr="00E47ECF">
        <w:rPr>
          <w:rFonts w:eastAsia="Arial" w:cs="Tahoma"/>
          <w:lang w:val="pt-BR"/>
        </w:rPr>
        <w:t> </w:t>
      </w:r>
      <w:r w:rsidRPr="00E47ECF">
        <w:rPr>
          <w:rFonts w:eastAsia="Arial" w:cs="Tahoma"/>
          <w:lang w:val="pt-BR"/>
        </w:rPr>
        <w:t>estratégicos para problemas importantes.</w:t>
      </w:r>
      <w:r w:rsidR="00FB5496" w:rsidRPr="00E47ECF">
        <w:rPr>
          <w:rFonts w:eastAsia="Arial" w:cs="Tahoma"/>
          <w:lang w:val="pt-BR"/>
        </w:rPr>
        <w:t xml:space="preserve"> </w:t>
      </w:r>
      <w:r w:rsidRPr="00E47ECF">
        <w:rPr>
          <w:rFonts w:eastAsia="Arial" w:cs="Tahoma"/>
          <w:lang w:val="pt-BR"/>
        </w:rPr>
        <w:t>Os Clientes também podem ver Instruções Estratégicas gravadas</w:t>
      </w:r>
      <w:r w:rsidR="006A42EC" w:rsidRPr="00E47ECF">
        <w:rPr>
          <w:rFonts w:eastAsia="Arial" w:cs="Tahoma"/>
          <w:lang w:val="pt-BR"/>
        </w:rPr>
        <w:t> </w:t>
      </w:r>
      <w:r w:rsidRPr="00E47ECF">
        <w:rPr>
          <w:rFonts w:eastAsia="Arial" w:cs="Tahoma"/>
          <w:lang w:val="pt-BR"/>
        </w:rPr>
        <w:t>anteriormente.</w:t>
      </w:r>
    </w:p>
    <w:p w:rsidR="00C151FB" w:rsidRPr="00E47ECF" w:rsidRDefault="00C151FB" w:rsidP="00E77F1E">
      <w:pPr>
        <w:rPr>
          <w:rFonts w:cs="Tahoma"/>
          <w:lang w:val="pt-BR"/>
        </w:rPr>
      </w:pPr>
    </w:p>
    <w:p w:rsidR="00E77F1E" w:rsidRPr="00E47ECF" w:rsidRDefault="00C151FB" w:rsidP="00E77F1E">
      <w:pPr>
        <w:spacing w:after="60"/>
        <w:rPr>
          <w:rFonts w:cs="Tahoma"/>
          <w:lang w:val="pt-BR"/>
        </w:rPr>
      </w:pPr>
      <w:r w:rsidRPr="00E47ECF">
        <w:rPr>
          <w:rFonts w:cs="Tahoma"/>
          <w:b/>
          <w:bCs/>
          <w:color w:val="000000"/>
          <w:szCs w:val="18"/>
          <w:lang w:val="pt-BR"/>
        </w:rPr>
        <w:t>Enterprise Strategy Capacity Complementar</w:t>
      </w:r>
    </w:p>
    <w:p w:rsidR="00C151FB" w:rsidRPr="00E47ECF" w:rsidRDefault="00C151FB" w:rsidP="00E77F1E">
      <w:pPr>
        <w:rPr>
          <w:rFonts w:cs="Tahoma"/>
          <w:lang w:val="pt-BR"/>
        </w:rPr>
      </w:pPr>
      <w:r w:rsidRPr="00E47ECF">
        <w:rPr>
          <w:rFonts w:cs="Tahoma"/>
          <w:color w:val="000000"/>
          <w:szCs w:val="18"/>
          <w:lang w:val="pt-BR"/>
        </w:rPr>
        <w:t>O Cliente pode comprar blocos de 200 horas de recursos de consultoria do Microsoft Enterprise Service para aprimorar o fornecimento de capacidade para Projetos Enterprise Strategy. O Enterprise Strategy Capacity Complementar está disponível para Clientes que compraram a oferta Enterprise Strategy Connect, Enterprise Strategy Foundation ou Enterprise Strategy Portfolio.</w:t>
      </w:r>
    </w:p>
    <w:p w:rsidR="00DD7F8E" w:rsidRPr="00E47ECF" w:rsidRDefault="00DD7F8E" w:rsidP="00E77F1E">
      <w:pPr>
        <w:rPr>
          <w:lang w:val="pt-BR"/>
        </w:rPr>
      </w:pPr>
    </w:p>
    <w:bookmarkEnd w:id="971"/>
    <w:bookmarkEnd w:id="972"/>
    <w:p w:rsidR="00DD7F8E" w:rsidRPr="00E47ECF" w:rsidRDefault="00DD7F8E" w:rsidP="00DD7F8E">
      <w:pPr>
        <w:rPr>
          <w:lang w:val="pt-BR"/>
        </w:rPr>
      </w:pPr>
      <w:r w:rsidRPr="00E47ECF">
        <w:rPr>
          <w:b/>
          <w:sz w:val="24"/>
          <w:szCs w:val="18"/>
          <w:lang w:val="pt-BR"/>
        </w:rPr>
        <w:t>Serviços Fora do Escopo</w:t>
      </w:r>
      <w:r w:rsidR="00FB5496" w:rsidRPr="00E47ECF">
        <w:rPr>
          <w:sz w:val="20"/>
          <w:szCs w:val="18"/>
          <w:lang w:val="pt-BR"/>
        </w:rPr>
        <w:t xml:space="preserve"> </w:t>
      </w:r>
    </w:p>
    <w:p w:rsidR="00DD7F8E" w:rsidRPr="00E47ECF" w:rsidRDefault="00DD7F8E" w:rsidP="00E77F1E">
      <w:pPr>
        <w:rPr>
          <w:lang w:val="pt-BR"/>
        </w:rPr>
      </w:pPr>
    </w:p>
    <w:p w:rsidR="00DD7F8E" w:rsidRPr="00E47ECF" w:rsidRDefault="00DD7F8E" w:rsidP="00DD7F8E">
      <w:pPr>
        <w:rPr>
          <w:szCs w:val="18"/>
          <w:lang w:val="pt-BR"/>
        </w:rPr>
      </w:pPr>
      <w:r w:rsidRPr="00E47ECF">
        <w:rPr>
          <w:szCs w:val="18"/>
          <w:lang w:val="pt-BR"/>
        </w:rPr>
        <w:t>O Programa Enterprise Strategy engloba exclusivamente consultoria e orientação a respeito da adoção das tecnologias da Microsoft por parte do Cliente.</w:t>
      </w:r>
      <w:r w:rsidR="00FB5496" w:rsidRPr="00E47ECF">
        <w:rPr>
          <w:szCs w:val="18"/>
          <w:lang w:val="pt-BR"/>
        </w:rPr>
        <w:t xml:space="preserve"> </w:t>
      </w:r>
      <w:r w:rsidRPr="00E47ECF">
        <w:rPr>
          <w:rFonts w:eastAsia="Arial" w:cs="Arial"/>
          <w:bCs/>
          <w:szCs w:val="18"/>
          <w:lang w:val="pt-BR"/>
        </w:rPr>
        <w:t>Fica a critério exclusivo do Cliente escolher seguir ou desconsiderar a</w:t>
      </w:r>
      <w:r w:rsidR="006A42EC" w:rsidRPr="00E47ECF">
        <w:rPr>
          <w:rFonts w:eastAsia="Arial" w:cs="Arial"/>
          <w:bCs/>
          <w:szCs w:val="18"/>
          <w:lang w:val="pt-BR"/>
        </w:rPr>
        <w:t> </w:t>
      </w:r>
      <w:r w:rsidRPr="00E47ECF">
        <w:rPr>
          <w:rFonts w:eastAsia="Arial" w:cs="Arial"/>
          <w:bCs/>
          <w:szCs w:val="18"/>
          <w:lang w:val="pt-BR"/>
        </w:rPr>
        <w:t>consultoria, a orientação e as recomendações da Microsoft.</w:t>
      </w:r>
      <w:r w:rsidR="00FB5496" w:rsidRPr="00E47ECF">
        <w:rPr>
          <w:rFonts w:eastAsia="Arial" w:cs="Arial"/>
          <w:bCs/>
          <w:szCs w:val="18"/>
          <w:lang w:val="pt-BR"/>
        </w:rPr>
        <w:t xml:space="preserve"> </w:t>
      </w:r>
      <w:r w:rsidRPr="00E47ECF">
        <w:rPr>
          <w:rFonts w:eastAsia="Arial" w:cs="Arial"/>
          <w:bCs/>
          <w:szCs w:val="18"/>
          <w:lang w:val="pt-BR"/>
        </w:rPr>
        <w:t>A Microsoft não faz promessas nem oferece garantias de nenhuma forma com relação aos resultados que possam ser alcançados pelo Cliente como resultado do seguimento da consultoria, das orientações ou das recomendações da Microsoft.</w:t>
      </w:r>
      <w:r w:rsidR="00FB5496" w:rsidRPr="00E47ECF">
        <w:rPr>
          <w:rFonts w:eastAsia="Arial" w:cs="Arial"/>
          <w:bCs/>
          <w:szCs w:val="18"/>
          <w:lang w:val="pt-BR"/>
        </w:rPr>
        <w:t xml:space="preserve"> </w:t>
      </w:r>
      <w:r w:rsidRPr="00E47ECF">
        <w:rPr>
          <w:szCs w:val="18"/>
          <w:lang w:val="pt-BR"/>
        </w:rPr>
        <w:t>As licenças de produto não estão incluídas.</w:t>
      </w:r>
      <w:r w:rsidR="00FB5496" w:rsidRPr="00E47ECF">
        <w:rPr>
          <w:szCs w:val="18"/>
          <w:lang w:val="pt-BR"/>
        </w:rPr>
        <w:t xml:space="preserve"> </w:t>
      </w:r>
      <w:r w:rsidRPr="00E47ECF">
        <w:rPr>
          <w:szCs w:val="18"/>
          <w:lang w:val="pt-BR"/>
        </w:rPr>
        <w:t xml:space="preserve">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w:t>
      </w:r>
      <w:r w:rsidR="007009C5" w:rsidRPr="00E47ECF">
        <w:rPr>
          <w:szCs w:val="18"/>
          <w:lang w:val="pt-BR"/>
        </w:rPr>
        <w:br/>
      </w:r>
      <w:r w:rsidRPr="00E47ECF">
        <w:rPr>
          <w:szCs w:val="18"/>
          <w:lang w:val="pt-BR"/>
        </w:rPr>
        <w:t>código-fonte que não seja da Microsoft, nossos Serviços serão limitados à análise de dados binários, tais como dump</w:t>
      </w:r>
      <w:r w:rsidR="007009C5" w:rsidRPr="00E47ECF">
        <w:rPr>
          <w:szCs w:val="18"/>
          <w:lang w:val="pt-BR"/>
        </w:rPr>
        <w:t> </w:t>
      </w:r>
      <w:r w:rsidRPr="00E47ECF">
        <w:rPr>
          <w:szCs w:val="18"/>
          <w:lang w:val="pt-BR"/>
        </w:rPr>
        <w:t>de processamento ou rastreamento de monitores de rede.</w:t>
      </w:r>
    </w:p>
    <w:p w:rsidR="00DD7F8E" w:rsidRPr="00E47ECF" w:rsidRDefault="00DD7F8E" w:rsidP="00E77F1E">
      <w:pPr>
        <w:rPr>
          <w:lang w:val="pt-BR"/>
        </w:rPr>
      </w:pPr>
    </w:p>
    <w:p w:rsidR="00DD7F8E" w:rsidRPr="00E47ECF" w:rsidRDefault="00DD7F8E" w:rsidP="00DD7F8E">
      <w:pPr>
        <w:rPr>
          <w:lang w:val="pt-BR"/>
        </w:rPr>
      </w:pPr>
      <w:r w:rsidRPr="00E47ECF">
        <w:rPr>
          <w:b/>
          <w:sz w:val="24"/>
          <w:szCs w:val="18"/>
          <w:lang w:val="pt-BR"/>
        </w:rPr>
        <w:t>Responsabilidades do Cliente</w:t>
      </w:r>
      <w:r w:rsidR="00FB5496" w:rsidRPr="00E47ECF">
        <w:rPr>
          <w:sz w:val="24"/>
          <w:szCs w:val="18"/>
          <w:lang w:val="pt-BR"/>
        </w:rPr>
        <w:t xml:space="preserve"> </w:t>
      </w:r>
    </w:p>
    <w:p w:rsidR="00DD7F8E" w:rsidRPr="00E47ECF" w:rsidRDefault="00DD7F8E" w:rsidP="00DD7F8E">
      <w:pPr>
        <w:rPr>
          <w:lang w:val="pt-BR"/>
        </w:rPr>
      </w:pPr>
    </w:p>
    <w:p w:rsidR="00DD7F8E" w:rsidRPr="00E47ECF" w:rsidRDefault="00DD7F8E" w:rsidP="00DD7F8E">
      <w:pPr>
        <w:rPr>
          <w:lang w:val="pt-BR"/>
        </w:rPr>
      </w:pPr>
      <w:r w:rsidRPr="00E47ECF">
        <w:rPr>
          <w:szCs w:val="18"/>
          <w:lang w:val="pt-BR"/>
        </w:rPr>
        <w:t>O sucesso do Programa Enterprise Strategy, bem como o desempenho de nossas obrigações, dependem do envolvimento do Cliente ao longo do programa, incluindo, sem limitação:</w:t>
      </w:r>
    </w:p>
    <w:p w:rsidR="00DD7F8E" w:rsidRPr="00E47ECF" w:rsidRDefault="00DD7F8E" w:rsidP="00DD7F8E">
      <w:pPr>
        <w:rPr>
          <w:lang w:val="pt-BR"/>
        </w:rPr>
      </w:pPr>
    </w:p>
    <w:p w:rsidR="00DD7F8E" w:rsidRPr="00E47ECF" w:rsidRDefault="00DD7F8E" w:rsidP="002C1048">
      <w:pPr>
        <w:numPr>
          <w:ilvl w:val="0"/>
          <w:numId w:val="96"/>
        </w:numPr>
        <w:tabs>
          <w:tab w:val="left" w:pos="1440"/>
        </w:tabs>
        <w:spacing w:after="60"/>
        <w:ind w:left="1440"/>
        <w:rPr>
          <w:lang w:val="pt-BR"/>
        </w:rPr>
      </w:pPr>
      <w:r w:rsidRPr="00E47ECF">
        <w:rPr>
          <w:color w:val="000000"/>
          <w:szCs w:val="18"/>
          <w:lang w:val="pt-BR"/>
        </w:rPr>
        <w:t xml:space="preserve">A disponibilidade de representantes, equipe de TI e recursos do Cliente, incluindo, sem limitação, hardware, software, conectividade de Internet e espaço no escritório; </w:t>
      </w:r>
    </w:p>
    <w:p w:rsidR="00DD7F8E" w:rsidRPr="00E47ECF" w:rsidRDefault="00DD7F8E" w:rsidP="002C1048">
      <w:pPr>
        <w:numPr>
          <w:ilvl w:val="0"/>
          <w:numId w:val="96"/>
        </w:numPr>
        <w:tabs>
          <w:tab w:val="left" w:pos="1440"/>
        </w:tabs>
        <w:spacing w:after="60"/>
        <w:ind w:left="1440"/>
        <w:rPr>
          <w:lang w:val="pt-BR"/>
        </w:rPr>
      </w:pPr>
      <w:r w:rsidRPr="00E47ECF">
        <w:rPr>
          <w:color w:val="000000"/>
          <w:szCs w:val="18"/>
          <w:lang w:val="pt-BR"/>
        </w:rPr>
        <w:t xml:space="preserve">Fornecimento de informações precisas e completas em tempo hábil por parte do Cliente; </w:t>
      </w:r>
    </w:p>
    <w:p w:rsidR="00DD7F8E" w:rsidRPr="00E47ECF" w:rsidRDefault="00DD7F8E" w:rsidP="002C1048">
      <w:pPr>
        <w:numPr>
          <w:ilvl w:val="0"/>
          <w:numId w:val="96"/>
        </w:numPr>
        <w:tabs>
          <w:tab w:val="left" w:pos="1440"/>
        </w:tabs>
        <w:spacing w:after="60"/>
        <w:ind w:left="1440"/>
        <w:rPr>
          <w:lang w:val="pt-BR"/>
        </w:rPr>
      </w:pPr>
      <w:r w:rsidRPr="00E47ECF">
        <w:rPr>
          <w:color w:val="000000"/>
          <w:szCs w:val="18"/>
          <w:lang w:val="pt-BR"/>
        </w:rPr>
        <w:t>Acesso a informações sobre a organização do Cliente;</w:t>
      </w:r>
    </w:p>
    <w:p w:rsidR="00DD7F8E" w:rsidRPr="00E47ECF" w:rsidRDefault="00DD7F8E" w:rsidP="002C1048">
      <w:pPr>
        <w:numPr>
          <w:ilvl w:val="0"/>
          <w:numId w:val="96"/>
        </w:numPr>
        <w:tabs>
          <w:tab w:val="left" w:pos="1440"/>
        </w:tabs>
        <w:spacing w:after="60"/>
        <w:ind w:left="1440"/>
        <w:rPr>
          <w:lang w:val="pt-BR"/>
        </w:rPr>
      </w:pPr>
      <w:r w:rsidRPr="00E47ECF">
        <w:rPr>
          <w:color w:val="000000"/>
          <w:szCs w:val="18"/>
          <w:lang w:val="pt-BR"/>
        </w:rPr>
        <w:t>Cumprimento tempestivo e eficaz das responsabilidades atribuídas ao Cliente; e</w:t>
      </w:r>
    </w:p>
    <w:p w:rsidR="00DD7F8E" w:rsidRPr="00E47ECF" w:rsidRDefault="00DD7F8E" w:rsidP="002C1048">
      <w:pPr>
        <w:numPr>
          <w:ilvl w:val="0"/>
          <w:numId w:val="96"/>
        </w:numPr>
        <w:tabs>
          <w:tab w:val="left" w:pos="1440"/>
        </w:tabs>
        <w:spacing w:after="60"/>
        <w:ind w:left="1440"/>
        <w:rPr>
          <w:lang w:val="pt-BR"/>
        </w:rPr>
      </w:pPr>
      <w:r w:rsidRPr="00E47ECF">
        <w:rPr>
          <w:color w:val="000000"/>
          <w:szCs w:val="18"/>
          <w:lang w:val="pt-BR"/>
        </w:rPr>
        <w:t>Decisões e aprovações tempestivas da administração do Cliente.</w:t>
      </w:r>
      <w:r w:rsidR="00FB5496" w:rsidRPr="00E47ECF">
        <w:rPr>
          <w:color w:val="000000"/>
          <w:szCs w:val="18"/>
          <w:lang w:val="pt-BR"/>
        </w:rPr>
        <w:t xml:space="preserve"> </w:t>
      </w:r>
    </w:p>
    <w:p w:rsidR="0064651F" w:rsidRPr="00E47ECF" w:rsidRDefault="0064651F" w:rsidP="00CA52FE">
      <w:pPr>
        <w:rPr>
          <w:lang w:val="pt-BR"/>
        </w:rPr>
      </w:pPr>
      <w:bookmarkStart w:id="973" w:name="_Toc288760404"/>
    </w:p>
    <w:p w:rsidR="00DD7F8E" w:rsidRPr="00E47ECF" w:rsidRDefault="00DD7F8E" w:rsidP="00CA52FE">
      <w:pPr>
        <w:rPr>
          <w:lang w:val="pt-BR"/>
        </w:rPr>
      </w:pPr>
      <w:r w:rsidRPr="00E47ECF">
        <w:rPr>
          <w:b/>
          <w:sz w:val="24"/>
          <w:szCs w:val="18"/>
          <w:lang w:val="pt-BR"/>
        </w:rPr>
        <w:t>Termos e Condições Adicionais dos Serviços</w:t>
      </w:r>
    </w:p>
    <w:p w:rsidR="00DD7F8E" w:rsidRPr="00E47ECF" w:rsidRDefault="00DD7F8E" w:rsidP="00CA52FE">
      <w:pPr>
        <w:rPr>
          <w:sz w:val="22"/>
          <w:lang w:val="pt-BR"/>
        </w:rPr>
      </w:pPr>
    </w:p>
    <w:p w:rsidR="00DD7F8E" w:rsidRPr="00E47ECF" w:rsidRDefault="00DB2D1E" w:rsidP="00E77F1E">
      <w:pPr>
        <w:spacing w:after="60"/>
        <w:rPr>
          <w:lang w:val="pt-BR"/>
        </w:rPr>
      </w:pPr>
      <w:bookmarkStart w:id="974" w:name="_Toc317591257"/>
      <w:bookmarkStart w:id="975" w:name="_Toc336338248"/>
      <w:bookmarkStart w:id="976" w:name="_Toc352234316"/>
      <w:r w:rsidRPr="00E47ECF">
        <w:rPr>
          <w:rStyle w:val="Heading2Char"/>
          <w:rFonts w:ascii="Tahoma" w:hAnsi="Tahoma"/>
          <w:sz w:val="20"/>
          <w:szCs w:val="20"/>
          <w:lang w:val="pt-BR"/>
        </w:rPr>
        <w:t>Direitos de uso, propriedade e licença</w:t>
      </w:r>
      <w:bookmarkEnd w:id="973"/>
      <w:bookmarkEnd w:id="974"/>
      <w:bookmarkEnd w:id="975"/>
      <w:bookmarkEnd w:id="976"/>
    </w:p>
    <w:p w:rsidR="00DB2D1E" w:rsidRPr="00E47ECF" w:rsidRDefault="00DB2D1E" w:rsidP="007E2720">
      <w:pPr>
        <w:pStyle w:val="normal1"/>
        <w:rPr>
          <w:rFonts w:ascii="Tahoma" w:hAnsi="Tahoma" w:cs="Tahoma"/>
          <w:sz w:val="18"/>
          <w:szCs w:val="18"/>
          <w:lang w:val="pt-BR"/>
        </w:rPr>
      </w:pPr>
      <w:r w:rsidRPr="00E47ECF">
        <w:rPr>
          <w:rFonts w:ascii="Tahoma" w:hAnsi="Tahoma" w:cs="Tahoma"/>
          <w:b/>
          <w:bCs/>
          <w:color w:val="000000"/>
          <w:sz w:val="18"/>
          <w:szCs w:val="18"/>
          <w:lang w:val="pt-BR"/>
        </w:rPr>
        <w:t>Consertos.</w:t>
      </w:r>
      <w:r w:rsidR="00FB5496" w:rsidRPr="00E47ECF">
        <w:rPr>
          <w:rFonts w:ascii="Tahoma" w:hAnsi="Tahoma" w:cs="Tahoma"/>
          <w:b/>
          <w:bCs/>
          <w:color w:val="000000"/>
          <w:sz w:val="18"/>
          <w:szCs w:val="18"/>
          <w:lang w:val="pt-BR"/>
        </w:rPr>
        <w:t xml:space="preserve"> </w:t>
      </w:r>
      <w:r w:rsidRPr="00E47ECF">
        <w:rPr>
          <w:rFonts w:ascii="Tahoma" w:hAnsi="Tahoma" w:cs="Tahoma"/>
          <w:bCs/>
          <w:color w:val="000000"/>
          <w:sz w:val="18"/>
          <w:szCs w:val="18"/>
          <w:lang w:val="pt-BR"/>
        </w:rPr>
        <w:t>Se a Microsoft fornecer Consertos ao Cliente no decorrer da execução dos Serviços, tais</w:t>
      </w:r>
      <w:r w:rsidRPr="00E47ECF">
        <w:rPr>
          <w:rFonts w:ascii="Tahoma" w:hAnsi="Tahoma" w:cs="Tahoma"/>
          <w:b/>
          <w:bCs/>
          <w:color w:val="000000"/>
          <w:sz w:val="18"/>
          <w:szCs w:val="18"/>
          <w:lang w:val="pt-BR"/>
        </w:rPr>
        <w:t xml:space="preserve"> </w:t>
      </w:r>
      <w:r w:rsidRPr="00E47ECF">
        <w:rPr>
          <w:rFonts w:ascii="Tahoma" w:hAnsi="Tahoma" w:cs="Tahoma"/>
          <w:color w:val="000000"/>
          <w:sz w:val="18"/>
          <w:szCs w:val="18"/>
          <w:lang w:val="pt-BR"/>
        </w:rPr>
        <w:t>Consertos serão</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licenciados de acordo com os termos da licença aplicáveis ao Produto ao qual os Consertos estão relacionados.</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Se os 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w:t>
      </w:r>
      <w:r w:rsidR="007E2720" w:rsidRPr="00E47ECF">
        <w:rPr>
          <w:rFonts w:ascii="Tahoma" w:hAnsi="Tahoma" w:cs="Tahoma"/>
          <w:color w:val="000000"/>
          <w:sz w:val="18"/>
          <w:szCs w:val="18"/>
          <w:lang w:val="pt-BR"/>
        </w:rPr>
        <w:t> </w:t>
      </w:r>
      <w:r w:rsidRPr="00E47ECF">
        <w:rPr>
          <w:rFonts w:ascii="Tahoma" w:hAnsi="Tahoma" w:cs="Tahoma"/>
          <w:color w:val="000000"/>
          <w:sz w:val="18"/>
          <w:szCs w:val="18"/>
          <w:lang w:val="pt-BR"/>
        </w:rPr>
        <w:t>uso interno.</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O Cliente não pode modificar, alterar o nome do arquivo dos Consertos ou combinar quaisquer Consertos com nenhum código de computador que não seja da Microsoft.</w:t>
      </w:r>
    </w:p>
    <w:p w:rsidR="003F47CB" w:rsidRPr="00E47ECF" w:rsidRDefault="003F47CB" w:rsidP="00CA52FE">
      <w:pPr>
        <w:pStyle w:val="normal1"/>
        <w:rPr>
          <w:rFonts w:ascii="Tahoma" w:hAnsi="Tahoma" w:cs="Tahoma"/>
          <w:sz w:val="18"/>
          <w:szCs w:val="18"/>
          <w:lang w:val="pt-BR"/>
        </w:rPr>
      </w:pPr>
    </w:p>
    <w:p w:rsidR="00DB2D1E" w:rsidRPr="00E47ECF" w:rsidRDefault="00DB2D1E" w:rsidP="00CA52FE">
      <w:pPr>
        <w:pStyle w:val="normal1"/>
        <w:rPr>
          <w:rFonts w:ascii="Tahoma" w:hAnsi="Tahoma" w:cs="Tahoma"/>
          <w:sz w:val="18"/>
          <w:szCs w:val="18"/>
          <w:lang w:val="pt-BR"/>
        </w:rPr>
      </w:pPr>
      <w:r w:rsidRPr="00E47ECF">
        <w:rPr>
          <w:rFonts w:ascii="Tahoma" w:hAnsi="Tahoma" w:cs="Tahoma"/>
          <w:b/>
          <w:bCs/>
          <w:color w:val="000000"/>
          <w:sz w:val="18"/>
          <w:szCs w:val="18"/>
          <w:lang w:val="pt-BR"/>
        </w:rPr>
        <w:t>Trabalho Preexistente.</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Todos os direitos em qualquer código de computador ou materiais escritos não baseados em código desenvolvidos ou de outra forma obtidos pelas ou para as partes ou suas Afiliadas, independentemente do</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presente contrato (“Trabalho Preexistente”), devem permanecer como propriedade exclusiva da parte que fornece o Trabalho Preexistente.</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Durante a realização dos Serviços, cada uma das partes concede à outra (bem como aos subcontratados da Microsoft, conforme necessário) uma licença temporária e não exclusiva para usar, reproduzir e</w:t>
      </w:r>
      <w:r w:rsidR="00FE2B0B" w:rsidRPr="00E47ECF">
        <w:rPr>
          <w:rFonts w:ascii="Tahoma" w:hAnsi="Tahoma" w:cs="Tahoma"/>
          <w:color w:val="000000"/>
          <w:sz w:val="18"/>
          <w:szCs w:val="18"/>
          <w:lang w:val="pt-BR"/>
        </w:rPr>
        <w:t> </w:t>
      </w:r>
      <w:r w:rsidRPr="00E47ECF">
        <w:rPr>
          <w:rFonts w:ascii="Tahoma" w:hAnsi="Tahoma" w:cs="Tahoma"/>
          <w:color w:val="000000"/>
          <w:sz w:val="18"/>
          <w:szCs w:val="18"/>
          <w:lang w:val="pt-BR"/>
        </w:rPr>
        <w:t>modificar seu Trabalho pré-existente fornecido à outra parte, unicamente conforme a necessidade para cumprir suas</w:t>
      </w:r>
      <w:r w:rsidR="00FE2B0B" w:rsidRPr="00E47ECF">
        <w:rPr>
          <w:rFonts w:ascii="Tahoma" w:hAnsi="Tahoma" w:cs="Tahoma"/>
          <w:color w:val="000000"/>
          <w:sz w:val="18"/>
          <w:szCs w:val="18"/>
          <w:lang w:val="pt-BR"/>
        </w:rPr>
        <w:t> </w:t>
      </w:r>
      <w:r w:rsidRPr="00E47ECF">
        <w:rPr>
          <w:rFonts w:ascii="Tahoma" w:hAnsi="Tahoma" w:cs="Tahoma"/>
          <w:color w:val="000000"/>
          <w:sz w:val="18"/>
          <w:szCs w:val="18"/>
          <w:lang w:val="pt-BR"/>
        </w:rPr>
        <w:t>obrigações relacionadas aos Serviços.</w:t>
      </w:r>
    </w:p>
    <w:p w:rsidR="00DB2D1E" w:rsidRPr="00E47ECF" w:rsidRDefault="00DB2D1E" w:rsidP="00CA52FE">
      <w:pPr>
        <w:pStyle w:val="normal1"/>
        <w:rPr>
          <w:rFonts w:ascii="Tahoma" w:hAnsi="Tahoma" w:cs="Tahoma"/>
          <w:sz w:val="18"/>
          <w:szCs w:val="18"/>
          <w:lang w:val="pt-BR"/>
        </w:rPr>
      </w:pPr>
      <w:r w:rsidRPr="00E47ECF">
        <w:rPr>
          <w:rFonts w:ascii="Tahoma" w:hAnsi="Tahoma" w:cs="Tahoma"/>
          <w:color w:val="000000"/>
          <w:sz w:val="18"/>
          <w:szCs w:val="18"/>
          <w:lang w:val="pt-BR"/>
        </w:rPr>
        <w:lastRenderedPageBreak/>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w:t>
      </w:r>
      <w:r w:rsidR="00FE2B0B" w:rsidRPr="00E47ECF">
        <w:rPr>
          <w:rFonts w:ascii="Tahoma" w:hAnsi="Tahoma" w:cs="Tahoma"/>
          <w:color w:val="000000"/>
          <w:sz w:val="18"/>
          <w:szCs w:val="18"/>
          <w:lang w:val="pt-BR"/>
        </w:rPr>
        <w:t> </w:t>
      </w:r>
      <w:r w:rsidRPr="00E47ECF">
        <w:rPr>
          <w:rFonts w:ascii="Tahoma" w:hAnsi="Tahoma" w:cs="Tahoma"/>
          <w:color w:val="000000"/>
          <w:sz w:val="18"/>
          <w:szCs w:val="18"/>
          <w:lang w:val="pt-BR"/>
        </w:rPr>
        <w:t>o</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Trabalho Preexistente da Microsoft está sujeita ao cumprimento dos termos do presente contrato por parte</w:t>
      </w:r>
      <w:r w:rsidR="00FE2B0B" w:rsidRPr="00E47ECF">
        <w:rPr>
          <w:rFonts w:ascii="Tahoma" w:hAnsi="Tahoma" w:cs="Tahoma"/>
          <w:color w:val="000000"/>
          <w:sz w:val="18"/>
          <w:szCs w:val="18"/>
          <w:lang w:val="pt-BR"/>
        </w:rPr>
        <w:t> </w:t>
      </w:r>
      <w:r w:rsidRPr="00E47ECF">
        <w:rPr>
          <w:rFonts w:ascii="Tahoma" w:hAnsi="Tahoma" w:cs="Tahoma"/>
          <w:color w:val="000000"/>
          <w:sz w:val="18"/>
          <w:szCs w:val="18"/>
          <w:lang w:val="pt-BR"/>
        </w:rPr>
        <w:t>do</w:t>
      </w:r>
      <w:r w:rsidR="00FE2B0B" w:rsidRPr="00E47ECF">
        <w:rPr>
          <w:rFonts w:ascii="Tahoma" w:hAnsi="Tahoma" w:cs="Tahoma"/>
          <w:color w:val="000000"/>
          <w:sz w:val="18"/>
          <w:szCs w:val="18"/>
          <w:lang w:val="pt-BR"/>
        </w:rPr>
        <w:t> </w:t>
      </w:r>
      <w:r w:rsidRPr="00E47ECF">
        <w:rPr>
          <w:rFonts w:ascii="Tahoma" w:hAnsi="Tahoma" w:cs="Tahoma"/>
          <w:color w:val="000000"/>
          <w:sz w:val="18"/>
          <w:szCs w:val="18"/>
          <w:lang w:val="pt-BR"/>
        </w:rPr>
        <w:t>Cliente.</w:t>
      </w:r>
    </w:p>
    <w:p w:rsidR="003F47CB" w:rsidRPr="00E47ECF" w:rsidRDefault="003F47CB" w:rsidP="00CA52FE">
      <w:pPr>
        <w:pStyle w:val="normal1"/>
        <w:rPr>
          <w:rFonts w:ascii="Tahoma" w:hAnsi="Tahoma" w:cs="Tahoma"/>
          <w:sz w:val="18"/>
          <w:szCs w:val="18"/>
          <w:lang w:val="pt-BR"/>
        </w:rPr>
      </w:pPr>
    </w:p>
    <w:p w:rsidR="00DB2D1E" w:rsidRPr="00E47ECF" w:rsidRDefault="00DB2D1E" w:rsidP="007E2720">
      <w:pPr>
        <w:pStyle w:val="normal1"/>
        <w:rPr>
          <w:rFonts w:ascii="Tahoma" w:hAnsi="Tahoma" w:cs="Tahoma"/>
          <w:sz w:val="18"/>
          <w:szCs w:val="18"/>
          <w:lang w:val="pt-BR"/>
        </w:rPr>
      </w:pPr>
      <w:r w:rsidRPr="00E47ECF">
        <w:rPr>
          <w:rFonts w:ascii="Tahoma" w:hAnsi="Tahoma" w:cs="Tahoma"/>
          <w:b/>
          <w:bCs/>
          <w:color w:val="000000"/>
          <w:sz w:val="18"/>
          <w:szCs w:val="18"/>
          <w:lang w:val="pt-BR"/>
        </w:rPr>
        <w:t>Desenvolvimentos</w:t>
      </w:r>
      <w:r w:rsidRPr="00E47ECF">
        <w:rPr>
          <w:rFonts w:ascii="Tahoma" w:hAnsi="Tahoma" w:cs="Tahoma"/>
          <w:b/>
          <w:color w:val="000000"/>
          <w:sz w:val="18"/>
          <w:szCs w:val="18"/>
          <w:lang w:val="pt-BR"/>
        </w:rPr>
        <w:t>.</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w:t>
      </w:r>
      <w:r w:rsidR="007E2720" w:rsidRPr="00E47ECF">
        <w:rPr>
          <w:rFonts w:ascii="Tahoma" w:hAnsi="Tahoma" w:cs="Tahoma"/>
          <w:color w:val="000000"/>
          <w:sz w:val="18"/>
          <w:szCs w:val="18"/>
          <w:lang w:val="pt-BR"/>
        </w:rPr>
        <w:t> </w:t>
      </w:r>
      <w:r w:rsidRPr="00E47ECF">
        <w:rPr>
          <w:rFonts w:ascii="Tahoma" w:hAnsi="Tahoma" w:cs="Tahoma"/>
          <w:color w:val="000000"/>
          <w:sz w:val="18"/>
          <w:szCs w:val="18"/>
          <w:lang w:val="pt-BR"/>
        </w:rPr>
        <w:t>conclusão de uma contratação de Serviços (“Desenvolvimentos”).</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Cada uma das partes deverá ser a única proprietária de quaisquer modificações feitas a partir dos Desenvolvimentos.</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O Cliente concorda em exercer seus</w:t>
      </w:r>
      <w:r w:rsidR="007E2720" w:rsidRPr="00E47ECF">
        <w:rPr>
          <w:rFonts w:ascii="Tahoma" w:hAnsi="Tahoma" w:cs="Tahoma"/>
          <w:color w:val="000000"/>
          <w:sz w:val="18"/>
          <w:szCs w:val="18"/>
          <w:lang w:val="pt-BR"/>
        </w:rPr>
        <w:t> </w:t>
      </w:r>
      <w:r w:rsidRPr="00E47ECF">
        <w:rPr>
          <w:rFonts w:ascii="Tahoma" w:hAnsi="Tahoma" w:cs="Tahoma"/>
          <w:color w:val="000000"/>
          <w:sz w:val="18"/>
          <w:szCs w:val="18"/>
          <w:lang w:val="pt-BR"/>
        </w:rPr>
        <w:t>direitos sobre quaisquer Desenvolvimentos unicamente para as operações comerciais internas do Cliente, e</w:t>
      </w:r>
      <w:r w:rsidR="007E2720" w:rsidRPr="00E47ECF">
        <w:rPr>
          <w:rFonts w:ascii="Tahoma" w:hAnsi="Tahoma" w:cs="Tahoma"/>
          <w:color w:val="000000"/>
          <w:sz w:val="18"/>
          <w:szCs w:val="18"/>
          <w:lang w:val="pt-BR"/>
        </w:rPr>
        <w:t> </w:t>
      </w:r>
      <w:r w:rsidRPr="00E47ECF">
        <w:rPr>
          <w:rFonts w:ascii="Tahoma" w:hAnsi="Tahoma" w:cs="Tahoma"/>
          <w:color w:val="000000"/>
          <w:sz w:val="18"/>
          <w:szCs w:val="18"/>
          <w:lang w:val="pt-BR"/>
        </w:rPr>
        <w:t>não</w:t>
      </w:r>
      <w:r w:rsidR="007E2720" w:rsidRPr="00E47ECF">
        <w:rPr>
          <w:rFonts w:ascii="Tahoma" w:hAnsi="Tahoma" w:cs="Tahoma"/>
          <w:color w:val="000000"/>
          <w:sz w:val="18"/>
          <w:szCs w:val="18"/>
          <w:lang w:val="pt-BR"/>
        </w:rPr>
        <w:t> </w:t>
      </w:r>
      <w:r w:rsidRPr="00E47ECF">
        <w:rPr>
          <w:rFonts w:ascii="Tahoma" w:hAnsi="Tahoma" w:cs="Tahoma"/>
          <w:color w:val="000000"/>
          <w:sz w:val="18"/>
          <w:szCs w:val="18"/>
          <w:lang w:val="pt-BR"/>
        </w:rPr>
        <w:t>para</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revender ou distribuir quaisquer Desenvolvimentos a terceiros.</w:t>
      </w:r>
    </w:p>
    <w:p w:rsidR="003F47CB" w:rsidRPr="00E47ECF" w:rsidRDefault="003F47CB" w:rsidP="00CA52FE">
      <w:pPr>
        <w:pStyle w:val="normal1"/>
        <w:rPr>
          <w:rFonts w:ascii="Tahoma" w:hAnsi="Tahoma" w:cs="Tahoma"/>
          <w:sz w:val="18"/>
          <w:szCs w:val="18"/>
          <w:lang w:val="pt-BR"/>
        </w:rPr>
      </w:pPr>
    </w:p>
    <w:p w:rsidR="00222641" w:rsidRPr="00E47ECF" w:rsidRDefault="00222641" w:rsidP="00CA52FE">
      <w:pPr>
        <w:rPr>
          <w:rFonts w:cs="Tahoma"/>
          <w:szCs w:val="18"/>
          <w:lang w:val="pt-BR"/>
        </w:rPr>
      </w:pPr>
      <w:r w:rsidRPr="00E47ECF">
        <w:rPr>
          <w:rFonts w:eastAsia="Calibri" w:cs="Tahoma"/>
          <w:b/>
          <w:bCs/>
          <w:color w:val="000000"/>
          <w:szCs w:val="18"/>
          <w:lang w:val="pt-BR"/>
        </w:rPr>
        <w:t>Materiais.</w:t>
      </w:r>
      <w:r w:rsidR="00FB5496" w:rsidRPr="00E47ECF">
        <w:rPr>
          <w:rFonts w:eastAsia="Calibri" w:cs="Tahoma"/>
          <w:b/>
          <w:bCs/>
          <w:color w:val="000000"/>
          <w:szCs w:val="18"/>
          <w:lang w:val="pt-BR"/>
        </w:rPr>
        <w:t xml:space="preserve"> </w:t>
      </w:r>
      <w:r w:rsidRPr="00E47ECF">
        <w:rPr>
          <w:rFonts w:eastAsia="Calibri" w:cs="Tahoma"/>
          <w:bCs/>
          <w:color w:val="000000"/>
          <w:szCs w:val="18"/>
          <w:lang w:val="pt-BR"/>
        </w:rPr>
        <w:t>Todos os direitos sobre os materiais desenvolvidos por Nós (que não sejam código de software) e fornecidos ao cliente junto com o Suporte Profissional e Suporte para Windows Azure (</w:t>
      </w:r>
      <w:r w:rsidR="00910E93" w:rsidRPr="00E47ECF">
        <w:rPr>
          <w:rFonts w:eastAsia="Calibri" w:cs="Tahoma"/>
          <w:bCs/>
          <w:color w:val="000000"/>
          <w:szCs w:val="18"/>
          <w:lang w:val="pt-BR"/>
        </w:rPr>
        <w:t>“</w:t>
      </w:r>
      <w:r w:rsidRPr="00E47ECF">
        <w:rPr>
          <w:rFonts w:eastAsia="Calibri" w:cs="Tahoma"/>
          <w:bCs/>
          <w:color w:val="000000"/>
          <w:szCs w:val="18"/>
          <w:lang w:val="pt-BR"/>
        </w:rPr>
        <w:t>Materiais</w:t>
      </w:r>
      <w:r w:rsidR="00910E93" w:rsidRPr="00E47ECF">
        <w:rPr>
          <w:rFonts w:eastAsia="Calibri" w:cs="Tahoma"/>
          <w:bCs/>
          <w:color w:val="000000"/>
          <w:szCs w:val="18"/>
          <w:lang w:val="pt-BR"/>
        </w:rPr>
        <w:t>”</w:t>
      </w:r>
      <w:r w:rsidRPr="00E47ECF">
        <w:rPr>
          <w:rFonts w:eastAsia="Calibri" w:cs="Tahoma"/>
          <w:bCs/>
          <w:color w:val="000000"/>
          <w:szCs w:val="18"/>
          <w:lang w:val="pt-BR"/>
        </w:rPr>
        <w:t>) são de Nossa propriedade, exceto na medida em que esses Materiais fizerem parte do Trabalho Pré-existente do cliente.</w:t>
      </w:r>
      <w:r w:rsidR="00FB5496" w:rsidRPr="00E47ECF">
        <w:rPr>
          <w:rFonts w:eastAsia="Calibri" w:cs="Tahoma"/>
          <w:bCs/>
          <w:color w:val="000000"/>
          <w:szCs w:val="18"/>
          <w:lang w:val="pt-BR"/>
        </w:rPr>
        <w:t xml:space="preserve"> </w:t>
      </w:r>
      <w:r w:rsidRPr="00E47ECF">
        <w:rPr>
          <w:rFonts w:eastAsia="Calibri" w:cs="Tahoma"/>
          <w:bCs/>
          <w:color w:val="000000"/>
          <w:szCs w:val="18"/>
          <w:lang w:val="pt-BR"/>
        </w:rPr>
        <w:t>A Microsoft outorgará aos clientes uma licença não exclusiva, perpétua e totalmente quitada para uso, reprodução e</w:t>
      </w:r>
      <w:r w:rsidR="006A42EC" w:rsidRPr="00E47ECF">
        <w:rPr>
          <w:rFonts w:eastAsia="Calibri" w:cs="Tahoma"/>
          <w:bCs/>
          <w:color w:val="000000"/>
          <w:szCs w:val="18"/>
          <w:lang w:val="pt-BR"/>
        </w:rPr>
        <w:t> </w:t>
      </w:r>
      <w:r w:rsidRPr="00E47ECF">
        <w:rPr>
          <w:rFonts w:eastAsia="Calibri" w:cs="Tahoma"/>
          <w:bCs/>
          <w:color w:val="000000"/>
          <w:szCs w:val="18"/>
          <w:lang w:val="pt-BR"/>
        </w:rPr>
        <w:t>modificação dos Materiais somente para uso nas operações empresariais internas dos clientes e sem obrigação de</w:t>
      </w:r>
      <w:r w:rsidR="006A42EC" w:rsidRPr="00E47ECF">
        <w:rPr>
          <w:rFonts w:eastAsia="Calibri" w:cs="Tahoma"/>
          <w:bCs/>
          <w:color w:val="000000"/>
          <w:szCs w:val="18"/>
          <w:lang w:val="pt-BR"/>
        </w:rPr>
        <w:t> </w:t>
      </w:r>
      <w:r w:rsidRPr="00E47ECF">
        <w:rPr>
          <w:rFonts w:eastAsia="Calibri" w:cs="Tahoma"/>
          <w:bCs/>
          <w:color w:val="000000"/>
          <w:szCs w:val="18"/>
          <w:lang w:val="pt-BR"/>
        </w:rPr>
        <w:t>contabilidade ou pagamento de royalties.</w:t>
      </w:r>
      <w:r w:rsidR="00FB5496" w:rsidRPr="00E47ECF">
        <w:rPr>
          <w:rFonts w:eastAsia="Calibri" w:cs="Tahoma"/>
          <w:bCs/>
          <w:color w:val="000000"/>
          <w:szCs w:val="18"/>
          <w:lang w:val="pt-BR"/>
        </w:rPr>
        <w:t xml:space="preserve"> </w:t>
      </w:r>
      <w:r w:rsidRPr="00E47ECF">
        <w:rPr>
          <w:rFonts w:eastAsia="Calibri" w:cs="Tahoma"/>
          <w:bCs/>
          <w:color w:val="000000"/>
          <w:szCs w:val="18"/>
          <w:lang w:val="pt-BR"/>
        </w:rPr>
        <w:t>Os clientes poderão sublicenciar os direitos outorgados neste documento para suas Afiliadas.</w:t>
      </w:r>
      <w:r w:rsidR="00FB5496" w:rsidRPr="00E47ECF">
        <w:rPr>
          <w:rFonts w:eastAsia="Calibri" w:cs="Tahoma"/>
          <w:bCs/>
          <w:color w:val="000000"/>
          <w:szCs w:val="18"/>
          <w:lang w:val="pt-BR"/>
        </w:rPr>
        <w:t xml:space="preserve"> </w:t>
      </w:r>
      <w:r w:rsidRPr="00E47ECF">
        <w:rPr>
          <w:rFonts w:eastAsia="Calibri" w:cs="Tahoma"/>
          <w:bCs/>
          <w:color w:val="000000"/>
          <w:szCs w:val="18"/>
          <w:lang w:val="pt-BR"/>
        </w:rPr>
        <w:t>Todos os direitos não outorgados expressamente estão reservados.</w:t>
      </w:r>
    </w:p>
    <w:p w:rsidR="003F47CB" w:rsidRPr="00E47ECF" w:rsidRDefault="003F47CB" w:rsidP="00CA52FE">
      <w:pPr>
        <w:rPr>
          <w:rFonts w:cs="Tahoma"/>
          <w:szCs w:val="18"/>
          <w:lang w:val="pt-BR"/>
        </w:rPr>
      </w:pPr>
    </w:p>
    <w:p w:rsidR="00B53C3C" w:rsidRPr="00E47ECF" w:rsidRDefault="00B53C3C" w:rsidP="007E2720">
      <w:pPr>
        <w:rPr>
          <w:rFonts w:cs="Tahoma"/>
          <w:szCs w:val="18"/>
          <w:lang w:val="pt-BR"/>
        </w:rPr>
      </w:pPr>
      <w:r w:rsidRPr="00E47ECF">
        <w:rPr>
          <w:rFonts w:eastAsia="Calibri" w:cs="Tahoma"/>
          <w:b/>
          <w:bCs/>
          <w:color w:val="000000"/>
          <w:szCs w:val="18"/>
          <w:lang w:val="pt-BR"/>
        </w:rPr>
        <w:t>Código de Amostra.</w:t>
      </w:r>
      <w:r w:rsidR="00FB5496" w:rsidRPr="00E47ECF">
        <w:rPr>
          <w:rFonts w:eastAsia="Calibri" w:cs="Tahoma"/>
          <w:b/>
          <w:bCs/>
          <w:color w:val="000000"/>
          <w:szCs w:val="18"/>
          <w:lang w:val="pt-BR"/>
        </w:rPr>
        <w:t xml:space="preserve"> </w:t>
      </w:r>
      <w:r w:rsidRPr="00E47ECF">
        <w:rPr>
          <w:rFonts w:eastAsia="Calibri" w:cs="Tahoma"/>
          <w:bCs/>
          <w:color w:val="000000"/>
          <w:szCs w:val="18"/>
          <w:lang w:val="pt-BR"/>
        </w:rPr>
        <w:t>A Microsoft concede aos clientes o direito não exclusivo, perpétuo e livre de royalties para usar e modificar códigos de software fornecidos para fins de esclarecimento (</w:t>
      </w:r>
      <w:r w:rsidR="00910E93" w:rsidRPr="00E47ECF">
        <w:rPr>
          <w:rFonts w:eastAsia="Calibri" w:cs="Tahoma"/>
          <w:bCs/>
          <w:color w:val="000000"/>
          <w:szCs w:val="18"/>
          <w:lang w:val="pt-BR"/>
        </w:rPr>
        <w:t>“</w:t>
      </w:r>
      <w:r w:rsidRPr="00E47ECF">
        <w:rPr>
          <w:rFonts w:eastAsia="Calibri" w:cs="Tahoma"/>
          <w:bCs/>
          <w:color w:val="000000"/>
          <w:szCs w:val="18"/>
          <w:lang w:val="pt-BR"/>
        </w:rPr>
        <w:t>Código de Amostra</w:t>
      </w:r>
      <w:r w:rsidR="00910E93" w:rsidRPr="00E47ECF">
        <w:rPr>
          <w:rFonts w:eastAsia="Calibri" w:cs="Tahoma"/>
          <w:bCs/>
          <w:color w:val="000000"/>
          <w:szCs w:val="18"/>
          <w:lang w:val="pt-BR"/>
        </w:rPr>
        <w:t>”</w:t>
      </w:r>
      <w:r w:rsidRPr="00E47ECF">
        <w:rPr>
          <w:rFonts w:eastAsia="Calibri" w:cs="Tahoma"/>
          <w:bCs/>
          <w:color w:val="000000"/>
          <w:szCs w:val="18"/>
          <w:lang w:val="pt-BR"/>
        </w:rPr>
        <w:t>) e reproduzir e</w:t>
      </w:r>
      <w:r w:rsidR="006A42EC" w:rsidRPr="00E47ECF">
        <w:rPr>
          <w:rFonts w:eastAsia="Calibri" w:cs="Tahoma"/>
          <w:bCs/>
          <w:color w:val="000000"/>
          <w:szCs w:val="18"/>
          <w:lang w:val="pt-BR"/>
        </w:rPr>
        <w:t> </w:t>
      </w:r>
      <w:r w:rsidRPr="00E47ECF">
        <w:rPr>
          <w:rFonts w:eastAsia="Calibri" w:cs="Tahoma"/>
          <w:bCs/>
          <w:color w:val="000000"/>
          <w:szCs w:val="18"/>
          <w:lang w:val="pt-BR"/>
        </w:rPr>
        <w:t>distribuir o formato do código-objeto do Código de Amostra desde que os clientes concordem em: (i) não usar o</w:t>
      </w:r>
      <w:r w:rsidR="006A42EC" w:rsidRPr="00E47ECF">
        <w:rPr>
          <w:rFonts w:eastAsia="Calibri" w:cs="Tahoma"/>
          <w:bCs/>
          <w:color w:val="000000"/>
          <w:szCs w:val="18"/>
          <w:lang w:val="pt-BR"/>
        </w:rPr>
        <w:t> </w:t>
      </w:r>
      <w:r w:rsidRPr="00E47ECF">
        <w:rPr>
          <w:rFonts w:eastAsia="Calibri" w:cs="Tahoma"/>
          <w:bCs/>
          <w:color w:val="000000"/>
          <w:szCs w:val="18"/>
          <w:lang w:val="pt-BR"/>
        </w:rPr>
        <w:t>nome, logotipo ou marcas da Microsoft para comercializar o software em que o Código de Amostra estiver incorporado; (ii) incluir uma notificação de direitos autorais válida no software em que o Código de Amostra estiver</w:t>
      </w:r>
      <w:r w:rsidR="006A42EC" w:rsidRPr="00E47ECF">
        <w:rPr>
          <w:rFonts w:eastAsia="Calibri" w:cs="Tahoma"/>
          <w:bCs/>
          <w:color w:val="000000"/>
          <w:szCs w:val="18"/>
          <w:lang w:val="pt-BR"/>
        </w:rPr>
        <w:t> </w:t>
      </w:r>
      <w:r w:rsidRPr="00E47ECF">
        <w:rPr>
          <w:rFonts w:eastAsia="Calibri" w:cs="Tahoma"/>
          <w:bCs/>
          <w:color w:val="000000"/>
          <w:szCs w:val="18"/>
          <w:lang w:val="pt-BR"/>
        </w:rPr>
        <w:t>incorporado e (iii) indenizar, isentar de responsabilidade e defender a Microsoft e Seus fornecedores de</w:t>
      </w:r>
      <w:r w:rsidR="007E2720" w:rsidRPr="00E47ECF">
        <w:rPr>
          <w:rFonts w:eastAsia="Calibri" w:cs="Tahoma"/>
          <w:bCs/>
          <w:color w:val="000000"/>
          <w:szCs w:val="18"/>
          <w:lang w:val="pt-BR"/>
        </w:rPr>
        <w:t> </w:t>
      </w:r>
      <w:r w:rsidRPr="00E47ECF">
        <w:rPr>
          <w:rFonts w:eastAsia="Calibri" w:cs="Tahoma"/>
          <w:bCs/>
          <w:color w:val="000000"/>
          <w:szCs w:val="18"/>
          <w:lang w:val="pt-BR"/>
        </w:rPr>
        <w:t>requerimentos judiciais ou extrajudiciais ou ações judiciais, incluindo honorários advocatícios, decorrentes de</w:t>
      </w:r>
      <w:r w:rsidR="007E2720" w:rsidRPr="00E47ECF">
        <w:rPr>
          <w:rFonts w:eastAsia="Calibri" w:cs="Tahoma"/>
          <w:bCs/>
          <w:color w:val="000000"/>
          <w:szCs w:val="18"/>
          <w:lang w:val="pt-BR"/>
        </w:rPr>
        <w:t> </w:t>
      </w:r>
      <w:r w:rsidRPr="00E47ECF">
        <w:rPr>
          <w:rFonts w:eastAsia="Calibri" w:cs="Tahoma"/>
          <w:bCs/>
          <w:color w:val="000000"/>
          <w:szCs w:val="18"/>
          <w:lang w:val="pt-BR"/>
        </w:rPr>
        <w:t>uso</w:t>
      </w:r>
      <w:r w:rsidR="007E2720" w:rsidRPr="00E47ECF">
        <w:rPr>
          <w:rFonts w:eastAsia="Calibri" w:cs="Tahoma"/>
          <w:bCs/>
          <w:color w:val="000000"/>
          <w:szCs w:val="18"/>
          <w:lang w:val="pt-BR"/>
        </w:rPr>
        <w:t> </w:t>
      </w:r>
      <w:r w:rsidRPr="00E47ECF">
        <w:rPr>
          <w:rFonts w:eastAsia="Calibri" w:cs="Tahoma"/>
          <w:bCs/>
          <w:color w:val="000000"/>
          <w:szCs w:val="18"/>
          <w:lang w:val="pt-BR"/>
        </w:rPr>
        <w:t>ou</w:t>
      </w:r>
      <w:r w:rsidR="006A42EC" w:rsidRPr="00E47ECF">
        <w:rPr>
          <w:rFonts w:eastAsia="Calibri" w:cs="Tahoma"/>
          <w:bCs/>
          <w:color w:val="000000"/>
          <w:szCs w:val="18"/>
          <w:lang w:val="pt-BR"/>
        </w:rPr>
        <w:t> </w:t>
      </w:r>
      <w:r w:rsidRPr="00E47ECF">
        <w:rPr>
          <w:rFonts w:eastAsia="Calibri" w:cs="Tahoma"/>
          <w:bCs/>
          <w:color w:val="000000"/>
          <w:szCs w:val="18"/>
          <w:lang w:val="pt-BR"/>
        </w:rPr>
        <w:t>dis</w:t>
      </w:r>
      <w:r w:rsidR="007E2720" w:rsidRPr="00E47ECF">
        <w:rPr>
          <w:rFonts w:eastAsia="Calibri" w:cs="Tahoma"/>
          <w:bCs/>
          <w:color w:val="000000"/>
          <w:szCs w:val="18"/>
          <w:lang w:val="pt-BR"/>
        </w:rPr>
        <w:t>tribuição do Código de Amostra.</w:t>
      </w:r>
    </w:p>
    <w:p w:rsidR="003F47CB" w:rsidRPr="00E47ECF" w:rsidRDefault="003F47CB" w:rsidP="00CA52FE">
      <w:pPr>
        <w:rPr>
          <w:rFonts w:cs="Tahoma"/>
          <w:szCs w:val="18"/>
          <w:lang w:val="pt-BR"/>
        </w:rPr>
      </w:pPr>
    </w:p>
    <w:p w:rsidR="00DB2D1E" w:rsidRPr="00E47ECF" w:rsidRDefault="00DB2D1E" w:rsidP="00CA52FE">
      <w:pPr>
        <w:pStyle w:val="normal1"/>
        <w:rPr>
          <w:rFonts w:ascii="Tahoma" w:hAnsi="Tahoma" w:cs="Tahoma"/>
          <w:sz w:val="18"/>
          <w:szCs w:val="18"/>
          <w:lang w:val="pt-BR"/>
        </w:rPr>
      </w:pPr>
      <w:r w:rsidRPr="00E47ECF">
        <w:rPr>
          <w:rFonts w:ascii="Tahoma" w:hAnsi="Tahoma" w:cs="Tahoma"/>
          <w:b/>
          <w:bCs/>
          <w:color w:val="000000"/>
          <w:sz w:val="18"/>
          <w:szCs w:val="18"/>
          <w:lang w:val="pt-BR"/>
        </w:rPr>
        <w:t>Restrições de licença de software livre</w:t>
      </w:r>
      <w:r w:rsidRPr="00E47ECF">
        <w:rPr>
          <w:rFonts w:ascii="Tahoma" w:hAnsi="Tahoma" w:cs="Tahoma"/>
          <w:b/>
          <w:color w:val="000000"/>
          <w:sz w:val="18"/>
          <w:szCs w:val="18"/>
          <w:lang w:val="pt-BR"/>
        </w:rPr>
        <w:t>.</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Como alguns termos de licença de terceiros exigem que os códigos do</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computador sejam, em geral, (i) divulgados a terceiros em forma de código-fonte; (ii) licenciados a terceiros com</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a finalidade de fazer trabalhos derivados; ou (iii) redistribuíveis a terceiros sem nenhum custo (em conjunto, “Termos de Licença de Software Livre”), os direitos de licença que cada parte concedeu a qualquer código de computador (ou qualquer propriedade intelectual associada ao mesmo) não incluem nenhuma licença, direito, poder</w:t>
      </w:r>
      <w:r w:rsidR="00FE2B0B" w:rsidRPr="00E47ECF">
        <w:rPr>
          <w:rFonts w:ascii="Tahoma" w:hAnsi="Tahoma" w:cs="Tahoma"/>
          <w:color w:val="000000"/>
          <w:sz w:val="18"/>
          <w:szCs w:val="18"/>
          <w:lang w:val="pt-BR"/>
        </w:rPr>
        <w:t> </w:t>
      </w:r>
      <w:r w:rsidRPr="00E47ECF">
        <w:rPr>
          <w:rFonts w:ascii="Tahoma" w:hAnsi="Tahoma" w:cs="Tahoma"/>
          <w:color w:val="000000"/>
          <w:sz w:val="18"/>
          <w:szCs w:val="18"/>
          <w:lang w:val="pt-BR"/>
        </w:rPr>
        <w:t>ou autoridade para incorporar, modificar, combinar e/ou distribuir o referido código de computador com qualquer outro código de computador de uma maneira que sujeitaria o código de computador de outrem aos Termos</w:t>
      </w:r>
      <w:r w:rsidR="00FE2B0B" w:rsidRPr="00E47ECF">
        <w:rPr>
          <w:rFonts w:ascii="Tahoma" w:hAnsi="Tahoma" w:cs="Tahoma"/>
          <w:color w:val="000000"/>
          <w:sz w:val="18"/>
          <w:szCs w:val="18"/>
          <w:lang w:val="pt-BR"/>
        </w:rPr>
        <w:t> </w:t>
      </w:r>
      <w:r w:rsidRPr="00E47ECF">
        <w:rPr>
          <w:rFonts w:ascii="Tahoma" w:hAnsi="Tahoma" w:cs="Tahoma"/>
          <w:color w:val="000000"/>
          <w:sz w:val="18"/>
          <w:szCs w:val="18"/>
          <w:lang w:val="pt-BR"/>
        </w:rPr>
        <w:t>de Licença de Software Livre.</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Além disso, cada uma das partes garante que não fornecerá ou entregará à</w:t>
      </w:r>
      <w:r w:rsidR="00FE2B0B" w:rsidRPr="00E47ECF">
        <w:rPr>
          <w:rFonts w:ascii="Tahoma" w:hAnsi="Tahoma" w:cs="Tahoma"/>
          <w:color w:val="000000"/>
          <w:sz w:val="18"/>
          <w:szCs w:val="18"/>
          <w:lang w:val="pt-BR"/>
        </w:rPr>
        <w:t> </w:t>
      </w:r>
      <w:r w:rsidRPr="00E47ECF">
        <w:rPr>
          <w:rFonts w:ascii="Tahoma" w:hAnsi="Tahoma" w:cs="Tahoma"/>
          <w:color w:val="000000"/>
          <w:sz w:val="18"/>
          <w:szCs w:val="18"/>
          <w:lang w:val="pt-BR"/>
        </w:rPr>
        <w:t>outra parte nenhum código de computador que seja regido pelos Termos de Licença de Software Livre.</w:t>
      </w:r>
    </w:p>
    <w:p w:rsidR="003F47CB" w:rsidRPr="00E47ECF" w:rsidRDefault="003F47CB" w:rsidP="00CA52FE">
      <w:pPr>
        <w:pStyle w:val="normal1"/>
        <w:rPr>
          <w:rFonts w:ascii="Tahoma" w:hAnsi="Tahoma" w:cs="Tahoma"/>
          <w:sz w:val="18"/>
          <w:szCs w:val="18"/>
          <w:lang w:val="pt-BR"/>
        </w:rPr>
      </w:pPr>
    </w:p>
    <w:p w:rsidR="00DB2D1E" w:rsidRPr="00E47ECF" w:rsidRDefault="00DB2D1E" w:rsidP="00CA52FE">
      <w:pPr>
        <w:pStyle w:val="normal1"/>
        <w:rPr>
          <w:rFonts w:ascii="Tahoma" w:hAnsi="Tahoma" w:cs="Tahoma"/>
          <w:sz w:val="18"/>
          <w:szCs w:val="18"/>
          <w:lang w:val="pt-BR"/>
        </w:rPr>
      </w:pPr>
      <w:r w:rsidRPr="00E47ECF">
        <w:rPr>
          <w:rFonts w:ascii="Tahoma" w:hAnsi="Tahoma" w:cs="Tahoma"/>
          <w:b/>
          <w:bCs/>
          <w:color w:val="000000"/>
          <w:sz w:val="18"/>
          <w:szCs w:val="18"/>
          <w:lang w:val="pt-BR"/>
        </w:rPr>
        <w:t>Direitos das Afiliadas.</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O Cliente pode sublicenciar a suas Afiliadas os direitos contidos nesta subseção relacionados</w:t>
      </w:r>
      <w:r w:rsidR="007009C5" w:rsidRPr="00E47ECF">
        <w:rPr>
          <w:rFonts w:ascii="Tahoma" w:hAnsi="Tahoma" w:cs="Tahoma"/>
          <w:color w:val="000000"/>
          <w:sz w:val="18"/>
          <w:szCs w:val="18"/>
          <w:lang w:val="pt-BR"/>
        </w:rPr>
        <w:t> </w:t>
      </w:r>
      <w:r w:rsidRPr="00E47ECF">
        <w:rPr>
          <w:rFonts w:ascii="Tahoma" w:hAnsi="Tahoma" w:cs="Tahoma"/>
          <w:color w:val="000000"/>
          <w:sz w:val="18"/>
          <w:szCs w:val="18"/>
          <w:lang w:val="pt-BR"/>
        </w:rPr>
        <w:t xml:space="preserve">aos Serviços Entregues, mas as Afiliadas do Cliente não podem sublicenciar esses direitos </w:t>
      </w:r>
      <w:r w:rsidR="007009C5" w:rsidRPr="00E47ECF">
        <w:rPr>
          <w:rFonts w:ascii="Tahoma" w:hAnsi="Tahoma" w:cs="Tahoma"/>
          <w:color w:val="000000"/>
          <w:sz w:val="18"/>
          <w:szCs w:val="18"/>
          <w:lang w:val="pt-BR"/>
        </w:rPr>
        <w:br/>
      </w:r>
      <w:r w:rsidRPr="00E47ECF">
        <w:rPr>
          <w:rFonts w:ascii="Tahoma" w:hAnsi="Tahoma" w:cs="Tahoma"/>
          <w:color w:val="000000"/>
          <w:sz w:val="18"/>
          <w:szCs w:val="18"/>
          <w:lang w:val="pt-BR"/>
        </w:rPr>
        <w:t>e o uso feito pelas Afiliadas do Cliente deve ser compatível com os termos de licença previstos neste contrato.</w:t>
      </w:r>
    </w:p>
    <w:p w:rsidR="001C1727" w:rsidRPr="00E47ECF" w:rsidRDefault="001C1727">
      <w:pPr>
        <w:rPr>
          <w:rFonts w:cs="Tahoma"/>
          <w:szCs w:val="18"/>
          <w:lang w:val="pt-BR"/>
        </w:rPr>
      </w:pPr>
    </w:p>
    <w:p w:rsidR="00DB2D1E" w:rsidRPr="00E47ECF" w:rsidRDefault="00DB2D1E" w:rsidP="00CA52FE">
      <w:pPr>
        <w:rPr>
          <w:rFonts w:cs="Tahoma"/>
          <w:szCs w:val="18"/>
          <w:lang w:val="pt-BR"/>
        </w:rPr>
      </w:pPr>
      <w:r w:rsidRPr="00E47ECF">
        <w:rPr>
          <w:rFonts w:cs="Tahoma"/>
          <w:b/>
          <w:bCs/>
          <w:color w:val="000000"/>
          <w:szCs w:val="18"/>
          <w:lang w:val="pt-BR"/>
        </w:rPr>
        <w:t>Reserva de direitos.</w:t>
      </w:r>
      <w:r w:rsidR="00FB5496" w:rsidRPr="00E47ECF">
        <w:rPr>
          <w:rFonts w:cs="Tahoma"/>
          <w:color w:val="000000"/>
          <w:szCs w:val="18"/>
          <w:lang w:val="pt-BR"/>
        </w:rPr>
        <w:t xml:space="preserve"> </w:t>
      </w:r>
      <w:r w:rsidRPr="00E47ECF">
        <w:rPr>
          <w:rFonts w:cs="Tahoma"/>
          <w:color w:val="000000"/>
          <w:szCs w:val="18"/>
          <w:lang w:val="pt-BR"/>
        </w:rPr>
        <w:t>Qualquer direito não concedido expressamente permanece reservado.</w:t>
      </w:r>
    </w:p>
    <w:p w:rsidR="00DB2D1E" w:rsidRPr="00E47ECF" w:rsidRDefault="00DB2D1E" w:rsidP="00CA52FE">
      <w:pPr>
        <w:rPr>
          <w:lang w:val="pt-BR"/>
        </w:rPr>
      </w:pPr>
    </w:p>
    <w:p w:rsidR="007009C5" w:rsidRPr="00E47ECF" w:rsidRDefault="007009C5" w:rsidP="00E77F1E">
      <w:pPr>
        <w:spacing w:after="60"/>
        <w:rPr>
          <w:b/>
          <w:szCs w:val="18"/>
          <w:lang w:val="pt-BR"/>
        </w:rPr>
      </w:pPr>
    </w:p>
    <w:p w:rsidR="007009C5" w:rsidRPr="00E47ECF" w:rsidRDefault="007009C5" w:rsidP="00E77F1E">
      <w:pPr>
        <w:spacing w:after="60"/>
        <w:rPr>
          <w:b/>
          <w:szCs w:val="18"/>
          <w:lang w:val="pt-BR"/>
        </w:rPr>
      </w:pPr>
    </w:p>
    <w:p w:rsidR="007009C5" w:rsidRPr="00E47ECF" w:rsidRDefault="007009C5" w:rsidP="00E77F1E">
      <w:pPr>
        <w:spacing w:after="60"/>
        <w:rPr>
          <w:b/>
          <w:szCs w:val="18"/>
          <w:lang w:val="pt-BR"/>
        </w:rPr>
      </w:pPr>
    </w:p>
    <w:p w:rsidR="007009C5" w:rsidRPr="00E47ECF" w:rsidRDefault="007009C5" w:rsidP="00E77F1E">
      <w:pPr>
        <w:spacing w:after="60"/>
        <w:rPr>
          <w:b/>
          <w:szCs w:val="18"/>
          <w:lang w:val="pt-BR"/>
        </w:rPr>
      </w:pPr>
    </w:p>
    <w:p w:rsidR="007009C5" w:rsidRPr="00E47ECF" w:rsidRDefault="007009C5" w:rsidP="00E77F1E">
      <w:pPr>
        <w:spacing w:after="60"/>
        <w:rPr>
          <w:b/>
          <w:szCs w:val="18"/>
          <w:lang w:val="pt-BR"/>
        </w:rPr>
      </w:pPr>
    </w:p>
    <w:p w:rsidR="007009C5" w:rsidRPr="00E47ECF" w:rsidRDefault="007009C5" w:rsidP="00E77F1E">
      <w:pPr>
        <w:spacing w:after="60"/>
        <w:rPr>
          <w:b/>
          <w:szCs w:val="18"/>
          <w:lang w:val="pt-BR"/>
        </w:rPr>
      </w:pPr>
    </w:p>
    <w:p w:rsidR="007009C5" w:rsidRPr="00E47ECF" w:rsidRDefault="007009C5" w:rsidP="00E77F1E">
      <w:pPr>
        <w:spacing w:after="60"/>
        <w:rPr>
          <w:b/>
          <w:szCs w:val="18"/>
          <w:lang w:val="pt-BR"/>
        </w:rPr>
      </w:pPr>
    </w:p>
    <w:p w:rsidR="007009C5" w:rsidRPr="00E47ECF" w:rsidRDefault="007009C5" w:rsidP="00E77F1E">
      <w:pPr>
        <w:spacing w:after="60"/>
        <w:rPr>
          <w:b/>
          <w:szCs w:val="18"/>
          <w:lang w:val="pt-BR"/>
        </w:rPr>
      </w:pPr>
    </w:p>
    <w:p w:rsidR="007009C5" w:rsidRPr="00E47ECF" w:rsidRDefault="007009C5" w:rsidP="00E77F1E">
      <w:pPr>
        <w:spacing w:after="60"/>
        <w:rPr>
          <w:b/>
          <w:szCs w:val="18"/>
          <w:lang w:val="pt-BR"/>
        </w:rPr>
      </w:pPr>
    </w:p>
    <w:p w:rsidR="00DD7F8E" w:rsidRPr="00E47ECF" w:rsidRDefault="00DD7F8E" w:rsidP="00E77F1E">
      <w:pPr>
        <w:spacing w:after="60"/>
        <w:rPr>
          <w:lang w:val="pt-BR"/>
        </w:rPr>
      </w:pPr>
      <w:r w:rsidRPr="00E47ECF">
        <w:rPr>
          <w:b/>
          <w:szCs w:val="18"/>
          <w:lang w:val="pt-BR"/>
        </w:rPr>
        <w:lastRenderedPageBreak/>
        <w:t>Garantias, Isenções e Limitações de Responsabilidade</w:t>
      </w:r>
    </w:p>
    <w:p w:rsidR="00DD7F8E" w:rsidRPr="00E47ECF" w:rsidRDefault="00DD7F8E" w:rsidP="00CA52FE">
      <w:pPr>
        <w:ind w:left="360"/>
        <w:rPr>
          <w:lang w:val="pt-BR"/>
        </w:rPr>
      </w:pPr>
      <w:r w:rsidRPr="00E47ECF">
        <w:rPr>
          <w:rFonts w:cs="Tahoma"/>
          <w:b/>
          <w:color w:val="000000"/>
          <w:szCs w:val="18"/>
          <w:lang w:val="pt-BR"/>
        </w:rPr>
        <w:t>Garantia dos Serviços</w:t>
      </w:r>
      <w:r w:rsidRPr="00E47ECF">
        <w:rPr>
          <w:rFonts w:cs="Tahoma"/>
          <w:b/>
          <w:bCs/>
          <w:color w:val="000000"/>
          <w:szCs w:val="18"/>
          <w:lang w:val="pt-BR"/>
        </w:rPr>
        <w:t>.</w:t>
      </w:r>
      <w:r w:rsidR="00FB5496" w:rsidRPr="00E47ECF">
        <w:rPr>
          <w:rFonts w:cs="Tahoma"/>
          <w:color w:val="000000"/>
          <w:szCs w:val="18"/>
          <w:lang w:val="pt-BR"/>
        </w:rPr>
        <w:t xml:space="preserve"> </w:t>
      </w:r>
      <w:r w:rsidRPr="00E47ECF">
        <w:rPr>
          <w:rFonts w:cs="Tahoma"/>
          <w:color w:val="000000"/>
          <w:szCs w:val="18"/>
          <w:lang w:val="pt-BR"/>
        </w:rPr>
        <w:t>A Microsoft garante que todos os Serviços serão realizados com cuidado e</w:t>
      </w:r>
      <w:r w:rsidR="007009C5" w:rsidRPr="00E47ECF">
        <w:rPr>
          <w:rFonts w:cs="Tahoma"/>
          <w:color w:val="000000"/>
          <w:szCs w:val="18"/>
          <w:lang w:val="pt-BR"/>
        </w:rPr>
        <w:t> </w:t>
      </w:r>
      <w:r w:rsidRPr="00E47ECF">
        <w:rPr>
          <w:rFonts w:cs="Tahoma"/>
          <w:color w:val="000000"/>
          <w:szCs w:val="18"/>
          <w:lang w:val="pt-BR"/>
        </w:rPr>
        <w:t>qualificação</w:t>
      </w:r>
      <w:r w:rsidR="00FE2B0B" w:rsidRPr="00E47ECF">
        <w:rPr>
          <w:rFonts w:cs="Tahoma"/>
          <w:color w:val="000000"/>
          <w:szCs w:val="18"/>
          <w:lang w:val="pt-BR"/>
        </w:rPr>
        <w:t> </w:t>
      </w:r>
      <w:r w:rsidRPr="00E47ECF">
        <w:rPr>
          <w:rFonts w:cs="Tahoma"/>
          <w:color w:val="000000"/>
          <w:szCs w:val="18"/>
          <w:lang w:val="pt-BR"/>
        </w:rPr>
        <w:t>profissionais.</w:t>
      </w:r>
    </w:p>
    <w:p w:rsidR="00DD7F8E" w:rsidRPr="00E47ECF" w:rsidRDefault="00DD7F8E" w:rsidP="00CA52FE">
      <w:pPr>
        <w:ind w:left="360"/>
        <w:rPr>
          <w:lang w:val="pt-BR"/>
        </w:rPr>
      </w:pPr>
    </w:p>
    <w:p w:rsidR="00DD7F8E" w:rsidRPr="00E47ECF" w:rsidRDefault="00DD7F8E" w:rsidP="00CA52FE">
      <w:pPr>
        <w:ind w:left="360"/>
        <w:rPr>
          <w:lang w:val="pt-BR"/>
        </w:rPr>
      </w:pPr>
      <w:r w:rsidRPr="00E47ECF">
        <w:rPr>
          <w:b/>
          <w:szCs w:val="18"/>
          <w:lang w:val="pt-BR"/>
        </w:rPr>
        <w:t>AUSÊNCIA DE OUTRAS GARANTIAS</w:t>
      </w:r>
      <w:r w:rsidRPr="00E47ECF">
        <w:rPr>
          <w:b/>
          <w:iCs/>
          <w:szCs w:val="18"/>
          <w:lang w:val="pt-BR"/>
        </w:rPr>
        <w:t>.</w:t>
      </w:r>
      <w:r w:rsidR="00FB5496" w:rsidRPr="00E47ECF">
        <w:rPr>
          <w:szCs w:val="18"/>
          <w:lang w:val="pt-BR"/>
        </w:rPr>
        <w:t xml:space="preserve"> </w:t>
      </w:r>
      <w:r w:rsidRPr="00E47ECF">
        <w:rPr>
          <w:szCs w:val="18"/>
          <w:lang w:val="pt-BR"/>
        </w:rPr>
        <w:t>NO LIMITE PERMITIDO PELA LEI APLICÁVEL, A MICROSOFT EXCLUI</w:t>
      </w:r>
      <w:r w:rsidR="006A42EC" w:rsidRPr="00E47ECF">
        <w:rPr>
          <w:szCs w:val="18"/>
          <w:lang w:val="pt-BR"/>
        </w:rPr>
        <w:t> </w:t>
      </w:r>
      <w:r w:rsidRPr="00E47ECF">
        <w:rPr>
          <w:szCs w:val="18"/>
          <w:lang w:val="pt-BR"/>
        </w:rPr>
        <w:t>E</w:t>
      </w:r>
      <w:r w:rsidR="006A42EC" w:rsidRPr="00E47ECF">
        <w:rPr>
          <w:szCs w:val="18"/>
          <w:lang w:val="pt-BR"/>
        </w:rPr>
        <w:t> </w:t>
      </w:r>
      <w:r w:rsidRPr="00E47ECF">
        <w:rPr>
          <w:szCs w:val="18"/>
          <w:lang w:val="pt-BR"/>
        </w:rPr>
        <w:t>ISENTA-SE DE TODAS AS DECLARAÇÕES, GARANTIAS E CONDIÇÕES, EXPRESSAS, IMPLÍCITAS</w:t>
      </w:r>
      <w:r w:rsidR="006A42EC" w:rsidRPr="00E47ECF">
        <w:rPr>
          <w:szCs w:val="18"/>
          <w:lang w:val="pt-BR"/>
        </w:rPr>
        <w:t> </w:t>
      </w:r>
      <w:r w:rsidRPr="00E47ECF">
        <w:rPr>
          <w:szCs w:val="18"/>
          <w:lang w:val="pt-BR"/>
        </w:rPr>
        <w:t>OU</w:t>
      </w:r>
      <w:r w:rsidR="006A42EC" w:rsidRPr="00E47ECF">
        <w:rPr>
          <w:szCs w:val="18"/>
          <w:lang w:val="pt-BR"/>
        </w:rPr>
        <w:t> </w:t>
      </w:r>
      <w:r w:rsidRPr="00E47ECF">
        <w:rPr>
          <w:szCs w:val="18"/>
          <w:lang w:val="pt-BR"/>
        </w:rPr>
        <w:t>CONTIDAS EM LEI, QUE NÃO SEJAM AQUELAS IDENTIFICADAS DE MANEIRA EXPRESSA NESTE</w:t>
      </w:r>
      <w:r w:rsidR="006A42EC" w:rsidRPr="00E47ECF">
        <w:rPr>
          <w:szCs w:val="18"/>
          <w:lang w:val="pt-BR"/>
        </w:rPr>
        <w:t> </w:t>
      </w:r>
      <w:r w:rsidRPr="00E47ECF">
        <w:rPr>
          <w:szCs w:val="18"/>
          <w:lang w:val="pt-BR"/>
        </w:rPr>
        <w:t>CONTRATO.</w:t>
      </w:r>
      <w:r w:rsidR="00FB5496" w:rsidRPr="00E47ECF">
        <w:rPr>
          <w:szCs w:val="18"/>
          <w:lang w:val="pt-BR"/>
        </w:rPr>
        <w:t xml:space="preserve"> </w:t>
      </w:r>
      <w:r w:rsidRPr="00E47ECF">
        <w:rPr>
          <w:szCs w:val="18"/>
          <w:lang w:val="pt-BR"/>
        </w:rPr>
        <w:t>A ISENÇÃO DE RESPONSABILIDADE INCLUI TODA E QUALQUER GARANTIA OU CONDIÇÃO</w:t>
      </w:r>
      <w:r w:rsidR="006A42EC" w:rsidRPr="00E47ECF">
        <w:rPr>
          <w:szCs w:val="18"/>
          <w:lang w:val="pt-BR"/>
        </w:rPr>
        <w:t> </w:t>
      </w:r>
      <w:r w:rsidRPr="00E47ECF">
        <w:rPr>
          <w:szCs w:val="18"/>
          <w:lang w:val="pt-BR"/>
        </w:rPr>
        <w:t>DE TITULARIDADE DO DIREITO, NÃO VIOLAÇÃO, QUALIDADE OU RESULTADOS SATISFATÓRIOS, PADRÕES DE COMERCIALIZAÇÃO OU ADEQUAÇÃO PARA UM PROPÓSITO ESPECÍFICO, COM RESPEITO A</w:t>
      </w:r>
      <w:r w:rsidR="006A42EC" w:rsidRPr="00E47ECF">
        <w:rPr>
          <w:szCs w:val="18"/>
          <w:lang w:val="pt-BR"/>
        </w:rPr>
        <w:t> </w:t>
      </w:r>
      <w:r w:rsidRPr="00E47ECF">
        <w:rPr>
          <w:szCs w:val="18"/>
          <w:lang w:val="pt-BR"/>
        </w:rPr>
        <w:t>QUALQUER CONSULTORIA, RECOMENDAÇÃO, CONSERTO, SERVIÇOS ENTREGES E OUTROS MATERIAIS RELACIONADOS FORNECIDOS PELA MICROSOFT E SUAS AFILIADAS, FORNECEDORES E CONTRATANTES NA</w:t>
      </w:r>
      <w:r w:rsidR="006A42EC" w:rsidRPr="00E47ECF">
        <w:rPr>
          <w:szCs w:val="18"/>
          <w:lang w:val="pt-BR"/>
        </w:rPr>
        <w:t> </w:t>
      </w:r>
      <w:r w:rsidRPr="00E47ECF">
        <w:rPr>
          <w:szCs w:val="18"/>
          <w:lang w:val="pt-BR"/>
        </w:rPr>
        <w:t>EXECUÇÃO DO SERVIÇO.</w:t>
      </w:r>
    </w:p>
    <w:p w:rsidR="00DD7F8E" w:rsidRPr="00E47ECF" w:rsidRDefault="00DD7F8E" w:rsidP="00CA52FE">
      <w:pPr>
        <w:ind w:left="360"/>
        <w:rPr>
          <w:lang w:val="pt-BR"/>
        </w:rPr>
      </w:pPr>
    </w:p>
    <w:p w:rsidR="00DD7F8E" w:rsidRPr="00E47ECF" w:rsidRDefault="00DD7F8E" w:rsidP="00CA52FE">
      <w:pPr>
        <w:ind w:left="360"/>
        <w:rPr>
          <w:lang w:val="pt-BR"/>
        </w:rPr>
      </w:pPr>
      <w:r w:rsidRPr="00E47ECF">
        <w:rPr>
          <w:b/>
          <w:szCs w:val="18"/>
          <w:lang w:val="pt-BR"/>
        </w:rPr>
        <w:t>Limitação de Responsabilidade</w:t>
      </w:r>
      <w:r w:rsidRPr="00E47ECF">
        <w:rPr>
          <w:b/>
          <w:bCs/>
          <w:szCs w:val="18"/>
          <w:lang w:val="pt-BR"/>
        </w:rPr>
        <w:t>.</w:t>
      </w:r>
      <w:r w:rsidR="00FB5496" w:rsidRPr="00E47ECF">
        <w:rPr>
          <w:szCs w:val="18"/>
          <w:lang w:val="pt-BR"/>
        </w:rPr>
        <w:t xml:space="preserve"> </w:t>
      </w:r>
      <w:r w:rsidRPr="00E47ECF">
        <w:rPr>
          <w:szCs w:val="18"/>
          <w:lang w:val="pt-BR"/>
        </w:rPr>
        <w:t>A responsabilidade da Microsoft por danos diretos será limitada até a máxima extensão permitida pela lei aplicável aos valores pagos pelo Cliente pelos Serviços que originaram o</w:t>
      </w:r>
      <w:r w:rsidR="006A42EC" w:rsidRPr="00E47ECF">
        <w:rPr>
          <w:szCs w:val="18"/>
          <w:lang w:val="pt-BR"/>
        </w:rPr>
        <w:t> </w:t>
      </w:r>
      <w:r w:rsidRPr="00E47ECF">
        <w:rPr>
          <w:szCs w:val="18"/>
          <w:lang w:val="pt-BR"/>
        </w:rPr>
        <w:t>requerimento judicial ou extrajudicial de violação nos 12 meses que precedem o referido requerimento.</w:t>
      </w:r>
    </w:p>
    <w:p w:rsidR="00DD7F8E" w:rsidRPr="00E47ECF" w:rsidRDefault="00DD7F8E" w:rsidP="00CA52FE">
      <w:pPr>
        <w:ind w:left="360"/>
        <w:rPr>
          <w:lang w:val="pt-BR"/>
        </w:rPr>
      </w:pPr>
    </w:p>
    <w:p w:rsidR="00DD7F8E" w:rsidRPr="00E47ECF" w:rsidRDefault="00DD7F8E" w:rsidP="00CA52FE">
      <w:pPr>
        <w:ind w:left="360"/>
        <w:rPr>
          <w:lang w:val="pt-BR"/>
        </w:rPr>
      </w:pPr>
      <w:r w:rsidRPr="00E47ECF">
        <w:rPr>
          <w:b/>
          <w:szCs w:val="18"/>
          <w:lang w:val="pt-BR"/>
        </w:rPr>
        <w:t>NENHUMA RESPONSABILIDADE POR DANOS DETERMINADOS</w:t>
      </w:r>
      <w:r w:rsidRPr="00E47ECF">
        <w:rPr>
          <w:b/>
          <w:bCs/>
          <w:szCs w:val="18"/>
          <w:lang w:val="pt-BR"/>
        </w:rPr>
        <w:t>.</w:t>
      </w:r>
      <w:r w:rsidR="00FB5496" w:rsidRPr="00E47ECF">
        <w:rPr>
          <w:szCs w:val="18"/>
          <w:lang w:val="pt-BR"/>
        </w:rPr>
        <w:t xml:space="preserve"> </w:t>
      </w:r>
      <w:r w:rsidRPr="00E47ECF">
        <w:rPr>
          <w:szCs w:val="18"/>
          <w:lang w:val="pt-BR"/>
        </w:rPr>
        <w:t>NA EXTENSÃO MÁXIMA PERMITIDA PELA</w:t>
      </w:r>
      <w:r w:rsidR="006A42EC" w:rsidRPr="00E47ECF">
        <w:rPr>
          <w:szCs w:val="18"/>
          <w:lang w:val="pt-BR"/>
        </w:rPr>
        <w:t> </w:t>
      </w:r>
      <w:r w:rsidRPr="00E47ECF">
        <w:rPr>
          <w:szCs w:val="18"/>
          <w:lang w:val="pt-BR"/>
        </w:rPr>
        <w:t>LEI APLICÁVEL, NENHUMA DAS PARTES, SUAS AFILIADAS, FORNECEDORAS OU CONTRATANTES RESPONDERÃO POR DANOS INDIRETOS (INCLUINDO, SEM LIMITAÇÃO, DANOS CONSEQUENCIAIS, ESPECIAIS</w:t>
      </w:r>
      <w:r w:rsidR="006A42EC" w:rsidRPr="00E47ECF">
        <w:rPr>
          <w:szCs w:val="18"/>
          <w:lang w:val="pt-BR"/>
        </w:rPr>
        <w:t> </w:t>
      </w:r>
      <w:r w:rsidRPr="00E47ECF">
        <w:rPr>
          <w:szCs w:val="18"/>
          <w:lang w:val="pt-BR"/>
        </w:rPr>
        <w:t>OU INCIDENTAIS, DANOS POR PERDA DE LUCRO OU RECEITA, INTERRUPÇÃO DOS NEGÓCIOS OU</w:t>
      </w:r>
      <w:r w:rsidR="006A42EC" w:rsidRPr="00E47ECF">
        <w:rPr>
          <w:szCs w:val="18"/>
          <w:lang w:val="pt-BR"/>
        </w:rPr>
        <w:t> </w:t>
      </w:r>
      <w:r w:rsidRPr="00E47ECF">
        <w:rPr>
          <w:szCs w:val="18"/>
          <w:lang w:val="pt-BR"/>
        </w:rPr>
        <w:t>PERDA DE INFORMAÇÕES DO NEGÓCIO), QUE VENHAM A SURGIR EM DECORRÊNCIA DESTE CONTRATO, AINDA QUE AVISADAS DA POSSIBILIDADE DE OCORRÊNCIA DOS REFERIDOS DANOS OU DE QUE ESSA POSSIBILIDADE POSSA SER RAZOAVELMENTE PREVISTA.</w:t>
      </w:r>
      <w:r w:rsidR="00FB5496" w:rsidRPr="00E47ECF">
        <w:rPr>
          <w:szCs w:val="18"/>
          <w:lang w:val="pt-BR"/>
        </w:rPr>
        <w:t xml:space="preserve"> </w:t>
      </w:r>
      <w:r w:rsidRPr="00E47ECF">
        <w:rPr>
          <w:szCs w:val="18"/>
          <w:lang w:val="pt-BR"/>
        </w:rPr>
        <w:t>ESSA EXCLUSÃO DE RESPONSABILIDADE NÃO SE</w:t>
      </w:r>
      <w:r w:rsidR="006A42EC" w:rsidRPr="00E47ECF">
        <w:rPr>
          <w:szCs w:val="18"/>
          <w:lang w:val="pt-BR"/>
        </w:rPr>
        <w:t> </w:t>
      </w:r>
      <w:r w:rsidRPr="00E47ECF">
        <w:rPr>
          <w:szCs w:val="18"/>
          <w:lang w:val="pt-BR"/>
        </w:rPr>
        <w:t>APLICA À RESPONSABILIDADE DE QUAISQUER DAS PARTES EM RELAÇÃO À OUTRA PELA VIOLAÇÃO DE</w:t>
      </w:r>
      <w:r w:rsidR="006A42EC" w:rsidRPr="00E47ECF">
        <w:rPr>
          <w:szCs w:val="18"/>
          <w:lang w:val="pt-BR"/>
        </w:rPr>
        <w:t> </w:t>
      </w:r>
      <w:r w:rsidRPr="00E47ECF">
        <w:rPr>
          <w:szCs w:val="18"/>
          <w:lang w:val="pt-BR"/>
        </w:rPr>
        <w:t>SUA OBRIGAÇÃO DE CONFIDENCIALIDADE OU PELA VIOLAÇÃO DE DIREITOS DE PROPRIEDADE INTELECTUAL DA OUTRA PARTE.</w:t>
      </w:r>
    </w:p>
    <w:p w:rsidR="00DD7F8E" w:rsidRPr="00E47ECF" w:rsidRDefault="00DD7F8E" w:rsidP="00CA52FE">
      <w:pPr>
        <w:ind w:left="360" w:hanging="360"/>
        <w:jc w:val="both"/>
        <w:rPr>
          <w:lang w:val="pt-BR"/>
        </w:rPr>
      </w:pPr>
    </w:p>
    <w:p w:rsidR="00DD7F8E" w:rsidRPr="00E47ECF" w:rsidRDefault="00DD7F8E" w:rsidP="00CA52FE">
      <w:pPr>
        <w:ind w:left="360"/>
        <w:rPr>
          <w:lang w:val="pt-BR"/>
        </w:rPr>
      </w:pPr>
      <w:r w:rsidRPr="00E47ECF">
        <w:rPr>
          <w:b/>
          <w:szCs w:val="18"/>
          <w:lang w:val="pt-BR"/>
        </w:rPr>
        <w:t>Aplicação</w:t>
      </w:r>
      <w:r w:rsidRPr="00E47ECF">
        <w:rPr>
          <w:b/>
          <w:bCs/>
          <w:szCs w:val="18"/>
          <w:lang w:val="pt-BR"/>
        </w:rPr>
        <w:t>.</w:t>
      </w:r>
      <w:r w:rsidR="00FB5496" w:rsidRPr="00E47ECF">
        <w:rPr>
          <w:szCs w:val="18"/>
          <w:lang w:val="pt-BR"/>
        </w:rPr>
        <w:t xml:space="preserve"> </w:t>
      </w:r>
      <w:r w:rsidRPr="00E47ECF">
        <w:rPr>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023FE7" w:rsidRPr="00E47ECF" w:rsidRDefault="00023FE7">
      <w:pPr>
        <w:tabs>
          <w:tab w:val="left" w:pos="2936"/>
        </w:tabs>
        <w:rPr>
          <w:lang w:val="pt-BR"/>
        </w:rPr>
      </w:pPr>
    </w:p>
    <w:p w:rsidR="00023FE7" w:rsidRPr="00E47ECF" w:rsidRDefault="00023FE7">
      <w:pPr>
        <w:rPr>
          <w:lang w:val="pt-BR"/>
        </w:rPr>
      </w:pPr>
      <w:r w:rsidRPr="00E47ECF">
        <w:rPr>
          <w:lang w:val="pt-BR"/>
        </w:rPr>
        <w:br w:type="page"/>
      </w:r>
    </w:p>
    <w:p w:rsidR="008A1637" w:rsidRPr="00416070" w:rsidRDefault="008A1637" w:rsidP="006A42EC">
      <w:pPr>
        <w:pStyle w:val="Heading1"/>
        <w:spacing w:before="0"/>
      </w:pPr>
      <w:bookmarkStart w:id="977" w:name="_Toc336338249"/>
      <w:bookmarkStart w:id="978" w:name="_Toc352234317"/>
      <w:r w:rsidRPr="00416070">
        <w:lastRenderedPageBreak/>
        <w:t>SEÇÃO 9 – termos adicionais</w:t>
      </w:r>
      <w:bookmarkEnd w:id="977"/>
      <w:bookmarkEnd w:id="978"/>
    </w:p>
    <w:p w:rsidR="008A1637" w:rsidRPr="00416070" w:rsidRDefault="008A1637" w:rsidP="000C2842">
      <w:pPr>
        <w:pStyle w:val="Heading1"/>
        <w:rPr>
          <w:sz w:val="18"/>
          <w:szCs w:val="18"/>
        </w:rPr>
      </w:pPr>
      <w:r w:rsidRPr="00416070">
        <w:t xml:space="preserve"> </w:t>
      </w:r>
    </w:p>
    <w:p w:rsidR="008A1637" w:rsidRPr="00416070" w:rsidRDefault="008A1637" w:rsidP="006A42EC">
      <w:pPr>
        <w:pStyle w:val="Heading3"/>
        <w:ind w:right="720"/>
      </w:pPr>
      <w:bookmarkStart w:id="979" w:name="_Toc323159781"/>
      <w:bookmarkStart w:id="980" w:name="_Toc336338250"/>
      <w:bookmarkStart w:id="981" w:name="_Toc352234318"/>
      <w:r w:rsidRPr="00416070">
        <w:rPr>
          <w:rFonts w:ascii="Tahoma" w:eastAsia="Times New Roman" w:hAnsi="Tahoma" w:cs="Tahoma"/>
          <w:color w:val="000000"/>
          <w:sz w:val="24"/>
          <w:szCs w:val="22"/>
        </w:rPr>
        <w:t>Licenças de Acesso para Cliente (CALs) e Licenças de Gerenciamento (MLs) de Cliente</w:t>
      </w:r>
      <w:bookmarkEnd w:id="979"/>
      <w:bookmarkEnd w:id="980"/>
      <w:bookmarkEnd w:id="981"/>
    </w:p>
    <w:p w:rsidR="008A1637" w:rsidRPr="00E47ECF" w:rsidRDefault="008A1637" w:rsidP="008A1637">
      <w:pPr>
        <w:pStyle w:val="AppendixFlushBulletedList"/>
        <w:tabs>
          <w:tab w:val="clear" w:pos="360"/>
        </w:tabs>
        <w:ind w:left="720" w:right="720" w:firstLine="0"/>
        <w:rPr>
          <w:rFonts w:ascii="Tahoma" w:hAnsi="Tahoma" w:cs="Tahoma"/>
          <w:sz w:val="18"/>
          <w:szCs w:val="18"/>
          <w:lang w:val="pt-BR"/>
        </w:rPr>
      </w:pPr>
    </w:p>
    <w:p w:rsidR="008A1637" w:rsidRPr="00E47ECF" w:rsidRDefault="008A1637" w:rsidP="002C1048">
      <w:pPr>
        <w:pStyle w:val="AppendixFlushBulletedList"/>
        <w:numPr>
          <w:ilvl w:val="0"/>
          <w:numId w:val="97"/>
        </w:numPr>
        <w:ind w:left="1440" w:right="720"/>
        <w:rPr>
          <w:rFonts w:ascii="Tahoma" w:hAnsi="Tahoma" w:cs="Tahoma"/>
          <w:sz w:val="18"/>
          <w:szCs w:val="18"/>
          <w:lang w:val="pt-BR"/>
        </w:rPr>
      </w:pPr>
      <w:r w:rsidRPr="00E47ECF">
        <w:rPr>
          <w:rFonts w:ascii="Tahoma" w:hAnsi="Tahoma" w:cs="Tahoma"/>
          <w:b/>
          <w:bCs/>
          <w:color w:val="000000"/>
          <w:sz w:val="18"/>
          <w:szCs w:val="18"/>
          <w:lang w:val="pt-BR"/>
        </w:rPr>
        <w:t>Transição entre CALs do Usuário e do Dispositivo</w:t>
      </w:r>
    </w:p>
    <w:p w:rsidR="008A1637" w:rsidRPr="00FF3D4D" w:rsidRDefault="008A1637" w:rsidP="00C83670">
      <w:pPr>
        <w:pStyle w:val="AppendixBodyText"/>
        <w:numPr>
          <w:ilvl w:val="0"/>
          <w:numId w:val="98"/>
        </w:numPr>
        <w:spacing w:afterLines="60" w:after="144"/>
        <w:ind w:left="1800" w:right="720"/>
        <w:rPr>
          <w:rFonts w:ascii="Tahoma" w:hAnsi="Tahoma" w:cs="Tahoma"/>
          <w:sz w:val="18"/>
          <w:szCs w:val="18"/>
        </w:rPr>
      </w:pPr>
      <w:r w:rsidRPr="00E47ECF">
        <w:rPr>
          <w:rFonts w:ascii="Tahoma" w:hAnsi="Tahoma" w:cs="Tahoma"/>
          <w:color w:val="000000"/>
          <w:sz w:val="18"/>
          <w:szCs w:val="18"/>
          <w:lang w:val="pt-BR"/>
        </w:rPr>
        <w:t>Os clientes com Software Assurance atual para CALs podem alternar entre Usuário e</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Dispositivo na renovação da cobertura do Software Assurance.</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 xml:space="preserve">Essa transição não muda a edição da CAL (ou seja, de Standard para Empresarial). </w:t>
      </w:r>
      <w:r w:rsidRPr="00FF3D4D">
        <w:rPr>
          <w:rFonts w:ascii="Tahoma" w:hAnsi="Tahoma" w:cs="Tahoma"/>
          <w:color w:val="000000"/>
          <w:sz w:val="18"/>
          <w:szCs w:val="18"/>
        </w:rPr>
        <w:t>Consulte as Notas do</w:t>
      </w:r>
      <w:r w:rsidR="006A42EC" w:rsidRPr="00FF3D4D">
        <w:rPr>
          <w:rFonts w:ascii="Tahoma" w:hAnsi="Tahoma" w:cs="Tahoma"/>
          <w:color w:val="000000"/>
          <w:sz w:val="18"/>
          <w:szCs w:val="18"/>
        </w:rPr>
        <w:t> </w:t>
      </w:r>
      <w:r w:rsidRPr="00FF3D4D">
        <w:rPr>
          <w:rFonts w:ascii="Tahoma" w:hAnsi="Tahoma" w:cs="Tahoma"/>
          <w:color w:val="000000"/>
          <w:sz w:val="18"/>
          <w:szCs w:val="18"/>
        </w:rPr>
        <w:t xml:space="preserve">Produto referentes aos produtos individuais </w:t>
      </w:r>
    </w:p>
    <w:p w:rsidR="008A1637" w:rsidRPr="00E47ECF" w:rsidRDefault="008A1637" w:rsidP="002C1048">
      <w:pPr>
        <w:pStyle w:val="AppendixFlushBulletedList"/>
        <w:numPr>
          <w:ilvl w:val="0"/>
          <w:numId w:val="97"/>
        </w:numPr>
        <w:ind w:left="1440" w:right="720"/>
        <w:rPr>
          <w:rFonts w:ascii="Tahoma" w:hAnsi="Tahoma" w:cs="Tahoma"/>
          <w:sz w:val="18"/>
          <w:szCs w:val="18"/>
          <w:lang w:val="pt-BR"/>
        </w:rPr>
      </w:pPr>
      <w:r w:rsidRPr="00E47ECF">
        <w:rPr>
          <w:rFonts w:ascii="Tahoma" w:hAnsi="Tahoma" w:cs="Tahoma"/>
          <w:b/>
          <w:bCs/>
          <w:color w:val="000000"/>
          <w:sz w:val="18"/>
          <w:szCs w:val="18"/>
          <w:lang w:val="pt-BR"/>
        </w:rPr>
        <w:t>Transição entre MLs de cliente para Usuário e OSE</w:t>
      </w:r>
    </w:p>
    <w:p w:rsidR="008A1637" w:rsidRPr="00E47ECF" w:rsidRDefault="008A1637" w:rsidP="00C83670">
      <w:pPr>
        <w:pStyle w:val="AppendixBodyText"/>
        <w:numPr>
          <w:ilvl w:val="0"/>
          <w:numId w:val="98"/>
        </w:numPr>
        <w:spacing w:afterLines="60" w:after="144"/>
        <w:ind w:left="1800" w:right="720"/>
        <w:rPr>
          <w:rFonts w:ascii="Tahoma" w:hAnsi="Tahoma" w:cs="Tahoma"/>
          <w:sz w:val="18"/>
          <w:szCs w:val="18"/>
          <w:lang w:val="pt-BR"/>
        </w:rPr>
      </w:pPr>
      <w:r w:rsidRPr="00E47ECF">
        <w:rPr>
          <w:rFonts w:ascii="Tahoma" w:hAnsi="Tahoma" w:cs="Tahoma"/>
          <w:color w:val="000000"/>
          <w:sz w:val="18"/>
          <w:szCs w:val="18"/>
          <w:lang w:val="pt-BR"/>
        </w:rPr>
        <w:t>Os clientes com Software Assurance atual para MLs de cliente podem alternar entre</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Usuário e OSE na renovação da cobertura do Software Assurance. Consulte as</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Notas do Produto referentes aos produtos i</w:t>
      </w:r>
      <w:r w:rsidR="007E2720" w:rsidRPr="00E47ECF">
        <w:rPr>
          <w:rFonts w:ascii="Tahoma" w:hAnsi="Tahoma" w:cs="Tahoma"/>
          <w:color w:val="000000"/>
          <w:sz w:val="18"/>
          <w:szCs w:val="18"/>
          <w:lang w:val="pt-BR"/>
        </w:rPr>
        <w:t>ndividuais para obter detalhes.</w:t>
      </w:r>
    </w:p>
    <w:p w:rsidR="008A1637" w:rsidRPr="00FF3D4D" w:rsidRDefault="008A1637" w:rsidP="002C1048">
      <w:pPr>
        <w:pStyle w:val="AppendixFlushBulletedList"/>
        <w:numPr>
          <w:ilvl w:val="0"/>
          <w:numId w:val="97"/>
        </w:numPr>
        <w:ind w:left="1440" w:right="720"/>
        <w:rPr>
          <w:rFonts w:ascii="Tahoma" w:hAnsi="Tahoma" w:cs="Tahoma"/>
          <w:sz w:val="18"/>
          <w:szCs w:val="18"/>
        </w:rPr>
      </w:pPr>
      <w:r w:rsidRPr="00FF3D4D">
        <w:rPr>
          <w:rFonts w:ascii="Tahoma" w:hAnsi="Tahoma" w:cs="Tahoma"/>
          <w:b/>
          <w:bCs/>
          <w:color w:val="000000"/>
          <w:sz w:val="18"/>
          <w:szCs w:val="18"/>
        </w:rPr>
        <w:t>Na renovação</w:t>
      </w:r>
    </w:p>
    <w:p w:rsidR="008A1637" w:rsidRPr="00E47ECF" w:rsidRDefault="008A1637" w:rsidP="00C83670">
      <w:pPr>
        <w:pStyle w:val="AppendixBodyText"/>
        <w:numPr>
          <w:ilvl w:val="0"/>
          <w:numId w:val="98"/>
        </w:numPr>
        <w:spacing w:afterLines="60" w:after="144"/>
        <w:ind w:left="1800" w:right="720"/>
        <w:rPr>
          <w:rFonts w:ascii="Tahoma" w:hAnsi="Tahoma" w:cs="Tahoma"/>
          <w:sz w:val="18"/>
          <w:szCs w:val="18"/>
          <w:lang w:val="pt-BR"/>
        </w:rPr>
      </w:pPr>
      <w:r w:rsidRPr="00E47ECF">
        <w:rPr>
          <w:rFonts w:ascii="Tahoma" w:hAnsi="Tahoma" w:cs="Tahoma"/>
          <w:color w:val="000000"/>
          <w:sz w:val="18"/>
          <w:szCs w:val="18"/>
          <w:lang w:val="pt-BR"/>
        </w:rPr>
        <w:t>Caso estejam disponíveis CALs do Usuário e do Dispositivo, os clientes poderão renovar o Software Assurance para qualquer um dos dois tipos. Os direitos de uso de</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produto referentes ao tipo de CAL para a qual o Software Assurance é solicitado determinam como as CALs poderão ser alocadas e usadas.</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Os clientes de Registro Enterprise que optarem por solicitar o Software Assurance para CALs do Usuário podem adquirir CALs com base na contagem de usuários.</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Consulte as notas referentes aos produtos i</w:t>
      </w:r>
      <w:r w:rsidR="007E2720" w:rsidRPr="00E47ECF">
        <w:rPr>
          <w:rFonts w:ascii="Tahoma" w:hAnsi="Tahoma" w:cs="Tahoma"/>
          <w:color w:val="000000"/>
          <w:sz w:val="18"/>
          <w:szCs w:val="18"/>
          <w:lang w:val="pt-BR"/>
        </w:rPr>
        <w:t>ndividuais para obter detalhes.</w:t>
      </w:r>
    </w:p>
    <w:p w:rsidR="008A1637" w:rsidRPr="00FF3D4D" w:rsidRDefault="008A1637" w:rsidP="002C1048">
      <w:pPr>
        <w:pStyle w:val="AppendixFlushBulletedList"/>
        <w:numPr>
          <w:ilvl w:val="0"/>
          <w:numId w:val="97"/>
        </w:numPr>
        <w:ind w:left="1440" w:right="720"/>
        <w:rPr>
          <w:rFonts w:ascii="Tahoma" w:hAnsi="Tahoma" w:cs="Tahoma"/>
          <w:sz w:val="18"/>
          <w:szCs w:val="18"/>
        </w:rPr>
      </w:pPr>
      <w:r w:rsidRPr="00FF3D4D">
        <w:rPr>
          <w:rFonts w:ascii="Tahoma" w:hAnsi="Tahoma" w:cs="Tahoma"/>
          <w:b/>
          <w:bCs/>
          <w:color w:val="000000"/>
          <w:sz w:val="18"/>
          <w:szCs w:val="18"/>
        </w:rPr>
        <w:t>CALs excedentes</w:t>
      </w:r>
    </w:p>
    <w:p w:rsidR="008A1637" w:rsidRPr="00E47ECF" w:rsidRDefault="008A1637" w:rsidP="00C83670">
      <w:pPr>
        <w:pStyle w:val="AppendixBodyText"/>
        <w:numPr>
          <w:ilvl w:val="0"/>
          <w:numId w:val="98"/>
        </w:numPr>
        <w:spacing w:afterLines="60" w:after="144"/>
        <w:ind w:left="1800" w:right="720"/>
        <w:rPr>
          <w:rFonts w:ascii="Tahoma" w:hAnsi="Tahoma" w:cs="Tahoma"/>
          <w:sz w:val="18"/>
          <w:szCs w:val="18"/>
          <w:lang w:val="pt-BR"/>
        </w:rPr>
      </w:pPr>
      <w:r w:rsidRPr="00E47ECF">
        <w:rPr>
          <w:rFonts w:ascii="Tahoma" w:hAnsi="Tahoma" w:cs="Tahoma"/>
          <w:color w:val="000000"/>
          <w:sz w:val="18"/>
          <w:szCs w:val="18"/>
          <w:lang w:val="pt-BR"/>
        </w:rPr>
        <w:t>A transição entre CALs do Usuário e do Dispositivo, conforme permitido acima, poderia resultar em um excesso de CALs. Os clientes poderão realocar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w:t>
      </w:r>
      <w:r w:rsidR="007E2720" w:rsidRPr="00E47ECF">
        <w:rPr>
          <w:rFonts w:ascii="Tahoma" w:hAnsi="Tahoma" w:cs="Tahoma"/>
          <w:color w:val="000000"/>
          <w:sz w:val="18"/>
          <w:szCs w:val="18"/>
          <w:lang w:val="pt-BR"/>
        </w:rPr>
        <w:t xml:space="preserve"> cuja cobertura tiver expirado.</w:t>
      </w:r>
    </w:p>
    <w:p w:rsidR="008A1637" w:rsidRPr="00FF3D4D" w:rsidRDefault="008A1637" w:rsidP="002C1048">
      <w:pPr>
        <w:pStyle w:val="AppendixFlushBulletedList"/>
        <w:numPr>
          <w:ilvl w:val="0"/>
          <w:numId w:val="97"/>
        </w:numPr>
        <w:ind w:left="1440" w:right="720"/>
        <w:rPr>
          <w:rFonts w:ascii="Tahoma" w:hAnsi="Tahoma" w:cs="Tahoma"/>
          <w:sz w:val="18"/>
          <w:szCs w:val="18"/>
        </w:rPr>
      </w:pPr>
      <w:r w:rsidRPr="00FF3D4D">
        <w:rPr>
          <w:rFonts w:ascii="Tahoma" w:hAnsi="Tahoma" w:cs="Tahoma"/>
          <w:b/>
          <w:bCs/>
          <w:color w:val="000000"/>
          <w:sz w:val="18"/>
          <w:szCs w:val="18"/>
        </w:rPr>
        <w:t>MLs excedentes</w:t>
      </w:r>
    </w:p>
    <w:p w:rsidR="008A1637" w:rsidRPr="00E47ECF" w:rsidRDefault="008A1637" w:rsidP="00C83670">
      <w:pPr>
        <w:pStyle w:val="AppendixBodyText"/>
        <w:numPr>
          <w:ilvl w:val="0"/>
          <w:numId w:val="98"/>
        </w:numPr>
        <w:spacing w:afterLines="60" w:after="144"/>
        <w:ind w:left="1800" w:right="720"/>
        <w:rPr>
          <w:rFonts w:ascii="Tahoma" w:hAnsi="Tahoma" w:cs="Tahoma"/>
          <w:sz w:val="18"/>
          <w:szCs w:val="18"/>
          <w:lang w:val="pt-BR"/>
        </w:rPr>
      </w:pPr>
      <w:r w:rsidRPr="00E47ECF">
        <w:rPr>
          <w:rFonts w:ascii="Tahoma" w:hAnsi="Tahoma" w:cs="Tahoma"/>
          <w:color w:val="000000"/>
          <w:sz w:val="18"/>
          <w:szCs w:val="18"/>
          <w:lang w:val="pt-BR"/>
        </w:rPr>
        <w:t>A transição entre MLs de cliente para Usuário e OSE, conforme permitido acima, poderia resultar em um excesso de MLs. Os clientes poderão realocar as MLs excedentes à medida que o número de usuários ou OSEs gerenciados aumentar. Na</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época da renovação, os clientes poderão optar por manter o Software Assurance nas MLs excedentes. Os clientes não poderão renovar posteriormente o Software Assurance de qualquer ML excedente cuja cobertur</w:t>
      </w:r>
      <w:r w:rsidR="007E2720" w:rsidRPr="00E47ECF">
        <w:rPr>
          <w:rFonts w:ascii="Tahoma" w:hAnsi="Tahoma" w:cs="Tahoma"/>
          <w:color w:val="000000"/>
          <w:sz w:val="18"/>
          <w:szCs w:val="18"/>
          <w:lang w:val="pt-BR"/>
        </w:rPr>
        <w:t>a tiver expirado.</w:t>
      </w:r>
    </w:p>
    <w:p w:rsidR="008A1637" w:rsidRPr="00FF3D4D" w:rsidRDefault="008A1637" w:rsidP="002C1048">
      <w:pPr>
        <w:pStyle w:val="AppendixFlushBulletedList"/>
        <w:numPr>
          <w:ilvl w:val="0"/>
          <w:numId w:val="97"/>
        </w:numPr>
        <w:ind w:left="1440" w:right="720"/>
        <w:rPr>
          <w:rFonts w:ascii="Tahoma" w:hAnsi="Tahoma" w:cs="Tahoma"/>
          <w:sz w:val="18"/>
          <w:szCs w:val="18"/>
        </w:rPr>
      </w:pPr>
      <w:r w:rsidRPr="00FF3D4D">
        <w:rPr>
          <w:rFonts w:ascii="Tahoma" w:hAnsi="Tahoma" w:cs="Tahoma"/>
          <w:b/>
          <w:bCs/>
          <w:color w:val="000000"/>
          <w:sz w:val="18"/>
          <w:szCs w:val="18"/>
        </w:rPr>
        <w:t>Comprovante de Licenças</w:t>
      </w:r>
    </w:p>
    <w:p w:rsidR="007022C1" w:rsidRPr="00E47ECF" w:rsidRDefault="008A1637" w:rsidP="00944EE1">
      <w:pPr>
        <w:pStyle w:val="AppendixBodyText"/>
        <w:numPr>
          <w:ilvl w:val="0"/>
          <w:numId w:val="98"/>
        </w:numPr>
        <w:spacing w:after="0"/>
        <w:ind w:left="1800" w:right="720"/>
        <w:rPr>
          <w:rFonts w:ascii="Tahoma" w:hAnsi="Tahoma" w:cs="Tahoma"/>
          <w:sz w:val="18"/>
          <w:szCs w:val="18"/>
          <w:lang w:val="pt-BR"/>
        </w:rPr>
      </w:pPr>
      <w:r w:rsidRPr="00E47ECF">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 O</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direito de migrar para e utilizar MLs do Usuário é comprovado por esta Lista de Produtos, pelos registros do Software Assurance e pelas MLs básicas dos clientes.</w:t>
      </w:r>
    </w:p>
    <w:p w:rsidR="007022C1" w:rsidRPr="00E47ECF" w:rsidRDefault="007022C1" w:rsidP="00944EE1">
      <w:pPr>
        <w:pStyle w:val="AppendixBodyText"/>
        <w:spacing w:after="0"/>
        <w:ind w:right="720"/>
        <w:rPr>
          <w:rFonts w:ascii="Tahoma" w:hAnsi="Tahoma" w:cs="Tahoma"/>
          <w:sz w:val="18"/>
          <w:szCs w:val="18"/>
          <w:lang w:val="pt-BR"/>
        </w:rPr>
      </w:pPr>
    </w:p>
    <w:p w:rsidR="008A1637" w:rsidRPr="00416070" w:rsidRDefault="008A1637" w:rsidP="008A1637">
      <w:pPr>
        <w:pStyle w:val="Heading3"/>
        <w:ind w:right="720"/>
      </w:pPr>
      <w:bookmarkStart w:id="982" w:name="_Toc323159782"/>
      <w:bookmarkStart w:id="983" w:name="_Toc336338251"/>
      <w:bookmarkStart w:id="984" w:name="_Toc352234319"/>
      <w:r w:rsidRPr="00416070">
        <w:rPr>
          <w:rFonts w:ascii="Tahoma" w:hAnsi="Tahoma" w:cs="Tahoma"/>
          <w:sz w:val="24"/>
          <w:szCs w:val="22"/>
        </w:rPr>
        <w:t>Restrições dos Controles de EI.</w:t>
      </w:r>
      <w:bookmarkEnd w:id="982"/>
      <w:bookmarkEnd w:id="983"/>
      <w:bookmarkEnd w:id="984"/>
    </w:p>
    <w:p w:rsidR="008A1637" w:rsidRPr="00E47ECF" w:rsidRDefault="008A1637" w:rsidP="008A1637">
      <w:pPr>
        <w:ind w:right="720"/>
        <w:rPr>
          <w:lang w:val="pt-BR"/>
        </w:rPr>
      </w:pPr>
    </w:p>
    <w:p w:rsidR="008A1637" w:rsidRPr="00E47ECF" w:rsidRDefault="008A1637" w:rsidP="008A1637">
      <w:pPr>
        <w:pStyle w:val="AppendixBodyText"/>
        <w:ind w:right="720"/>
        <w:rPr>
          <w:rFonts w:ascii="Tahoma" w:hAnsi="Tahoma" w:cs="Tahoma"/>
          <w:sz w:val="18"/>
          <w:szCs w:val="18"/>
          <w:lang w:val="pt-BR"/>
        </w:rPr>
      </w:pPr>
      <w:r w:rsidRPr="00E47ECF">
        <w:rPr>
          <w:rFonts w:ascii="Tahoma" w:hAnsi="Tahoma" w:cs="Tahoma"/>
          <w:sz w:val="18"/>
          <w:szCs w:val="18"/>
          <w:lang w:val="pt-BR"/>
        </w:rPr>
        <w:t>A exportação de determinados produtos da Microsoft para fora dos Estados Unidos é regulamentada pelos</w:t>
      </w:r>
      <w:r w:rsidR="006A42EC" w:rsidRPr="00E47ECF">
        <w:rPr>
          <w:rFonts w:ascii="Tahoma" w:hAnsi="Tahoma" w:cs="Tahoma"/>
          <w:sz w:val="18"/>
          <w:szCs w:val="18"/>
          <w:lang w:val="pt-BR"/>
        </w:rPr>
        <w:t> </w:t>
      </w:r>
      <w:r w:rsidRPr="00E47ECF">
        <w:rPr>
          <w:rFonts w:ascii="Tahoma" w:hAnsi="Tahoma" w:cs="Tahoma"/>
          <w:sz w:val="18"/>
          <w:szCs w:val="18"/>
          <w:lang w:val="pt-BR"/>
        </w:rPr>
        <w:t xml:space="preserve">“Controles de EI” das Export Administration Regulations (Normas de Administração de Exportações) (EAR, 15 CFR 730-744) emitidas pelo BXA (Bureau de Administração de Exportações) do Departamento de Comércio dos EUA. Para obter mais informações, visite: </w:t>
      </w:r>
      <w:hyperlink r:id="rId38" w:history="1">
        <w:r w:rsidRPr="00E47ECF">
          <w:rPr>
            <w:rStyle w:val="Hyperlink"/>
            <w:rFonts w:ascii="Tahoma" w:hAnsi="Tahoma" w:cs="Tahoma"/>
            <w:sz w:val="18"/>
            <w:szCs w:val="18"/>
            <w:lang w:val="pt-BR"/>
          </w:rPr>
          <w:t>www.microsoft.com/products/exporting/basics.htm</w:t>
        </w:r>
      </w:hyperlink>
    </w:p>
    <w:p w:rsidR="008A1637" w:rsidRPr="00E47ECF" w:rsidRDefault="008A1637" w:rsidP="008A1637">
      <w:pPr>
        <w:rPr>
          <w:lang w:val="pt-BR"/>
        </w:rPr>
      </w:pPr>
    </w:p>
    <w:p w:rsidR="006A42EC" w:rsidRPr="00E47ECF" w:rsidRDefault="006A42EC" w:rsidP="008A1637">
      <w:pPr>
        <w:rPr>
          <w:lang w:val="pt-BR"/>
        </w:rPr>
      </w:pPr>
    </w:p>
    <w:p w:rsidR="008A1637" w:rsidRPr="00FF3D4D" w:rsidRDefault="008A1637" w:rsidP="00944EE1">
      <w:pPr>
        <w:pStyle w:val="Heading3"/>
        <w:spacing w:after="60"/>
        <w:ind w:right="720"/>
        <w:rPr>
          <w:rFonts w:ascii="Tahoma" w:hAnsi="Tahoma" w:cs="Tahoma"/>
        </w:rPr>
      </w:pPr>
      <w:bookmarkStart w:id="985" w:name="_Toc323159783"/>
      <w:bookmarkStart w:id="986" w:name="_Toc336338252"/>
      <w:bookmarkStart w:id="987" w:name="_Toc352234320"/>
      <w:r w:rsidRPr="00FF3D4D">
        <w:rPr>
          <w:rFonts w:ascii="Tahoma" w:hAnsi="Tahoma" w:cs="Tahoma"/>
          <w:bCs/>
        </w:rPr>
        <w:lastRenderedPageBreak/>
        <w:t>Pacotes Multilíngues (MLPs), funcionalidade de MUIs (Multilanguage User Interface) e direitos a novos idiomas</w:t>
      </w:r>
      <w:bookmarkEnd w:id="985"/>
      <w:bookmarkEnd w:id="986"/>
      <w:bookmarkEnd w:id="987"/>
    </w:p>
    <w:p w:rsidR="008A1637" w:rsidRPr="00E47ECF" w:rsidRDefault="008A1637" w:rsidP="008A1637">
      <w:pPr>
        <w:rPr>
          <w:rFonts w:cs="Tahoma"/>
          <w:lang w:val="pt-BR"/>
        </w:rPr>
      </w:pPr>
      <w:r w:rsidRPr="00E47ECF">
        <w:rPr>
          <w:rFonts w:cs="Tahoma"/>
          <w:lang w:val="pt-BR"/>
        </w:rPr>
        <w:t>Os MLPs e MUIs permitem que os clientes executem e alternem entre diferentes versões de idioma dos produtos licenciados.</w:t>
      </w:r>
      <w:r w:rsidR="00FB5496" w:rsidRPr="00E47ECF">
        <w:rPr>
          <w:rFonts w:cs="Tahoma"/>
          <w:lang w:val="pt-BR"/>
        </w:rPr>
        <w:t xml:space="preserve"> </w:t>
      </w:r>
      <w:r w:rsidRPr="00E47ECF">
        <w:rPr>
          <w:rFonts w:cs="Tahoma"/>
          <w:lang w:val="pt-BR"/>
        </w:rPr>
        <w:t>O direito de usar MLPs e MUIs varia de acordo com o produto, o programa e o tipo de licença.</w:t>
      </w:r>
    </w:p>
    <w:p w:rsidR="008A1637" w:rsidRPr="007E2720" w:rsidRDefault="008A1637" w:rsidP="008A1637">
      <w:pPr>
        <w:pStyle w:val="Heading3"/>
        <w:ind w:right="720"/>
        <w:rPr>
          <w:rFonts w:ascii="Tahoma" w:hAnsi="Tahoma" w:cs="Tahoma"/>
          <w:b w:val="0"/>
          <w:bCs/>
          <w:sz w:val="18"/>
          <w:szCs w:val="18"/>
        </w:rPr>
      </w:pPr>
    </w:p>
    <w:p w:rsidR="008A1637" w:rsidRPr="00E47ECF" w:rsidRDefault="008A1637" w:rsidP="007022C1">
      <w:pPr>
        <w:numPr>
          <w:ilvl w:val="0"/>
          <w:numId w:val="17"/>
        </w:numPr>
        <w:tabs>
          <w:tab w:val="left" w:pos="1440"/>
        </w:tabs>
        <w:spacing w:after="60"/>
        <w:rPr>
          <w:rFonts w:cs="Tahoma"/>
          <w:lang w:val="pt-BR"/>
        </w:rPr>
      </w:pPr>
      <w:r w:rsidRPr="00E47ECF">
        <w:rPr>
          <w:rFonts w:cs="Tahoma"/>
          <w:lang w:val="pt-BR"/>
        </w:rPr>
        <w:t>No caso da maioria dos produtos de servidor (por exemplo, Windows Server), o MUI está incluído no produto básico. O clientes que licenciarem esses produtos poderão usar o MUI sujeitos aos direitos de uso desses produtos.</w:t>
      </w:r>
    </w:p>
    <w:p w:rsidR="008A1637" w:rsidRPr="00E47ECF" w:rsidRDefault="008A1637" w:rsidP="007022C1">
      <w:pPr>
        <w:numPr>
          <w:ilvl w:val="0"/>
          <w:numId w:val="17"/>
        </w:numPr>
        <w:tabs>
          <w:tab w:val="left" w:pos="1440"/>
        </w:tabs>
        <w:spacing w:after="60"/>
        <w:rPr>
          <w:rFonts w:cs="Tahoma"/>
          <w:lang w:val="pt-BR"/>
        </w:rPr>
      </w:pPr>
      <w:r w:rsidRPr="00E47ECF">
        <w:rPr>
          <w:rFonts w:cs="Tahoma"/>
          <w:szCs w:val="18"/>
          <w:lang w:val="pt-BR"/>
        </w:rPr>
        <w:t>N</w:t>
      </w:r>
      <w:r w:rsidRPr="00E47ECF">
        <w:rPr>
          <w:rFonts w:cs="Tahoma"/>
          <w:lang w:val="pt-BR"/>
        </w:rPr>
        <w:t>o caso de produtos (exceto servidores) e pacotes do Office System, a partir de 1° de outubro de</w:t>
      </w:r>
      <w:r w:rsidR="006A42EC" w:rsidRPr="00E47ECF">
        <w:rPr>
          <w:rFonts w:cs="Tahoma"/>
          <w:lang w:val="pt-BR"/>
        </w:rPr>
        <w:t> </w:t>
      </w:r>
      <w:r w:rsidRPr="00E47ECF">
        <w:rPr>
          <w:rFonts w:cs="Tahoma"/>
          <w:lang w:val="pt-BR"/>
        </w:rPr>
        <w:t>2008, o direito de usar o MLP está disponível para os clientes com cobertura do Software Assurance ativa sobre licenças qualificadas (para obter detalhes, consulte a Seção 6). Em certos programas (por exemplo, Select), MLPs para produtos e pacotes do Office System continuam disponíveis separadame</w:t>
      </w:r>
      <w:r w:rsidR="00FF3D4D" w:rsidRPr="00E47ECF">
        <w:rPr>
          <w:rFonts w:cs="Tahoma"/>
          <w:lang w:val="pt-BR"/>
        </w:rPr>
        <w:t>nte fora do Software Assurance.</w:t>
      </w:r>
    </w:p>
    <w:p w:rsidR="008A1637" w:rsidRPr="00E47ECF" w:rsidRDefault="008A1637" w:rsidP="007022C1">
      <w:pPr>
        <w:numPr>
          <w:ilvl w:val="0"/>
          <w:numId w:val="17"/>
        </w:numPr>
        <w:spacing w:after="60"/>
        <w:rPr>
          <w:rFonts w:cs="Tahoma"/>
          <w:lang w:val="pt-BR"/>
        </w:rPr>
      </w:pPr>
      <w:r w:rsidRPr="00E47ECF">
        <w:rPr>
          <w:rFonts w:cs="Tahoma"/>
          <w:lang w:val="pt-BR"/>
        </w:rPr>
        <w:t>No caso do Windows 8, o MUI está incluído no Windows 8 Pro.</w:t>
      </w:r>
    </w:p>
    <w:p w:rsidR="008A1637" w:rsidRPr="00E47ECF" w:rsidRDefault="008A1637" w:rsidP="008A1637">
      <w:pPr>
        <w:rPr>
          <w:rFonts w:cs="Tahoma"/>
          <w:lang w:val="pt-BR"/>
        </w:rPr>
      </w:pPr>
    </w:p>
    <w:p w:rsidR="008A1637" w:rsidRPr="00E47ECF" w:rsidRDefault="008A1637" w:rsidP="008A1637">
      <w:pPr>
        <w:rPr>
          <w:rFonts w:cs="Tahoma"/>
          <w:lang w:val="pt-BR"/>
        </w:rPr>
      </w:pPr>
      <w:r w:rsidRPr="00E47ECF">
        <w:rPr>
          <w:rFonts w:cs="Tahoma"/>
          <w:lang w:val="pt-BR"/>
        </w:rPr>
        <w:t>As versões de idioma com as quais os clientes têm permissão de usar MUIs and MLPs também variam por programa, produto e região.</w:t>
      </w:r>
    </w:p>
    <w:p w:rsidR="008A1637" w:rsidRPr="00FF3D4D" w:rsidRDefault="008A1637" w:rsidP="008A1637">
      <w:pPr>
        <w:pStyle w:val="Heading3"/>
        <w:ind w:right="720"/>
        <w:rPr>
          <w:rFonts w:ascii="Tahoma" w:hAnsi="Tahoma" w:cs="Tahoma"/>
          <w:sz w:val="18"/>
          <w:szCs w:val="18"/>
        </w:rPr>
      </w:pPr>
    </w:p>
    <w:p w:rsidR="008A1637" w:rsidRPr="00E47ECF" w:rsidRDefault="008A1637" w:rsidP="00024C3C">
      <w:pPr>
        <w:numPr>
          <w:ilvl w:val="0"/>
          <w:numId w:val="18"/>
        </w:numPr>
        <w:tabs>
          <w:tab w:val="clear" w:pos="1080"/>
          <w:tab w:val="num" w:pos="1440"/>
        </w:tabs>
        <w:ind w:left="1440"/>
        <w:rPr>
          <w:rFonts w:cs="Tahoma"/>
          <w:lang w:val="pt-BR"/>
        </w:rPr>
      </w:pPr>
      <w:r w:rsidRPr="00E47ECF">
        <w:rPr>
          <w:rFonts w:cs="Tahoma"/>
          <w:lang w:val="pt-BR"/>
        </w:rPr>
        <w:t>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w:t>
      </w:r>
      <w:r w:rsidRPr="00E47ECF">
        <w:rPr>
          <w:rFonts w:cs="Tahoma"/>
          <w:b/>
          <w:lang w:val="pt-BR"/>
        </w:rPr>
        <w:t xml:space="preserve"> </w:t>
      </w:r>
      <w:r w:rsidRPr="00E47ECF">
        <w:rPr>
          <w:rFonts w:cs="Tahoma"/>
          <w:b/>
          <w:u w:val="single"/>
          <w:lang w:val="pt-BR"/>
        </w:rPr>
        <w:t>em todas as versões de idioma</w:t>
      </w:r>
      <w:r w:rsidRPr="00E47ECF">
        <w:rPr>
          <w:rFonts w:cs="Tahoma"/>
          <w:b/>
          <w:lang w:val="pt-BR"/>
        </w:rPr>
        <w:t xml:space="preserve"> </w:t>
      </w:r>
      <w:r w:rsidRPr="00E47ECF">
        <w:rPr>
          <w:rFonts w:cs="Tahoma"/>
          <w:lang w:val="pt-BR"/>
        </w:rPr>
        <w:t xml:space="preserve">não obstante quaisquer limitações nesses contratos quanto </w:t>
      </w:r>
      <w:r w:rsidR="00FF3D4D" w:rsidRPr="00E47ECF">
        <w:rPr>
          <w:rFonts w:cs="Tahoma"/>
          <w:lang w:val="pt-BR"/>
        </w:rPr>
        <w:t>ao uso de determinados idiomas.</w:t>
      </w:r>
    </w:p>
    <w:p w:rsidR="008A1637" w:rsidRPr="00E47ECF" w:rsidRDefault="008A1637" w:rsidP="008A1637">
      <w:pPr>
        <w:pStyle w:val="Heading3"/>
        <w:ind w:right="720"/>
        <w:rPr>
          <w:rFonts w:ascii="Tahoma" w:hAnsi="Tahoma" w:cs="Tahoma"/>
          <w:sz w:val="18"/>
          <w:szCs w:val="18"/>
          <w:lang w:val="pt-BR"/>
        </w:rPr>
      </w:pPr>
    </w:p>
    <w:p w:rsidR="008A1637" w:rsidRPr="00E47ECF" w:rsidRDefault="008A1637" w:rsidP="008A1637">
      <w:pPr>
        <w:rPr>
          <w:rFonts w:cs="Tahoma"/>
          <w:lang w:val="pt-BR"/>
        </w:rPr>
      </w:pPr>
      <w:r w:rsidRPr="00E47ECF">
        <w:rPr>
          <w:rFonts w:cs="Tahoma"/>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FB5496" w:rsidRPr="00E47ECF">
        <w:rPr>
          <w:rFonts w:cs="Tahoma"/>
          <w:lang w:val="pt-BR"/>
        </w:rPr>
        <w:t xml:space="preserve"> </w:t>
      </w:r>
      <w:r w:rsidRPr="00E47ECF">
        <w:rPr>
          <w:rFonts w:cs="Tahoma"/>
          <w:lang w:val="pt-BR"/>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FB5496" w:rsidRPr="00E47ECF">
        <w:rPr>
          <w:rFonts w:cs="Tahoma"/>
          <w:lang w:val="pt-BR"/>
        </w:rPr>
        <w:t xml:space="preserve"> </w:t>
      </w:r>
      <w:r w:rsidRPr="00E47ECF">
        <w:rPr>
          <w:rFonts w:cs="Tahoma"/>
          <w:lang w:val="pt-BR"/>
        </w:rPr>
        <w:t>Os clientes devem examinar o Contrato de</w:t>
      </w:r>
      <w:r w:rsidR="006A42EC" w:rsidRPr="00E47ECF">
        <w:rPr>
          <w:rFonts w:cs="Tahoma"/>
          <w:lang w:val="pt-BR"/>
        </w:rPr>
        <w:t> </w:t>
      </w:r>
      <w:r w:rsidRPr="00E47ECF">
        <w:rPr>
          <w:rFonts w:cs="Tahoma"/>
          <w:lang w:val="pt-BR"/>
        </w:rPr>
        <w:t xml:space="preserve">Licença ou consultar o Revendedor ou o Gerente de Conta Microsoft para obter mais informações sobre o </w:t>
      </w:r>
      <w:r w:rsidR="007E2720" w:rsidRPr="00E47ECF">
        <w:rPr>
          <w:rFonts w:cs="Tahoma"/>
          <w:lang w:val="pt-BR"/>
        </w:rPr>
        <w:t>direito de usar outros idiomas.</w:t>
      </w:r>
    </w:p>
    <w:p w:rsidR="007022C1" w:rsidRPr="00E47ECF" w:rsidRDefault="007022C1" w:rsidP="008A1637">
      <w:pPr>
        <w:rPr>
          <w:rFonts w:cs="Tahoma"/>
          <w:lang w:val="pt-BR"/>
        </w:rPr>
      </w:pPr>
    </w:p>
    <w:p w:rsidR="008A1637" w:rsidRPr="00FF3D4D" w:rsidRDefault="008A1637" w:rsidP="007022C1">
      <w:pPr>
        <w:pStyle w:val="Heading2"/>
        <w:ind w:left="0"/>
        <w:rPr>
          <w:rFonts w:ascii="Tahoma" w:hAnsi="Tahoma" w:cs="Tahoma"/>
        </w:rPr>
      </w:pPr>
      <w:bookmarkStart w:id="988" w:name="_Toc323159784"/>
      <w:bookmarkStart w:id="989" w:name="_Toc336338253"/>
      <w:bookmarkStart w:id="990" w:name="_Toc352234321"/>
      <w:r w:rsidRPr="00FF3D4D">
        <w:rPr>
          <w:rFonts w:ascii="Tahoma" w:hAnsi="Tahoma" w:cs="Tahoma"/>
        </w:rPr>
        <w:t>Licenças independentes da plataforma</w:t>
      </w:r>
      <w:bookmarkEnd w:id="988"/>
      <w:bookmarkEnd w:id="989"/>
      <w:bookmarkEnd w:id="990"/>
    </w:p>
    <w:p w:rsidR="008A1637" w:rsidRPr="00E47ECF" w:rsidRDefault="008A1637" w:rsidP="007022C1">
      <w:pPr>
        <w:tabs>
          <w:tab w:val="num" w:pos="0"/>
        </w:tabs>
        <w:ind w:right="720"/>
        <w:rPr>
          <w:rFonts w:cs="Tahoma"/>
          <w:lang w:val="pt-BR"/>
        </w:rPr>
      </w:pPr>
    </w:p>
    <w:p w:rsidR="008A1637" w:rsidRPr="00E47ECF" w:rsidRDefault="008A1637" w:rsidP="007022C1">
      <w:pPr>
        <w:pStyle w:val="AppendixBodyText"/>
        <w:spacing w:after="0"/>
        <w:ind w:right="720"/>
        <w:rPr>
          <w:rFonts w:ascii="Tahoma" w:hAnsi="Tahoma" w:cs="Tahoma"/>
          <w:sz w:val="18"/>
          <w:szCs w:val="18"/>
          <w:lang w:val="pt-BR"/>
        </w:rPr>
      </w:pPr>
      <w:r w:rsidRPr="00E47ECF">
        <w:rPr>
          <w:rFonts w:ascii="Tahoma" w:hAnsi="Tahoma" w:cs="Tahoma"/>
          <w:color w:val="000000"/>
          <w:sz w:val="18"/>
          <w:szCs w:val="18"/>
          <w:lang w:val="pt-BR"/>
        </w:rPr>
        <w:t>Microsoft Office Standard, Office Professional Plus, Word, Excel, PowerPoint, Outlook, Lync, Office para Mac, Word para Mac, Excel para Mac, PowerPoint para Mac, Lync para Mac e Outlook para Mac são licenças “independentes da plataforma”.</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FB5496" w:rsidRPr="00E47ECF">
        <w:rPr>
          <w:rFonts w:ascii="Tahoma" w:hAnsi="Tahoma" w:cs="Tahoma"/>
          <w:color w:val="000000"/>
          <w:sz w:val="18"/>
          <w:szCs w:val="18"/>
          <w:lang w:val="pt-BR"/>
        </w:rPr>
        <w:t xml:space="preserve"> </w:t>
      </w:r>
      <w:r w:rsidRPr="00E47ECF">
        <w:rPr>
          <w:rFonts w:ascii="Tahoma" w:hAnsi="Tahoma" w:cs="Tahoma"/>
          <w:color w:val="000000"/>
          <w:sz w:val="18"/>
          <w:szCs w:val="18"/>
          <w:lang w:val="pt-BR"/>
        </w:rPr>
        <w:t>Por exemplo, um cliente licenciado para o Office para Mac Standard 2011 pode optar pelo uso dessa licença para executar o Office Standard 2010 para Windows.</w:t>
      </w:r>
    </w:p>
    <w:p w:rsidR="008A1637" w:rsidRPr="00E47ECF" w:rsidRDefault="008A1637" w:rsidP="007022C1">
      <w:pPr>
        <w:pStyle w:val="AppendixBodyText"/>
        <w:spacing w:after="0"/>
        <w:rPr>
          <w:rFonts w:ascii="Tahoma" w:hAnsi="Tahoma" w:cs="Tahoma"/>
          <w:sz w:val="18"/>
          <w:szCs w:val="18"/>
          <w:lang w:val="pt-BR"/>
        </w:rPr>
      </w:pPr>
    </w:p>
    <w:p w:rsidR="008A1637" w:rsidRPr="00E47ECF" w:rsidRDefault="008A1637" w:rsidP="007022C1">
      <w:pPr>
        <w:pStyle w:val="AppendixBodyText"/>
        <w:spacing w:after="0"/>
        <w:ind w:right="720"/>
        <w:rPr>
          <w:rFonts w:ascii="Tahoma" w:hAnsi="Tahoma" w:cs="Tahoma"/>
          <w:sz w:val="18"/>
          <w:szCs w:val="18"/>
          <w:lang w:val="pt-BR"/>
        </w:rPr>
      </w:pPr>
      <w:r w:rsidRPr="00E47ECF">
        <w:rPr>
          <w:rFonts w:ascii="Tahoma" w:hAnsi="Tahoma" w:cs="Tahoma"/>
          <w:color w:val="000000"/>
          <w:sz w:val="18"/>
          <w:szCs w:val="18"/>
          <w:lang w:val="pt-BR"/>
        </w:rPr>
        <w:t>Os componentes de um pacote de produtos poderão variar de acordo com a versão da plataforma. Você 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w:t>
      </w:r>
      <w:r w:rsidR="006A42EC" w:rsidRPr="00E47ECF">
        <w:rPr>
          <w:rFonts w:ascii="Tahoma" w:hAnsi="Tahoma" w:cs="Tahoma"/>
          <w:color w:val="000000"/>
          <w:sz w:val="18"/>
          <w:szCs w:val="18"/>
          <w:lang w:val="pt-BR"/>
        </w:rPr>
        <w:t> </w:t>
      </w:r>
      <w:r w:rsidRPr="00E47ECF">
        <w:rPr>
          <w:rFonts w:ascii="Tahoma" w:hAnsi="Tahoma" w:cs="Tahoma"/>
          <w:color w:val="000000"/>
          <w:sz w:val="18"/>
          <w:szCs w:val="18"/>
          <w:lang w:val="pt-BR"/>
        </w:rPr>
        <w:t>não terá o direito de executar o Lync, mas terá o direito de executar o OneNote.</w:t>
      </w:r>
    </w:p>
    <w:p w:rsidR="008A1637" w:rsidRPr="00E47ECF" w:rsidRDefault="008A1637" w:rsidP="007022C1">
      <w:pPr>
        <w:pStyle w:val="AppendixBodyText"/>
        <w:spacing w:after="0"/>
        <w:ind w:right="720"/>
        <w:rPr>
          <w:rFonts w:ascii="Tahoma" w:hAnsi="Tahoma" w:cs="Tahoma"/>
          <w:sz w:val="18"/>
          <w:szCs w:val="18"/>
          <w:lang w:val="pt-BR"/>
        </w:rPr>
      </w:pPr>
      <w:r w:rsidRPr="00E47ECF">
        <w:rPr>
          <w:rFonts w:ascii="Tahoma" w:hAnsi="Tahoma" w:cs="Tahoma"/>
          <w:color w:val="000000"/>
          <w:sz w:val="18"/>
          <w:szCs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rsidR="008A1637" w:rsidRPr="00E47ECF" w:rsidRDefault="008A1637" w:rsidP="007022C1">
      <w:pPr>
        <w:tabs>
          <w:tab w:val="left" w:pos="360"/>
        </w:tabs>
        <w:ind w:right="720"/>
        <w:rPr>
          <w:lang w:val="pt-BR"/>
        </w:rPr>
      </w:pPr>
    </w:p>
    <w:p w:rsidR="008A1637" w:rsidRPr="00E47ECF" w:rsidRDefault="008A1637" w:rsidP="007022C1">
      <w:pPr>
        <w:pStyle w:val="AppendixBodyText"/>
        <w:spacing w:after="0"/>
        <w:ind w:right="720"/>
        <w:rPr>
          <w:rFonts w:ascii="Tahoma" w:hAnsi="Tahoma" w:cs="Tahoma"/>
          <w:sz w:val="18"/>
          <w:szCs w:val="18"/>
          <w:lang w:val="pt-BR"/>
        </w:rPr>
      </w:pPr>
      <w:r w:rsidRPr="00E47ECF">
        <w:rPr>
          <w:rFonts w:ascii="Tahoma" w:hAnsi="Tahoma" w:cs="Tahoma"/>
          <w:sz w:val="18"/>
          <w:szCs w:val="18"/>
          <w:lang w:val="pt-BR"/>
        </w:rPr>
        <w:lastRenderedPageBreak/>
        <w:t>O Microsoft SQL Server é uma licença “independente da plataforma”. Uma licença independente da plataforma permite que um produto específico seja usado em qualquer plataforma de computador em que o</w:t>
      </w:r>
      <w:r w:rsidR="006A42EC" w:rsidRPr="00E47ECF">
        <w:rPr>
          <w:rFonts w:ascii="Tahoma" w:hAnsi="Tahoma" w:cs="Tahoma"/>
          <w:sz w:val="18"/>
          <w:szCs w:val="18"/>
          <w:lang w:val="pt-BR"/>
        </w:rPr>
        <w:t> </w:t>
      </w:r>
      <w:r w:rsidRPr="00E47ECF">
        <w:rPr>
          <w:rFonts w:ascii="Tahoma" w:hAnsi="Tahoma" w:cs="Tahoma"/>
          <w:sz w:val="18"/>
          <w:szCs w:val="18"/>
          <w:lang w:val="pt-BR"/>
        </w:rPr>
        <w:t>software seja executado, desde que a versão seja igual ou anterior à versão original que foi licenciada.</w:t>
      </w:r>
    </w:p>
    <w:p w:rsidR="008A1637" w:rsidRPr="00E47ECF" w:rsidRDefault="008A1637" w:rsidP="007022C1">
      <w:pPr>
        <w:pStyle w:val="AppendixBodyText"/>
        <w:spacing w:after="0"/>
        <w:ind w:right="720"/>
        <w:rPr>
          <w:rFonts w:ascii="Tahoma" w:hAnsi="Tahoma" w:cs="Tahoma"/>
          <w:sz w:val="18"/>
          <w:szCs w:val="18"/>
          <w:lang w:val="pt-BR"/>
        </w:rPr>
      </w:pPr>
    </w:p>
    <w:p w:rsidR="008A1637" w:rsidRPr="00E47ECF" w:rsidRDefault="008A1637" w:rsidP="007022C1">
      <w:pPr>
        <w:pStyle w:val="AppendixBodyText"/>
        <w:spacing w:after="0"/>
        <w:ind w:right="720"/>
        <w:rPr>
          <w:rFonts w:ascii="Tahoma" w:hAnsi="Tahoma" w:cs="Tahoma"/>
          <w:sz w:val="18"/>
          <w:szCs w:val="18"/>
          <w:lang w:val="pt-BR"/>
        </w:rPr>
      </w:pPr>
      <w:r w:rsidRPr="00E47ECF">
        <w:rPr>
          <w:rFonts w:ascii="Tahoma" w:hAnsi="Tahoma" w:cs="Tahoma"/>
          <w:sz w:val="18"/>
          <w:szCs w:val="18"/>
          <w:lang w:val="pt-BR"/>
        </w:rPr>
        <w:t>Além disso, um cliente que registrar uma licença independente da plataforma no Software Assurance está qualificado para usar a versão mais atual desse produto particular que esteja disponível durante o prazo da</w:t>
      </w:r>
      <w:r w:rsidR="006A42EC" w:rsidRPr="00E47ECF">
        <w:rPr>
          <w:rFonts w:ascii="Tahoma" w:hAnsi="Tahoma" w:cs="Tahoma"/>
          <w:sz w:val="18"/>
          <w:szCs w:val="18"/>
          <w:lang w:val="pt-BR"/>
        </w:rPr>
        <w:t> </w:t>
      </w:r>
      <w:r w:rsidRPr="00E47ECF">
        <w:rPr>
          <w:rFonts w:ascii="Tahoma" w:hAnsi="Tahoma" w:cs="Tahoma"/>
          <w:sz w:val="18"/>
          <w:szCs w:val="18"/>
          <w:lang w:val="pt-BR"/>
        </w:rPr>
        <w:t>cobertura de Software Assurance, seja qual for a plataforma (desde que somente uma versão seja instalada/usada de cada vez).</w:t>
      </w:r>
    </w:p>
    <w:p w:rsidR="00973A93" w:rsidRPr="00E47ECF" w:rsidRDefault="00973A93">
      <w:pPr>
        <w:rPr>
          <w:rFonts w:cs="Tahoma"/>
          <w:szCs w:val="18"/>
          <w:lang w:val="pt-BR"/>
        </w:rPr>
      </w:pPr>
      <w:bookmarkStart w:id="991" w:name="_Toc336338254"/>
    </w:p>
    <w:p w:rsidR="008A1637" w:rsidRPr="00416070" w:rsidRDefault="008A1637" w:rsidP="008A1637">
      <w:pPr>
        <w:pStyle w:val="Heading2"/>
        <w:ind w:left="0"/>
      </w:pPr>
      <w:bookmarkStart w:id="992" w:name="_Toc352234322"/>
      <w:r w:rsidRPr="00416070">
        <w:rPr>
          <w:rFonts w:ascii="Tahoma" w:hAnsi="Tahoma" w:cs="Tahoma"/>
        </w:rPr>
        <w:t>Chaves de Produto em Licenças por Volume</w:t>
      </w:r>
      <w:bookmarkEnd w:id="991"/>
      <w:bookmarkEnd w:id="992"/>
    </w:p>
    <w:p w:rsidR="008A1637" w:rsidRPr="00E47ECF" w:rsidRDefault="008A1637" w:rsidP="008A1637">
      <w:pPr>
        <w:spacing w:after="60"/>
        <w:ind w:right="720"/>
        <w:rPr>
          <w:bCs/>
          <w:szCs w:val="18"/>
          <w:lang w:val="pt-BR"/>
        </w:rPr>
      </w:pPr>
    </w:p>
    <w:p w:rsidR="008A1637" w:rsidRPr="00E47ECF" w:rsidRDefault="008A1637" w:rsidP="007022C1">
      <w:pPr>
        <w:ind w:right="720"/>
        <w:rPr>
          <w:szCs w:val="18"/>
          <w:lang w:val="pt-BR"/>
        </w:rPr>
      </w:pPr>
      <w:r w:rsidRPr="00E47ECF">
        <w:rPr>
          <w:rFonts w:cs="Tahoma"/>
          <w:color w:val="000000"/>
          <w:szCs w:val="18"/>
          <w:lang w:val="pt-BR"/>
        </w:rPr>
        <w:t>As chaves de produto (Product Keys) habilitam as organizações a utilizarem o software e os produtos que licenciaram.</w:t>
      </w:r>
      <w:r w:rsidR="00FB5496" w:rsidRPr="00E47ECF">
        <w:rPr>
          <w:rFonts w:cs="Tahoma"/>
          <w:color w:val="000000"/>
          <w:szCs w:val="18"/>
          <w:lang w:val="pt-BR"/>
        </w:rPr>
        <w:t xml:space="preserve"> </w:t>
      </w:r>
      <w:r w:rsidRPr="00E47ECF">
        <w:rPr>
          <w:rFonts w:cs="Tahoma"/>
          <w:color w:val="000000"/>
          <w:szCs w:val="18"/>
          <w:lang w:val="pt-BR"/>
        </w:rPr>
        <w:t>Todas as chaves de produto são emitidas para um cliente de acordo com um contrato de licença específico.</w:t>
      </w:r>
      <w:r w:rsidR="00FB5496" w:rsidRPr="00E47ECF">
        <w:rPr>
          <w:rFonts w:cs="Tahoma"/>
          <w:color w:val="000000"/>
          <w:szCs w:val="18"/>
          <w:lang w:val="pt-BR"/>
        </w:rPr>
        <w:t xml:space="preserve"> </w:t>
      </w:r>
      <w:r w:rsidRPr="00E47ECF">
        <w:rPr>
          <w:rFonts w:cs="Tahoma"/>
          <w:color w:val="000000"/>
          <w:szCs w:val="18"/>
          <w:lang w:val="pt-BR"/>
        </w:rPr>
        <w:t xml:space="preserve">Para obter as chaves de produto, visite os sites </w:t>
      </w:r>
      <w:hyperlink r:id="rId39" w:history="1">
        <w:r w:rsidRPr="00E47ECF">
          <w:rPr>
            <w:rStyle w:val="Hyperlink"/>
            <w:szCs w:val="18"/>
            <w:lang w:val="pt-BR"/>
          </w:rPr>
          <w:t>Microsoft Volume Licensing Service Center (VLSC)</w:t>
        </w:r>
      </w:hyperlink>
      <w:r w:rsidRPr="00E47ECF">
        <w:rPr>
          <w:rFonts w:cs="Tahoma"/>
          <w:color w:val="000000"/>
          <w:szCs w:val="18"/>
          <w:lang w:val="pt-BR"/>
        </w:rPr>
        <w:t xml:space="preserve">. Você também pode ligar para o </w:t>
      </w:r>
      <w:hyperlink r:id="rId40" w:history="1">
        <w:r w:rsidRPr="00E47ECF">
          <w:rPr>
            <w:rStyle w:val="Hyperlink"/>
            <w:color w:val="0070C0"/>
            <w:szCs w:val="18"/>
            <w:lang w:val="pt-BR"/>
          </w:rPr>
          <w:t>Centro de Ativação de Licenciamento por Volume da Microsoft</w:t>
        </w:r>
      </w:hyperlink>
      <w:r w:rsidRPr="00E47ECF">
        <w:rPr>
          <w:rFonts w:cs="Tahoma"/>
          <w:color w:val="0070C0"/>
          <w:szCs w:val="18"/>
          <w:lang w:val="pt-BR"/>
        </w:rPr>
        <w:t>.</w:t>
      </w:r>
      <w:r w:rsidRPr="00E47ECF">
        <w:rPr>
          <w:rFonts w:cs="Tahoma"/>
          <w:color w:val="000000"/>
          <w:szCs w:val="18"/>
          <w:lang w:val="pt-BR"/>
        </w:rPr>
        <w:t xml:space="preserve"> </w:t>
      </w:r>
    </w:p>
    <w:p w:rsidR="008A1637" w:rsidRPr="00E47ECF" w:rsidRDefault="008A1637" w:rsidP="007022C1">
      <w:pPr>
        <w:ind w:right="720"/>
        <w:rPr>
          <w:szCs w:val="18"/>
          <w:lang w:val="pt-BR"/>
        </w:rPr>
      </w:pPr>
    </w:p>
    <w:p w:rsidR="008A1637" w:rsidRPr="00E47ECF" w:rsidRDefault="008A1637" w:rsidP="007022C1">
      <w:pPr>
        <w:ind w:right="720"/>
        <w:rPr>
          <w:szCs w:val="18"/>
          <w:lang w:val="pt-BR"/>
        </w:rPr>
      </w:pPr>
      <w:r w:rsidRPr="00E47ECF">
        <w:rPr>
          <w:rFonts w:cs="Tahoma"/>
          <w:color w:val="000000"/>
          <w:szCs w:val="18"/>
          <w:lang w:val="pt-BR"/>
        </w:rPr>
        <w:t xml:space="preserve">Para ver uma lista de produtos do Licenciamento por Volume que requerem chaves de produto e obter informações adicionais, consulte: </w:t>
      </w:r>
      <w:hyperlink r:id="rId41" w:history="1">
        <w:r w:rsidRPr="00E47ECF">
          <w:rPr>
            <w:rStyle w:val="Hyperlink"/>
            <w:szCs w:val="18"/>
            <w:lang w:val="pt-BR"/>
          </w:rPr>
          <w:t>http://www.microsoft.com/licensing/resources/vol/volumelicensekey/default.mspx</w:t>
        </w:r>
      </w:hyperlink>
      <w:r w:rsidRPr="00E47ECF">
        <w:rPr>
          <w:rFonts w:cs="Tahoma"/>
          <w:szCs w:val="18"/>
          <w:lang w:val="pt-BR"/>
        </w:rPr>
        <w:t>.</w:t>
      </w:r>
    </w:p>
    <w:p w:rsidR="008A1637" w:rsidRPr="00E47ECF" w:rsidRDefault="008A1637" w:rsidP="007022C1">
      <w:pPr>
        <w:ind w:right="720"/>
        <w:rPr>
          <w:szCs w:val="18"/>
          <w:lang w:val="pt-BR"/>
        </w:rPr>
      </w:pPr>
      <w:r w:rsidRPr="00E47ECF">
        <w:rPr>
          <w:rFonts w:cs="Tahoma"/>
          <w:color w:val="1F497D"/>
          <w:szCs w:val="18"/>
          <w:lang w:val="pt-BR"/>
        </w:rPr>
        <w:br/>
      </w:r>
      <w:r w:rsidRPr="00E47ECF">
        <w:rPr>
          <w:rFonts w:cs="Tahoma"/>
          <w:color w:val="000000"/>
          <w:szCs w:val="18"/>
          <w:lang w:val="pt-BR"/>
        </w:rPr>
        <w:t>Nem todos os produtos do Licenciamento por Volume requerem uma chave de produto.</w:t>
      </w:r>
      <w:r w:rsidRPr="00E47ECF">
        <w:rPr>
          <w:rFonts w:ascii="Verdana" w:hAnsi="Verdana"/>
          <w:color w:val="333333"/>
          <w:szCs w:val="18"/>
          <w:lang w:val="pt-BR"/>
        </w:rPr>
        <w:t xml:space="preserve"> </w:t>
      </w:r>
      <w:r w:rsidRPr="00E47ECF">
        <w:rPr>
          <w:rFonts w:cs="Tahoma"/>
          <w:color w:val="000000"/>
          <w:szCs w:val="18"/>
          <w:lang w:val="pt-BR"/>
        </w:rPr>
        <w:t>Se um produto não estiver listado, nenhuma chave será exigida.</w:t>
      </w:r>
    </w:p>
    <w:p w:rsidR="008A1637" w:rsidRPr="00E47ECF" w:rsidRDefault="008A1637" w:rsidP="007022C1">
      <w:pPr>
        <w:ind w:right="720"/>
        <w:rPr>
          <w:szCs w:val="18"/>
          <w:lang w:val="pt-BR"/>
        </w:rPr>
      </w:pPr>
    </w:p>
    <w:p w:rsidR="008A1637" w:rsidRPr="00E47ECF" w:rsidRDefault="008A1637" w:rsidP="007022C1">
      <w:pPr>
        <w:ind w:right="720"/>
        <w:rPr>
          <w:szCs w:val="18"/>
          <w:lang w:val="pt-BR"/>
        </w:rPr>
      </w:pPr>
      <w:r w:rsidRPr="00E47ECF">
        <w:rPr>
          <w:rFonts w:cs="Tahoma"/>
          <w:b/>
          <w:bCs/>
          <w:color w:val="000000"/>
          <w:szCs w:val="18"/>
          <w:lang w:val="pt-BR"/>
        </w:rPr>
        <w:t>Observação:</w:t>
      </w:r>
      <w:r w:rsidR="00FB5496" w:rsidRPr="00E47ECF">
        <w:rPr>
          <w:rFonts w:cs="Tahoma"/>
          <w:color w:val="000000"/>
          <w:szCs w:val="18"/>
          <w:lang w:val="pt-BR"/>
        </w:rPr>
        <w:t xml:space="preserve"> </w:t>
      </w:r>
      <w:r w:rsidRPr="00E47ECF">
        <w:rPr>
          <w:rFonts w:cs="Tahoma"/>
          <w:color w:val="000000"/>
          <w:szCs w:val="18"/>
          <w:lang w:val="pt-BR"/>
        </w:rPr>
        <w:t>as chaves de produto são cedidas e destinadas para o uso exclusivo da sua organização. Você será responsabilizado por qualquer uso não autorizado das chaves de produto emitidas de acordo com o seu contrato. Tome providências para manter suas chaves em segurança. Não as divulgu</w:t>
      </w:r>
      <w:r w:rsidR="007E2720" w:rsidRPr="00E47ECF">
        <w:rPr>
          <w:rFonts w:cs="Tahoma"/>
          <w:color w:val="000000"/>
          <w:szCs w:val="18"/>
          <w:lang w:val="pt-BR"/>
        </w:rPr>
        <w:t>e para pessoas não autorizadas.</w:t>
      </w:r>
    </w:p>
    <w:p w:rsidR="00023FE7" w:rsidRPr="00416070" w:rsidRDefault="008A1637" w:rsidP="00FE2B0B">
      <w:pPr>
        <w:pStyle w:val="Heading1"/>
        <w:spacing w:before="0"/>
      </w:pPr>
      <w:r w:rsidRPr="00416070">
        <w:br w:type="page"/>
      </w:r>
      <w:bookmarkStart w:id="993" w:name="_Toc336338255"/>
      <w:bookmarkStart w:id="994" w:name="_Toc352234323"/>
      <w:r w:rsidRPr="00416070">
        <w:lastRenderedPageBreak/>
        <w:t>NoTAS do Produto</w:t>
      </w:r>
      <w:bookmarkEnd w:id="993"/>
      <w:bookmarkEnd w:id="994"/>
    </w:p>
    <w:p w:rsidR="00023FE7" w:rsidRPr="00416070" w:rsidRDefault="00023FE7">
      <w:pPr>
        <w:pStyle w:val="Heading2"/>
        <w:ind w:hanging="540"/>
        <w:rPr>
          <w:rFonts w:ascii="Tahoma" w:hAnsi="Tahoma" w:cs="Tahoma"/>
          <w:sz w:val="28"/>
          <w:szCs w:val="28"/>
        </w:rPr>
      </w:pPr>
    </w:p>
    <w:p w:rsidR="00023FE7" w:rsidRPr="00F17536" w:rsidRDefault="00023FE7">
      <w:pPr>
        <w:pStyle w:val="Heading2"/>
        <w:ind w:left="0"/>
        <w:rPr>
          <w:rFonts w:ascii="Tahoma" w:hAnsi="Tahoma" w:cs="Tahoma"/>
          <w:sz w:val="28"/>
          <w:szCs w:val="28"/>
        </w:rPr>
      </w:pPr>
      <w:bookmarkStart w:id="995" w:name="_Toc336338256"/>
      <w:bookmarkStart w:id="996" w:name="_Toc352234324"/>
      <w:r w:rsidRPr="00F17536">
        <w:rPr>
          <w:rFonts w:ascii="Tahoma" w:hAnsi="Tahoma" w:cs="Tahoma"/>
          <w:sz w:val="28"/>
          <w:szCs w:val="28"/>
        </w:rPr>
        <w:t>Pool de Aplicativos</w:t>
      </w:r>
      <w:bookmarkEnd w:id="995"/>
      <w:bookmarkEnd w:id="996"/>
    </w:p>
    <w:p w:rsidR="00023FE7" w:rsidRPr="00E47ECF" w:rsidRDefault="00023FE7" w:rsidP="00D94745">
      <w:pPr>
        <w:rPr>
          <w:lang w:val="pt-BR"/>
        </w:rPr>
      </w:pPr>
      <w:bookmarkStart w:id="997" w:name="_1_Data_Analyzer"/>
      <w:bookmarkStart w:id="998" w:name="Aps_1BingMapsDesktopandContentPack"/>
      <w:bookmarkEnd w:id="997"/>
    </w:p>
    <w:p w:rsidR="004A2FC2" w:rsidRPr="00E47ECF" w:rsidRDefault="004A2FC2" w:rsidP="004A2FC2">
      <w:pPr>
        <w:rPr>
          <w:lang w:val="pt-BR"/>
        </w:rPr>
      </w:pPr>
      <w:bookmarkStart w:id="999" w:name="Aps_ExpStudioproducts"/>
      <w:bookmarkStart w:id="1000" w:name="Aps_ExpStudio2"/>
      <w:bookmarkStart w:id="1001" w:name="Aps_1ExpStudio3"/>
      <w:bookmarkEnd w:id="998"/>
    </w:p>
    <w:p w:rsidR="004A2FC2" w:rsidRPr="00E47ECF" w:rsidRDefault="004A2FC2" w:rsidP="004A2FC2">
      <w:pPr>
        <w:rPr>
          <w:lang w:val="pt-BR"/>
        </w:rPr>
      </w:pPr>
    </w:p>
    <w:p w:rsidR="00176313" w:rsidRPr="00416070" w:rsidRDefault="00B54C21" w:rsidP="004A2FC2">
      <w:pPr>
        <w:pStyle w:val="Heading3"/>
        <w:ind w:left="180" w:hanging="180"/>
      </w:pPr>
      <w:bookmarkStart w:id="1002" w:name="_12_Expression_Encoder"/>
      <w:bookmarkStart w:id="1003" w:name="_1_Expression_Encoder"/>
      <w:bookmarkStart w:id="1004" w:name="_Toc336338258"/>
      <w:bookmarkStart w:id="1005" w:name="_Toc352234325"/>
      <w:bookmarkEnd w:id="1002"/>
      <w:bookmarkEnd w:id="1003"/>
      <w:r w:rsidRPr="00416070">
        <w:rPr>
          <w:rFonts w:ascii="Tahoma" w:hAnsi="Tahoma"/>
          <w:caps/>
          <w:color w:val="F66400"/>
          <w:sz w:val="22"/>
          <w:vertAlign w:val="superscript"/>
        </w:rPr>
        <w:t>1</w:t>
      </w:r>
      <w:r w:rsidRPr="00416070">
        <w:rPr>
          <w:rFonts w:ascii="Tahoma" w:hAnsi="Tahoma"/>
          <w:color w:val="F66400"/>
          <w:sz w:val="22"/>
        </w:rPr>
        <w:t xml:space="preserve"> Expression Encoder Pro 4</w:t>
      </w:r>
      <w:bookmarkEnd w:id="999"/>
      <w:bookmarkEnd w:id="1004"/>
      <w:bookmarkEnd w:id="1005"/>
    </w:p>
    <w:p w:rsidR="00176313" w:rsidRPr="00E47ECF" w:rsidRDefault="00176313" w:rsidP="004A2FC2">
      <w:pPr>
        <w:rPr>
          <w:lang w:val="pt-BR"/>
        </w:rPr>
      </w:pPr>
    </w:p>
    <w:p w:rsidR="00176313" w:rsidRPr="00E47ECF" w:rsidRDefault="00176313" w:rsidP="004A2FC2">
      <w:pPr>
        <w:ind w:left="720"/>
        <w:rPr>
          <w:lang w:val="pt-BR"/>
        </w:rPr>
      </w:pPr>
    </w:p>
    <w:p w:rsidR="00176313" w:rsidRPr="00E47ECF" w:rsidRDefault="00176313" w:rsidP="00864B8A">
      <w:pPr>
        <w:spacing w:after="60"/>
        <w:ind w:left="720"/>
        <w:rPr>
          <w:lang w:val="pt-BR"/>
        </w:rPr>
      </w:pPr>
      <w:r w:rsidRPr="00E47ECF">
        <w:rPr>
          <w:rFonts w:cs="Tahoma"/>
          <w:b/>
          <w:szCs w:val="20"/>
          <w:lang w:val="pt-BR"/>
        </w:rPr>
        <w:t>Expression Encoder Pro 4</w:t>
      </w:r>
    </w:p>
    <w:p w:rsidR="00176313" w:rsidRPr="00E47ECF" w:rsidRDefault="00176313" w:rsidP="00F17536">
      <w:pPr>
        <w:ind w:left="720"/>
        <w:rPr>
          <w:lang w:val="pt-BR"/>
        </w:rPr>
      </w:pPr>
      <w:r w:rsidRPr="00E47ECF">
        <w:rPr>
          <w:rFonts w:cs="Tahoma"/>
          <w:color w:val="000000"/>
          <w:szCs w:val="18"/>
          <w:lang w:val="pt-BR"/>
        </w:rPr>
        <w:t>A linha de produtos Expression foi atualizada.</w:t>
      </w:r>
      <w:r w:rsidR="00FB5496" w:rsidRPr="00E47ECF">
        <w:rPr>
          <w:rFonts w:cs="Tahoma"/>
          <w:color w:val="000000"/>
          <w:szCs w:val="18"/>
          <w:lang w:val="pt-BR"/>
        </w:rPr>
        <w:t xml:space="preserve"> </w:t>
      </w:r>
      <w:r w:rsidRPr="00E47ECF">
        <w:rPr>
          <w:rFonts w:cs="Tahoma"/>
          <w:color w:val="000000"/>
          <w:szCs w:val="18"/>
          <w:lang w:val="pt-BR"/>
        </w:rPr>
        <w:t>Somente a marca do produto foi alterada; o software da versão 3 e o software da versão 4 são os mesmos.</w:t>
      </w:r>
      <w:r w:rsidR="00FB5496" w:rsidRPr="00E47ECF">
        <w:rPr>
          <w:rFonts w:cs="Tahoma"/>
          <w:color w:val="000000"/>
          <w:szCs w:val="18"/>
          <w:lang w:val="pt-BR"/>
        </w:rPr>
        <w:t xml:space="preserve"> </w:t>
      </w:r>
      <w:r w:rsidRPr="00E47ECF">
        <w:rPr>
          <w:rFonts w:cs="Tahoma"/>
          <w:color w:val="000000"/>
          <w:szCs w:val="18"/>
          <w:lang w:val="pt-BR"/>
        </w:rPr>
        <w:t>Dessa forma, os clientes licenciados para os produtos da</w:t>
      </w:r>
      <w:r w:rsidR="00F17536" w:rsidRPr="00E47ECF">
        <w:rPr>
          <w:rFonts w:cs="Tahoma"/>
          <w:color w:val="000000"/>
          <w:szCs w:val="18"/>
          <w:lang w:val="pt-BR"/>
        </w:rPr>
        <w:t> </w:t>
      </w:r>
      <w:r w:rsidRPr="00E47ECF">
        <w:rPr>
          <w:rFonts w:cs="Tahoma"/>
          <w:color w:val="000000"/>
          <w:szCs w:val="18"/>
          <w:lang w:val="pt-BR"/>
        </w:rPr>
        <w:t>versão 3 serão considerados licenciados para os produtos correspondentes da versão 4 (conforme apresentado abaixo) e poderão usar o software marcado como versão 4 em vez do software marcado como</w:t>
      </w:r>
      <w:r w:rsidR="00F17536" w:rsidRPr="00E47ECF">
        <w:rPr>
          <w:rFonts w:cs="Tahoma"/>
          <w:color w:val="000000"/>
          <w:szCs w:val="18"/>
          <w:lang w:val="pt-BR"/>
        </w:rPr>
        <w:t> </w:t>
      </w:r>
      <w:r w:rsidRPr="00E47ECF">
        <w:rPr>
          <w:rFonts w:cs="Tahoma"/>
          <w:color w:val="000000"/>
          <w:szCs w:val="18"/>
          <w:lang w:val="pt-BR"/>
        </w:rPr>
        <w:t>versão 3. O direito de usar o software continua a ser regido pelos termos e pelas condições do Contrato de Licenciamento por Volume do Cliente e pelos direitos de uso de produto do software conforme suplementado por esta nota de condição de produto.</w:t>
      </w:r>
      <w:r w:rsidR="00FB5496" w:rsidRPr="00E47ECF">
        <w:rPr>
          <w:rFonts w:cs="Tahoma"/>
          <w:color w:val="000000"/>
          <w:szCs w:val="18"/>
          <w:lang w:val="pt-BR"/>
        </w:rPr>
        <w:t xml:space="preserve"> </w:t>
      </w:r>
      <w:r w:rsidRPr="00E47ECF">
        <w:rPr>
          <w:rFonts w:cs="Tahoma"/>
          <w:color w:val="000000"/>
          <w:szCs w:val="18"/>
          <w:lang w:val="pt-BR"/>
        </w:rPr>
        <w:t>A atualização não abrange a garantia nem qualquer obrigação de suporte da Microsoft relacionada à cobertura de Software Assurance dos produtos.</w:t>
      </w:r>
    </w:p>
    <w:p w:rsidR="00973A93" w:rsidRPr="00E47ECF" w:rsidRDefault="00973A93">
      <w:pPr>
        <w:rPr>
          <w:lang w:val="pt-BR"/>
        </w:rPr>
      </w:pPr>
    </w:p>
    <w:p w:rsidR="004A2FC2" w:rsidRPr="00E47ECF" w:rsidRDefault="004A2FC2" w:rsidP="004A2FC2">
      <w:pPr>
        <w:rPr>
          <w:lang w:val="pt-BR"/>
        </w:rPr>
      </w:pPr>
      <w:bookmarkStart w:id="1006" w:name="_Toc254806117"/>
      <w:bookmarkStart w:id="1007" w:name="Aps_MSDNOPSystems"/>
      <w:bookmarkStart w:id="1008" w:name="Aps_3MSDNOPSystems"/>
      <w:bookmarkStart w:id="1009" w:name="Aps_5OffCommunicator07"/>
      <w:bookmarkEnd w:id="1000"/>
      <w:bookmarkEnd w:id="1001"/>
    </w:p>
    <w:p w:rsidR="00E316C2" w:rsidRPr="00416070" w:rsidRDefault="00B54C21" w:rsidP="00E316C2">
      <w:pPr>
        <w:pStyle w:val="Heading3"/>
      </w:pPr>
      <w:bookmarkStart w:id="1010" w:name="_23_Lync_for"/>
      <w:bookmarkStart w:id="1011" w:name="_Toc336338259"/>
      <w:bookmarkStart w:id="1012" w:name="_Toc352234326"/>
      <w:bookmarkStart w:id="1013" w:name="Aps_3Lync2010"/>
      <w:bookmarkEnd w:id="1010"/>
      <w:r w:rsidRPr="00416070">
        <w:rPr>
          <w:rFonts w:ascii="Tahoma" w:hAnsi="Tahoma"/>
          <w:caps/>
          <w:color w:val="F66400"/>
          <w:sz w:val="22"/>
          <w:vertAlign w:val="superscript"/>
        </w:rPr>
        <w:t>2</w:t>
      </w:r>
      <w:r w:rsidRPr="00416070">
        <w:rPr>
          <w:rFonts w:ascii="Tahoma" w:hAnsi="Tahoma"/>
          <w:color w:val="F66400"/>
          <w:sz w:val="22"/>
        </w:rPr>
        <w:t xml:space="preserve"> </w:t>
      </w:r>
      <w:bookmarkStart w:id="1014" w:name="Aps_4LyncforMac2011"/>
      <w:r w:rsidRPr="00416070">
        <w:rPr>
          <w:rFonts w:ascii="Tahoma" w:hAnsi="Tahoma"/>
          <w:color w:val="F66400"/>
          <w:sz w:val="22"/>
        </w:rPr>
        <w:t xml:space="preserve">Lync </w:t>
      </w:r>
      <w:bookmarkEnd w:id="1011"/>
      <w:r w:rsidRPr="00416070">
        <w:rPr>
          <w:rFonts w:ascii="Tahoma" w:hAnsi="Tahoma"/>
          <w:color w:val="F66400"/>
          <w:sz w:val="22"/>
        </w:rPr>
        <w:t>para Mac 2011</w:t>
      </w:r>
      <w:bookmarkEnd w:id="1012"/>
      <w:bookmarkEnd w:id="1014"/>
    </w:p>
    <w:p w:rsidR="00AE5A9F" w:rsidRPr="00E47ECF" w:rsidRDefault="00AE5A9F" w:rsidP="00AE5A9F">
      <w:pPr>
        <w:rPr>
          <w:lang w:val="pt-BR"/>
        </w:rPr>
      </w:pPr>
    </w:p>
    <w:bookmarkEnd w:id="1013"/>
    <w:p w:rsidR="004A2FC2" w:rsidRPr="00E47ECF" w:rsidRDefault="00E316C2" w:rsidP="00864B8A">
      <w:pPr>
        <w:spacing w:after="60"/>
        <w:ind w:left="720"/>
        <w:rPr>
          <w:lang w:val="pt-BR"/>
        </w:rPr>
      </w:pPr>
      <w:r w:rsidRPr="00E47ECF">
        <w:rPr>
          <w:rFonts w:cs="Tahoma"/>
          <w:b/>
          <w:szCs w:val="20"/>
          <w:lang w:val="pt-BR"/>
        </w:rPr>
        <w:t>Caminho de Migração do Software Assurance pa</w:t>
      </w:r>
      <w:r w:rsidR="00F17536" w:rsidRPr="00E47ECF">
        <w:rPr>
          <w:rFonts w:cs="Tahoma"/>
          <w:b/>
          <w:szCs w:val="20"/>
          <w:lang w:val="pt-BR"/>
        </w:rPr>
        <w:t>ra o Communicator para Mac 2011</w:t>
      </w:r>
    </w:p>
    <w:p w:rsidR="00B9674D" w:rsidRPr="00E47ECF" w:rsidRDefault="00E316C2" w:rsidP="004A2FC2">
      <w:pPr>
        <w:adjustRightInd w:val="0"/>
        <w:ind w:left="720"/>
        <w:textAlignment w:val="baseline"/>
        <w:rPr>
          <w:lang w:val="pt-BR"/>
        </w:rPr>
      </w:pPr>
      <w:r w:rsidRPr="00E47ECF">
        <w:rPr>
          <w:rFonts w:cs="Tahoma"/>
          <w:lang w:val="pt-BR"/>
        </w:rPr>
        <w:t>A versão substituta do Communicator para Mac 2011 é o Lync para Mac 2011.</w:t>
      </w:r>
    </w:p>
    <w:p w:rsidR="004A2FC2" w:rsidRPr="00E47ECF" w:rsidRDefault="004A2FC2" w:rsidP="004A2FC2">
      <w:pPr>
        <w:adjustRightInd w:val="0"/>
        <w:textAlignment w:val="baseline"/>
        <w:rPr>
          <w:lang w:val="pt-BR"/>
        </w:rPr>
      </w:pPr>
    </w:p>
    <w:p w:rsidR="004A2FC2" w:rsidRPr="00E47ECF" w:rsidRDefault="004A2FC2" w:rsidP="004A2FC2">
      <w:pPr>
        <w:adjustRightInd w:val="0"/>
        <w:textAlignment w:val="baseline"/>
        <w:rPr>
          <w:lang w:val="pt-BR"/>
        </w:rPr>
      </w:pPr>
    </w:p>
    <w:p w:rsidR="00DC2291" w:rsidRPr="00416070" w:rsidRDefault="00B54C21" w:rsidP="00DC2291">
      <w:pPr>
        <w:pStyle w:val="Heading3"/>
      </w:pPr>
      <w:bookmarkStart w:id="1015" w:name="_34_MSDN_Operating"/>
      <w:bookmarkStart w:id="1016" w:name="_Toc336338261"/>
      <w:bookmarkStart w:id="1017" w:name="_Toc352234327"/>
      <w:bookmarkEnd w:id="1015"/>
      <w:r w:rsidRPr="00416070">
        <w:rPr>
          <w:rFonts w:ascii="Tahoma" w:hAnsi="Tahoma"/>
          <w:caps/>
          <w:color w:val="F66400"/>
          <w:sz w:val="22"/>
          <w:vertAlign w:val="superscript"/>
        </w:rPr>
        <w:t>3</w:t>
      </w:r>
      <w:r w:rsidRPr="00416070">
        <w:rPr>
          <w:rFonts w:ascii="Tahoma" w:hAnsi="Tahoma"/>
          <w:color w:val="F66400"/>
          <w:sz w:val="22"/>
        </w:rPr>
        <w:t xml:space="preserve"> Sistemas Operacionais MSDN</w:t>
      </w:r>
      <w:bookmarkEnd w:id="1006"/>
      <w:bookmarkEnd w:id="1016"/>
      <w:bookmarkEnd w:id="1017"/>
    </w:p>
    <w:bookmarkEnd w:id="1007"/>
    <w:bookmarkEnd w:id="1008"/>
    <w:p w:rsidR="00D16EA8" w:rsidRPr="00E47ECF" w:rsidRDefault="00D16EA8" w:rsidP="00D16EA8">
      <w:pPr>
        <w:pStyle w:val="FootnoteBulletLevel1"/>
        <w:tabs>
          <w:tab w:val="clear" w:pos="900"/>
        </w:tabs>
        <w:spacing w:before="0" w:after="0"/>
        <w:ind w:left="720" w:firstLine="0"/>
        <w:rPr>
          <w:rFonts w:ascii="Tahoma" w:hAnsi="Tahoma" w:cs="Tahoma"/>
          <w:sz w:val="18"/>
          <w:szCs w:val="18"/>
          <w:lang w:val="pt-BR"/>
        </w:rPr>
      </w:pPr>
    </w:p>
    <w:p w:rsidR="00D16EA8" w:rsidRPr="00E47ECF" w:rsidRDefault="00DC2291" w:rsidP="00864B8A">
      <w:pPr>
        <w:spacing w:after="60"/>
        <w:ind w:left="720"/>
        <w:rPr>
          <w:lang w:val="pt-BR"/>
        </w:rPr>
      </w:pPr>
      <w:r w:rsidRPr="00E47ECF">
        <w:rPr>
          <w:rFonts w:cs="Tahoma"/>
          <w:b/>
          <w:szCs w:val="20"/>
          <w:lang w:val="pt-BR"/>
        </w:rPr>
        <w:t>Qualificação do Software Assurance</w:t>
      </w:r>
    </w:p>
    <w:p w:rsidR="008368B4" w:rsidRPr="00416070" w:rsidRDefault="00DC2291" w:rsidP="008368B4">
      <w:pPr>
        <w:pStyle w:val="EndnoteText"/>
        <w:tabs>
          <w:tab w:val="num" w:pos="1080"/>
        </w:tabs>
        <w:ind w:left="720"/>
      </w:pPr>
      <w:r w:rsidRPr="00416070">
        <w:rPr>
          <w:rFonts w:ascii="Tahoma" w:hAnsi="Tahoma" w:cs="Tahoma"/>
          <w:sz w:val="18"/>
        </w:rPr>
        <w:t>Os clientes com Software Assurance próximo à data de término referente às licenças dos produtos a seguir estão qualificados a renovar suas coberturas como Software Assurance do MSDN Operating Systems. Ao renovar uma nível de assinatura MSDN diferente, os novos termos de uso substituirão os termos de uso anteriores, e qualquer software não incluído na nova assinatura MSDN deverá ser removido.</w:t>
      </w:r>
    </w:p>
    <w:p w:rsidR="00DC2291" w:rsidRPr="00416070" w:rsidRDefault="00DC2291" w:rsidP="00D16EA8">
      <w:pPr>
        <w:pStyle w:val="EndnoteText"/>
        <w:ind w:left="720"/>
        <w:rPr>
          <w:rFonts w:ascii="Tahoma" w:hAnsi="Tahoma" w:cs="Tahoma"/>
          <w:sz w:val="18"/>
          <w:szCs w:val="18"/>
        </w:rPr>
      </w:pPr>
    </w:p>
    <w:p w:rsidR="00DC2291" w:rsidRPr="00416070" w:rsidRDefault="00DC2291" w:rsidP="00D16EA8">
      <w:pPr>
        <w:pStyle w:val="EndnoteText"/>
        <w:tabs>
          <w:tab w:val="num" w:pos="1080"/>
        </w:tabs>
        <w:ind w:left="720"/>
        <w:rPr>
          <w:rFonts w:ascii="Tahoma" w:hAnsi="Tahoma" w:cs="Tahoma"/>
          <w:sz w:val="18"/>
          <w:szCs w:val="18"/>
        </w:rPr>
      </w:pP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Visual Studio Ultimate com MSDN</w:t>
      </w: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Visual Studio Premium com MSDN</w:t>
      </w: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Visual Studio Professional com MSDN</w:t>
      </w:r>
    </w:p>
    <w:p w:rsidR="00DC2291" w:rsidRPr="00E47ECF" w:rsidRDefault="00DC2291" w:rsidP="00D16EA8">
      <w:pPr>
        <w:pStyle w:val="FootnoteBulletLevel2"/>
        <w:numPr>
          <w:ilvl w:val="0"/>
          <w:numId w:val="4"/>
        </w:numPr>
        <w:spacing w:before="0" w:after="60"/>
        <w:ind w:left="1440"/>
        <w:rPr>
          <w:lang w:val="pt-BR"/>
        </w:rPr>
      </w:pPr>
      <w:r w:rsidRPr="00E47ECF">
        <w:rPr>
          <w:rFonts w:ascii="Tahoma" w:hAnsi="Tahoma" w:cs="Tahoma"/>
          <w:sz w:val="18"/>
          <w:lang w:val="pt-BR"/>
        </w:rPr>
        <w:t>Visual Studio Professional com MSDN Embedded</w:t>
      </w: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Visual Studio Test Professional com MSDN</w:t>
      </w: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Visual Studio Professional com MSDN Professional</w:t>
      </w:r>
    </w:p>
    <w:p w:rsidR="00DC2291" w:rsidRPr="00E47ECF" w:rsidRDefault="00DC2291" w:rsidP="00D16EA8">
      <w:pPr>
        <w:pStyle w:val="FootnoteBulletLevel2"/>
        <w:numPr>
          <w:ilvl w:val="0"/>
          <w:numId w:val="4"/>
        </w:numPr>
        <w:spacing w:before="0" w:after="60"/>
        <w:ind w:left="1440"/>
        <w:rPr>
          <w:lang w:val="pt-BR"/>
        </w:rPr>
      </w:pPr>
      <w:r w:rsidRPr="00E47ECF">
        <w:rPr>
          <w:rFonts w:ascii="Tahoma" w:hAnsi="Tahoma" w:cs="Tahoma"/>
          <w:sz w:val="18"/>
          <w:lang w:val="pt-BR"/>
        </w:rPr>
        <w:t>Visual Studio Professional com MSDN Premium</w:t>
      </w: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Visual Studio Team System Team Suite com MSDN Premium</w:t>
      </w: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Visual Studio Team System Test Edition com MSDN Premium</w:t>
      </w: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Visual Studio Team System Development Edition com MSDN Premium</w:t>
      </w: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 xml:space="preserve">Visual Studio Team System Architecture Edition com MSDN Premium </w:t>
      </w: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Visual Studio Team System Database Edition com MSDN Premium</w:t>
      </w:r>
    </w:p>
    <w:p w:rsidR="00DC2291" w:rsidRPr="00416070" w:rsidRDefault="00DC2291" w:rsidP="00D16EA8">
      <w:pPr>
        <w:pStyle w:val="FootnoteBulletLevel2"/>
        <w:numPr>
          <w:ilvl w:val="0"/>
          <w:numId w:val="4"/>
        </w:numPr>
        <w:spacing w:before="0" w:after="60"/>
        <w:ind w:left="1440"/>
      </w:pPr>
      <w:r w:rsidRPr="00416070">
        <w:rPr>
          <w:rFonts w:ascii="Tahoma" w:hAnsi="Tahoma" w:cs="Tahoma"/>
          <w:sz w:val="18"/>
        </w:rPr>
        <w:t>MSDN Operating Systems</w:t>
      </w:r>
    </w:p>
    <w:p w:rsidR="00DC2291" w:rsidRPr="00E47ECF" w:rsidRDefault="00DC2291" w:rsidP="00D16EA8">
      <w:pPr>
        <w:pStyle w:val="FootnoteBulletLevel2"/>
        <w:numPr>
          <w:ilvl w:val="0"/>
          <w:numId w:val="4"/>
        </w:numPr>
        <w:spacing w:before="0" w:after="60"/>
        <w:ind w:left="1440"/>
        <w:rPr>
          <w:lang w:val="pt-BR"/>
        </w:rPr>
      </w:pPr>
      <w:r w:rsidRPr="00E47ECF">
        <w:rPr>
          <w:rFonts w:ascii="Tahoma" w:hAnsi="Tahoma" w:cs="Tahoma"/>
          <w:sz w:val="18"/>
          <w:lang w:val="pt-BR"/>
        </w:rPr>
        <w:t>Clientes com uma assinatura de varejo ativa para qualquer um dos softwares acima</w:t>
      </w:r>
    </w:p>
    <w:p w:rsidR="00FE2B0B" w:rsidRPr="00E47ECF" w:rsidRDefault="00FE2B0B" w:rsidP="00864B8A">
      <w:pPr>
        <w:spacing w:after="60"/>
        <w:ind w:left="720"/>
        <w:rPr>
          <w:rFonts w:cs="Tahoma"/>
          <w:b/>
          <w:szCs w:val="20"/>
          <w:lang w:val="pt-BR"/>
        </w:rPr>
      </w:pPr>
    </w:p>
    <w:p w:rsidR="00D16EA8" w:rsidRPr="00E47ECF" w:rsidRDefault="00F51051" w:rsidP="00864B8A">
      <w:pPr>
        <w:spacing w:after="60"/>
        <w:ind w:left="720"/>
        <w:rPr>
          <w:lang w:val="pt-BR"/>
        </w:rPr>
      </w:pPr>
      <w:r w:rsidRPr="00E47ECF">
        <w:rPr>
          <w:rFonts w:cs="Tahoma"/>
          <w:b/>
          <w:szCs w:val="20"/>
          <w:lang w:val="pt-BR"/>
        </w:rPr>
        <w:lastRenderedPageBreak/>
        <w:t>Serviços de Assinatura</w:t>
      </w:r>
    </w:p>
    <w:p w:rsidR="00B26237" w:rsidRPr="00E47ECF" w:rsidRDefault="002333B5" w:rsidP="00D16EA8">
      <w:pPr>
        <w:pStyle w:val="FootnoteBulletLevel2"/>
        <w:tabs>
          <w:tab w:val="clear" w:pos="1260"/>
        </w:tabs>
        <w:spacing w:before="0"/>
        <w:ind w:left="720" w:firstLine="0"/>
        <w:rPr>
          <w:lang w:val="pt-BR"/>
        </w:rPr>
      </w:pPr>
      <w:r w:rsidRPr="00E47ECF">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D16EA8" w:rsidRPr="00E47ECF" w:rsidRDefault="00D16EA8" w:rsidP="00D16EA8">
      <w:pPr>
        <w:pStyle w:val="FootnoteBulletLevel2"/>
        <w:tabs>
          <w:tab w:val="clear" w:pos="1260"/>
        </w:tabs>
        <w:spacing w:before="0"/>
        <w:ind w:left="0" w:firstLine="0"/>
        <w:rPr>
          <w:rFonts w:ascii="Tahoma" w:hAnsi="Tahoma" w:cs="Tahoma"/>
          <w:sz w:val="18"/>
          <w:szCs w:val="18"/>
          <w:lang w:val="pt-BR"/>
        </w:rPr>
      </w:pPr>
    </w:p>
    <w:p w:rsidR="00D16EA8" w:rsidRPr="00E47ECF" w:rsidRDefault="00D16EA8" w:rsidP="00D16EA8">
      <w:pPr>
        <w:pStyle w:val="FootnoteBulletLevel2"/>
        <w:tabs>
          <w:tab w:val="clear" w:pos="1260"/>
        </w:tabs>
        <w:spacing w:before="0"/>
        <w:ind w:left="0" w:firstLine="0"/>
        <w:rPr>
          <w:rFonts w:ascii="Tahoma" w:hAnsi="Tahoma" w:cs="Tahoma"/>
          <w:sz w:val="18"/>
          <w:szCs w:val="18"/>
          <w:lang w:val="pt-BR"/>
        </w:rPr>
      </w:pPr>
    </w:p>
    <w:p w:rsidR="00B26237" w:rsidRPr="00416070" w:rsidRDefault="00B54C21" w:rsidP="00B26237">
      <w:pPr>
        <w:pStyle w:val="Heading2"/>
        <w:ind w:left="0"/>
      </w:pPr>
      <w:bookmarkStart w:id="1018" w:name="_6_Office_365"/>
      <w:bookmarkStart w:id="1019" w:name="_45_Office_365"/>
      <w:bookmarkStart w:id="1020" w:name="_Toc336338262"/>
      <w:bookmarkStart w:id="1021" w:name="_Toc352234328"/>
      <w:bookmarkEnd w:id="1018"/>
      <w:bookmarkEnd w:id="1019"/>
      <w:r w:rsidRPr="00416070">
        <w:rPr>
          <w:rFonts w:ascii="Tahoma" w:hAnsi="Tahoma" w:cs="Tahoma"/>
          <w:caps/>
          <w:color w:val="F66400"/>
          <w:sz w:val="22"/>
          <w:szCs w:val="20"/>
          <w:vertAlign w:val="superscript"/>
        </w:rPr>
        <w:t>4</w:t>
      </w:r>
      <w:r w:rsidRPr="00416070">
        <w:rPr>
          <w:color w:val="F66400"/>
          <w:sz w:val="22"/>
          <w:szCs w:val="20"/>
        </w:rPr>
        <w:t xml:space="preserve"> </w:t>
      </w:r>
      <w:r w:rsidRPr="00416070">
        <w:rPr>
          <w:rFonts w:ascii="Tahoma" w:hAnsi="Tahoma" w:cs="Tahoma"/>
          <w:color w:val="FF6600"/>
          <w:sz w:val="22"/>
          <w:szCs w:val="22"/>
        </w:rPr>
        <w:t>Office 365 Education A2-A4 (SL de Usuário)</w:t>
      </w:r>
      <w:bookmarkEnd w:id="1020"/>
      <w:bookmarkEnd w:id="1021"/>
    </w:p>
    <w:p w:rsidR="00B26237" w:rsidRPr="00E47ECF" w:rsidRDefault="00B26237" w:rsidP="00AE5A9F">
      <w:pPr>
        <w:rPr>
          <w:lang w:val="pt-BR"/>
        </w:rPr>
      </w:pPr>
    </w:p>
    <w:p w:rsidR="00B26237" w:rsidRPr="00E47ECF" w:rsidRDefault="00B26237" w:rsidP="00B26237">
      <w:pPr>
        <w:ind w:left="720"/>
        <w:rPr>
          <w:lang w:val="pt-BR"/>
        </w:rPr>
      </w:pPr>
      <w:r w:rsidRPr="00E47ECF">
        <w:rPr>
          <w:rFonts w:eastAsia="Calibri" w:cs="Tahoma"/>
          <w:color w:val="000000"/>
          <w:szCs w:val="18"/>
          <w:lang w:val="pt-BR"/>
        </w:rPr>
        <w:t>O Office 365 Education A2-A4 são compostos por versões acadêmicas específicas dos mesmos serviços online que abrangem o Office 365 Enterprise E2-E4.</w:t>
      </w:r>
      <w:r w:rsidR="00FB5496" w:rsidRPr="00E47ECF">
        <w:rPr>
          <w:rFonts w:eastAsia="Calibri" w:cs="Tahoma"/>
          <w:color w:val="000000"/>
          <w:szCs w:val="18"/>
          <w:lang w:val="pt-BR"/>
        </w:rPr>
        <w:t xml:space="preserve"> </w:t>
      </w:r>
      <w:r w:rsidRPr="00E47ECF">
        <w:rPr>
          <w:rFonts w:eastAsia="Calibri" w:cs="Tahoma"/>
          <w:color w:val="000000"/>
          <w:szCs w:val="18"/>
          <w:lang w:val="pt-BR"/>
        </w:rPr>
        <w:t>Os direitos de uso para Education A2-A4 e seus componentes são equivalentes às suas contrapartidas comerciais.</w:t>
      </w:r>
      <w:r w:rsidR="00FB5496" w:rsidRPr="00E47ECF">
        <w:rPr>
          <w:rFonts w:eastAsia="Calibri" w:cs="Tahoma"/>
          <w:color w:val="000000"/>
          <w:szCs w:val="18"/>
          <w:lang w:val="pt-BR"/>
        </w:rPr>
        <w:t xml:space="preserve"> </w:t>
      </w:r>
      <w:r w:rsidRPr="00E47ECF">
        <w:rPr>
          <w:rFonts w:eastAsia="Calibri" w:cs="Tahoma"/>
          <w:color w:val="000000"/>
          <w:szCs w:val="18"/>
          <w:lang w:val="pt-BR"/>
        </w:rPr>
        <w:t>No entanto, os usuários com USLs do</w:t>
      </w:r>
      <w:r w:rsidR="008F08D5" w:rsidRPr="00E47ECF">
        <w:rPr>
          <w:rFonts w:eastAsia="Calibri" w:cs="Tahoma"/>
          <w:color w:val="000000"/>
          <w:szCs w:val="18"/>
          <w:lang w:val="pt-BR"/>
        </w:rPr>
        <w:t> </w:t>
      </w:r>
      <w:r w:rsidRPr="00E47ECF">
        <w:rPr>
          <w:rFonts w:eastAsia="Calibri" w:cs="Tahoma"/>
          <w:color w:val="000000"/>
          <w:szCs w:val="18"/>
          <w:lang w:val="pt-BR"/>
        </w:rPr>
        <w:t>Office 365 Education A2 não podem acessar serviços nas instalações.</w:t>
      </w:r>
    </w:p>
    <w:p w:rsidR="00B26237" w:rsidRPr="00E47ECF" w:rsidRDefault="00B26237" w:rsidP="00B26237">
      <w:pPr>
        <w:ind w:left="720"/>
        <w:rPr>
          <w:lang w:val="pt-BR"/>
        </w:rPr>
      </w:pPr>
    </w:p>
    <w:p w:rsidR="00B26237" w:rsidRPr="00E47ECF" w:rsidRDefault="00B26237" w:rsidP="00B26237">
      <w:pPr>
        <w:ind w:left="720"/>
        <w:rPr>
          <w:lang w:val="pt-BR"/>
        </w:rPr>
      </w:pPr>
      <w:r w:rsidRPr="00E47ECF">
        <w:rPr>
          <w:rFonts w:eastAsia="Calibri" w:cs="Tahoma"/>
          <w:color w:val="000000"/>
          <w:szCs w:val="18"/>
          <w:lang w:val="pt-BR"/>
        </w:rPr>
        <w:t>No Contrato School, as licenças de assinatura do Office 365 Plans devem ser adquiridas por usuário para toda a instituição ou não extensivas a toda a Instituição. Se as Licenças de Assinatura de Usuário adicionais forem exigidas para acessar o O365 Plan a médio prazo, a Instituição deverá enviar um pedido para tais Licenças.</w:t>
      </w:r>
      <w:r w:rsidR="00FB5496" w:rsidRPr="00E47ECF">
        <w:rPr>
          <w:rFonts w:eastAsia="Calibri" w:cs="Tahoma"/>
          <w:color w:val="000000"/>
          <w:szCs w:val="18"/>
          <w:lang w:val="pt-BR"/>
        </w:rPr>
        <w:t xml:space="preserve"> </w:t>
      </w:r>
      <w:r w:rsidRPr="00E47ECF">
        <w:rPr>
          <w:rFonts w:eastAsia="Calibri" w:cs="Tahoma"/>
          <w:color w:val="000000"/>
          <w:szCs w:val="18"/>
          <w:lang w:val="pt-BR"/>
        </w:rPr>
        <w:t>A Instituição pode usar qualquer O365 Plan para atender aos requisitos mínimos do programa. Ao</w:t>
      </w:r>
      <w:r w:rsidR="008F08D5" w:rsidRPr="00E47ECF">
        <w:rPr>
          <w:rFonts w:eastAsia="Calibri" w:cs="Tahoma"/>
          <w:color w:val="000000"/>
          <w:szCs w:val="18"/>
          <w:lang w:val="pt-BR"/>
        </w:rPr>
        <w:t> </w:t>
      </w:r>
      <w:r w:rsidRPr="00E47ECF">
        <w:rPr>
          <w:rFonts w:eastAsia="Calibri" w:cs="Tahoma"/>
          <w:color w:val="000000"/>
          <w:szCs w:val="18"/>
          <w:lang w:val="pt-BR"/>
        </w:rPr>
        <w:t>licenciar o Complemento O365, o produto de qualificação correspondente deverá ser licenciado sob o</w:t>
      </w:r>
      <w:r w:rsidR="008F08D5" w:rsidRPr="00E47ECF">
        <w:rPr>
          <w:rFonts w:eastAsia="Calibri" w:cs="Tahoma"/>
          <w:color w:val="000000"/>
          <w:szCs w:val="18"/>
          <w:lang w:val="pt-BR"/>
        </w:rPr>
        <w:t> </w:t>
      </w:r>
      <w:r w:rsidRPr="00E47ECF">
        <w:rPr>
          <w:rFonts w:eastAsia="Calibri" w:cs="Tahoma"/>
          <w:color w:val="000000"/>
          <w:szCs w:val="18"/>
          <w:lang w:val="pt-BR"/>
        </w:rPr>
        <w:t>mesmo registro.</w:t>
      </w:r>
      <w:r w:rsidR="00FB5496" w:rsidRPr="00E47ECF">
        <w:rPr>
          <w:rFonts w:eastAsia="Calibri" w:cs="Tahoma"/>
          <w:color w:val="000000"/>
          <w:szCs w:val="18"/>
          <w:lang w:val="pt-BR"/>
        </w:rPr>
        <w:t xml:space="preserve"> </w:t>
      </w:r>
      <w:r w:rsidRPr="00E47ECF">
        <w:rPr>
          <w:color w:val="000000"/>
          <w:lang w:val="pt-BR"/>
        </w:rPr>
        <w:t>Ao fazer pedidos anuais, a Instituição poderá pedir menos licenças para Serviços Online do que a quantidade de pedido inicial desde que o pedido anual atenda aos requisitos mínimos para Serviços Online da Plataforma</w:t>
      </w:r>
    </w:p>
    <w:p w:rsidR="00B26237" w:rsidRPr="00E47ECF" w:rsidRDefault="00B26237" w:rsidP="00B26237">
      <w:pPr>
        <w:ind w:left="720"/>
        <w:rPr>
          <w:lang w:val="pt-BR"/>
        </w:rPr>
      </w:pPr>
    </w:p>
    <w:p w:rsidR="00B26237" w:rsidRPr="00E47ECF" w:rsidRDefault="0035314F" w:rsidP="00864B8A">
      <w:pPr>
        <w:spacing w:after="60"/>
        <w:ind w:left="720"/>
        <w:rPr>
          <w:lang w:val="pt-BR"/>
        </w:rPr>
      </w:pPr>
      <w:r w:rsidRPr="00E47ECF">
        <w:rPr>
          <w:rFonts w:cs="Tahoma"/>
          <w:b/>
          <w:szCs w:val="20"/>
          <w:lang w:val="pt-BR"/>
        </w:rPr>
        <w:t>USL Complementar</w:t>
      </w:r>
    </w:p>
    <w:p w:rsidR="00B26237" w:rsidRPr="00E47ECF" w:rsidRDefault="00B26237" w:rsidP="00B26237">
      <w:pPr>
        <w:ind w:left="720"/>
        <w:rPr>
          <w:lang w:val="pt-BR"/>
        </w:rPr>
      </w:pPr>
      <w:r w:rsidRPr="00E47ECF">
        <w:rPr>
          <w:rFonts w:eastAsia="Calibri" w:cs="Tahoma"/>
          <w:color w:val="000000"/>
          <w:szCs w:val="18"/>
          <w:lang w:val="pt-BR"/>
        </w:rPr>
        <w:t>As Instituições que possuem cobertura de produtos de qualificação poderão comprar a Licença de Assinatura de Usuário correspondente para o O365 Plan Complementar, conforme detalhado na tabela a</w:t>
      </w:r>
      <w:r w:rsidR="008F08D5" w:rsidRPr="00E47ECF">
        <w:rPr>
          <w:rFonts w:eastAsia="Calibri" w:cs="Tahoma"/>
          <w:color w:val="000000"/>
          <w:szCs w:val="18"/>
          <w:lang w:val="pt-BR"/>
        </w:rPr>
        <w:t> </w:t>
      </w:r>
      <w:r w:rsidRPr="00E47ECF">
        <w:rPr>
          <w:rFonts w:eastAsia="Calibri" w:cs="Tahoma"/>
          <w:color w:val="000000"/>
          <w:szCs w:val="18"/>
          <w:lang w:val="pt-BR"/>
        </w:rPr>
        <w:t>seguir.</w:t>
      </w:r>
      <w:r w:rsidR="00FB5496" w:rsidRPr="00E47ECF">
        <w:rPr>
          <w:rFonts w:eastAsia="Calibri" w:cs="Tahoma"/>
          <w:color w:val="000000"/>
          <w:szCs w:val="18"/>
          <w:lang w:val="pt-BR"/>
        </w:rPr>
        <w:t xml:space="preserve"> </w:t>
      </w:r>
      <w:r w:rsidRPr="00E47ECF">
        <w:rPr>
          <w:rFonts w:eastAsia="Calibri" w:cs="Tahoma"/>
          <w:color w:val="000000"/>
          <w:szCs w:val="18"/>
          <w:lang w:val="pt-BR"/>
        </w:rPr>
        <w:t>Instituições com um Contrato School: As Instituições poderão comprar a Licença de Assinatura de</w:t>
      </w:r>
      <w:r w:rsidR="008F08D5" w:rsidRPr="00E47ECF">
        <w:rPr>
          <w:rFonts w:eastAsia="Calibri" w:cs="Tahoma"/>
          <w:color w:val="000000"/>
          <w:szCs w:val="18"/>
          <w:lang w:val="pt-BR"/>
        </w:rPr>
        <w:t> </w:t>
      </w:r>
      <w:r w:rsidRPr="00E47ECF">
        <w:rPr>
          <w:rFonts w:eastAsia="Calibri" w:cs="Tahoma"/>
          <w:color w:val="000000"/>
          <w:szCs w:val="18"/>
          <w:lang w:val="pt-BR"/>
        </w:rPr>
        <w:t>Usuário correspondente para o O365 Plan Completar para seus Usuários até uma quantidade igual à da sua contagem de PCs Qualificados, contanto que eles tenham cobertura para os produtos de qualificação.</w:t>
      </w:r>
      <w:r w:rsidR="00FB5496" w:rsidRPr="00E47ECF">
        <w:rPr>
          <w:rFonts w:eastAsia="Calibri" w:cs="Tahoma"/>
          <w:color w:val="000000"/>
          <w:szCs w:val="18"/>
          <w:lang w:val="pt-BR"/>
        </w:rPr>
        <w:t xml:space="preserve"> </w:t>
      </w:r>
    </w:p>
    <w:p w:rsidR="00B26237" w:rsidRPr="00E47ECF" w:rsidRDefault="00B26237" w:rsidP="00B26237">
      <w:pPr>
        <w:rPr>
          <w:lang w:val="pt-B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416070" w:rsidTr="00B42A20">
        <w:tc>
          <w:tcPr>
            <w:tcW w:w="4320" w:type="dxa"/>
            <w:shd w:val="clear" w:color="auto" w:fill="FABF8F"/>
          </w:tcPr>
          <w:p w:rsidR="00B26237" w:rsidRPr="00416070" w:rsidRDefault="00B26237" w:rsidP="00B42A20">
            <w:pPr>
              <w:rPr>
                <w:rFonts w:eastAsia="Calibri" w:cs="Tahoma"/>
                <w:b/>
                <w:color w:val="000000"/>
                <w:szCs w:val="18"/>
              </w:rPr>
            </w:pPr>
            <w:r w:rsidRPr="00416070">
              <w:rPr>
                <w:rFonts w:eastAsia="Calibri" w:cs="Tahoma"/>
                <w:b/>
                <w:color w:val="000000"/>
                <w:szCs w:val="18"/>
              </w:rPr>
              <w:t>Licença Qualificada</w:t>
            </w:r>
          </w:p>
        </w:tc>
        <w:tc>
          <w:tcPr>
            <w:tcW w:w="4320" w:type="dxa"/>
            <w:shd w:val="clear" w:color="auto" w:fill="FABF8F"/>
          </w:tcPr>
          <w:p w:rsidR="00B26237" w:rsidRPr="00416070" w:rsidRDefault="00B26237" w:rsidP="00B42A20">
            <w:pPr>
              <w:rPr>
                <w:rFonts w:eastAsia="Calibri" w:cs="Tahoma"/>
                <w:b/>
                <w:color w:val="000000"/>
                <w:szCs w:val="18"/>
              </w:rPr>
            </w:pPr>
            <w:r w:rsidRPr="00416070">
              <w:rPr>
                <w:rFonts w:eastAsia="Calibri" w:cs="Tahoma"/>
                <w:b/>
                <w:color w:val="000000"/>
                <w:szCs w:val="18"/>
              </w:rPr>
              <w:t>USL Complementar</w:t>
            </w:r>
          </w:p>
        </w:tc>
      </w:tr>
      <w:tr w:rsidR="00B26237" w:rsidRPr="002B5F9E" w:rsidTr="00B42A20">
        <w:tc>
          <w:tcPr>
            <w:tcW w:w="4320" w:type="dxa"/>
            <w:shd w:val="clear" w:color="auto" w:fill="auto"/>
          </w:tcPr>
          <w:p w:rsidR="00B26237" w:rsidRPr="00E47ECF" w:rsidRDefault="00B26237" w:rsidP="00B42A20">
            <w:pPr>
              <w:rPr>
                <w:rFonts w:eastAsia="Calibri" w:cs="Tahoma"/>
                <w:color w:val="000000"/>
                <w:szCs w:val="18"/>
                <w:lang w:val="pt-BR"/>
              </w:rPr>
            </w:pPr>
            <w:r w:rsidRPr="00E47ECF">
              <w:rPr>
                <w:rFonts w:eastAsia="Calibri" w:cs="Tahoma"/>
                <w:color w:val="000000"/>
                <w:szCs w:val="18"/>
                <w:lang w:val="pt-BR"/>
              </w:rPr>
              <w:t>Pacote de CALs Principais</w:t>
            </w:r>
            <w:r w:rsidRPr="00E47ECF">
              <w:rPr>
                <w:rFonts w:eastAsia="Calibri" w:cs="Tahoma"/>
                <w:color w:val="000000"/>
                <w:szCs w:val="18"/>
                <w:vertAlign w:val="superscript"/>
                <w:lang w:val="pt-BR"/>
              </w:rPr>
              <w:t>1</w:t>
            </w:r>
            <w:r w:rsidRPr="00E47ECF">
              <w:rPr>
                <w:rFonts w:eastAsia="Calibri" w:cs="Tahoma"/>
                <w:color w:val="000000"/>
                <w:szCs w:val="18"/>
                <w:lang w:val="pt-BR"/>
              </w:rPr>
              <w:t xml:space="preserve"> ou Pacote de ECAL</w:t>
            </w:r>
            <w:r w:rsidRPr="00E47ECF">
              <w:rPr>
                <w:rFonts w:eastAsia="Calibri" w:cs="Tahoma"/>
                <w:color w:val="000000"/>
                <w:szCs w:val="18"/>
                <w:vertAlign w:val="superscript"/>
                <w:lang w:val="pt-BR"/>
              </w:rPr>
              <w:t>1</w:t>
            </w:r>
          </w:p>
        </w:tc>
        <w:tc>
          <w:tcPr>
            <w:tcW w:w="4320" w:type="dxa"/>
            <w:shd w:val="clear" w:color="auto" w:fill="auto"/>
          </w:tcPr>
          <w:p w:rsidR="00B26237" w:rsidRPr="00E47ECF" w:rsidRDefault="00B26237" w:rsidP="009B3FA2">
            <w:pPr>
              <w:rPr>
                <w:rFonts w:eastAsia="Calibri" w:cs="Tahoma"/>
                <w:color w:val="000000"/>
                <w:szCs w:val="18"/>
                <w:lang w:val="pt-BR"/>
              </w:rPr>
            </w:pPr>
            <w:r w:rsidRPr="00E47ECF">
              <w:rPr>
                <w:rFonts w:eastAsia="Calibri" w:cs="Tahoma"/>
                <w:color w:val="000000"/>
                <w:szCs w:val="18"/>
                <w:lang w:val="pt-BR"/>
              </w:rPr>
              <w:t>USL Complementar do Office 365 Education A3 para CAL Principal ou ECAL</w:t>
            </w:r>
          </w:p>
        </w:tc>
      </w:tr>
      <w:tr w:rsidR="00B26237" w:rsidRPr="00416070" w:rsidTr="00B42A20">
        <w:tc>
          <w:tcPr>
            <w:tcW w:w="4320" w:type="dxa"/>
            <w:shd w:val="clear" w:color="auto" w:fill="auto"/>
          </w:tcPr>
          <w:p w:rsidR="00B26237" w:rsidRPr="00416070" w:rsidRDefault="00B26237" w:rsidP="00B42A20">
            <w:pPr>
              <w:rPr>
                <w:rFonts w:eastAsia="Calibri" w:cs="Tahoma"/>
                <w:color w:val="000000"/>
                <w:szCs w:val="18"/>
              </w:rPr>
            </w:pPr>
            <w:r w:rsidRPr="00416070">
              <w:rPr>
                <w:rFonts w:eastAsia="Calibri" w:cs="Tahoma"/>
                <w:color w:val="000000"/>
                <w:szCs w:val="18"/>
              </w:rPr>
              <w:t>Office Pro Plus</w:t>
            </w:r>
            <w:r w:rsidRPr="00416070">
              <w:rPr>
                <w:rFonts w:eastAsia="Calibri" w:cs="Tahoma"/>
                <w:color w:val="000000"/>
                <w:szCs w:val="18"/>
                <w:vertAlign w:val="superscript"/>
              </w:rPr>
              <w:t>1</w:t>
            </w:r>
          </w:p>
        </w:tc>
        <w:tc>
          <w:tcPr>
            <w:tcW w:w="4320" w:type="dxa"/>
            <w:shd w:val="clear" w:color="auto" w:fill="auto"/>
          </w:tcPr>
          <w:p w:rsidR="00B26237" w:rsidRPr="00416070" w:rsidRDefault="00B26237" w:rsidP="009B3FA2">
            <w:pPr>
              <w:rPr>
                <w:rFonts w:eastAsia="Calibri" w:cs="Tahoma"/>
                <w:color w:val="000000"/>
                <w:szCs w:val="18"/>
              </w:rPr>
            </w:pPr>
            <w:r w:rsidRPr="00416070">
              <w:rPr>
                <w:rFonts w:eastAsia="Calibri" w:cs="Tahoma"/>
                <w:color w:val="000000"/>
                <w:szCs w:val="18"/>
              </w:rPr>
              <w:t>USL Complementar do Office 365 Education A3 para Office Pro Plus</w:t>
            </w:r>
          </w:p>
        </w:tc>
      </w:tr>
      <w:tr w:rsidR="00B26237" w:rsidRPr="00416070" w:rsidTr="00B42A20">
        <w:tc>
          <w:tcPr>
            <w:tcW w:w="4320" w:type="dxa"/>
            <w:shd w:val="clear" w:color="auto" w:fill="auto"/>
          </w:tcPr>
          <w:p w:rsidR="00B26237" w:rsidRPr="00416070" w:rsidRDefault="00B26237" w:rsidP="00B42A20">
            <w:pPr>
              <w:rPr>
                <w:rFonts w:eastAsia="Calibri" w:cs="Tahoma"/>
                <w:color w:val="000000"/>
                <w:szCs w:val="18"/>
              </w:rPr>
            </w:pPr>
            <w:r w:rsidRPr="00416070">
              <w:rPr>
                <w:rFonts w:eastAsia="Calibri" w:cs="Tahoma"/>
                <w:color w:val="000000"/>
                <w:szCs w:val="18"/>
              </w:rPr>
              <w:t>Pacote de CALs Principais</w:t>
            </w:r>
            <w:r w:rsidRPr="00416070">
              <w:rPr>
                <w:rFonts w:eastAsia="Calibri" w:cs="Tahoma"/>
                <w:color w:val="000000"/>
                <w:szCs w:val="18"/>
                <w:vertAlign w:val="superscript"/>
              </w:rPr>
              <w:t>1</w:t>
            </w:r>
            <w:r w:rsidRPr="00416070">
              <w:rPr>
                <w:rFonts w:eastAsia="Calibri" w:cs="Tahoma"/>
                <w:color w:val="000000"/>
                <w:szCs w:val="18"/>
              </w:rPr>
              <w:t xml:space="preserve"> ou Pacote de ECAL</w:t>
            </w:r>
            <w:r w:rsidRPr="00416070">
              <w:rPr>
                <w:rFonts w:eastAsia="Calibri" w:cs="Tahoma"/>
                <w:color w:val="000000"/>
                <w:szCs w:val="18"/>
                <w:vertAlign w:val="superscript"/>
              </w:rPr>
              <w:t>1</w:t>
            </w:r>
            <w:r w:rsidRPr="00416070">
              <w:rPr>
                <w:rFonts w:eastAsia="Calibri" w:cs="Tahoma"/>
                <w:color w:val="000000"/>
                <w:szCs w:val="18"/>
              </w:rPr>
              <w:t xml:space="preserve"> + Office Pro Plus</w:t>
            </w:r>
            <w:r w:rsidRPr="00416070">
              <w:rPr>
                <w:rFonts w:eastAsia="Calibri" w:cs="Tahoma"/>
                <w:color w:val="000000"/>
                <w:szCs w:val="18"/>
                <w:vertAlign w:val="superscript"/>
              </w:rPr>
              <w:t>1</w:t>
            </w:r>
          </w:p>
        </w:tc>
        <w:tc>
          <w:tcPr>
            <w:tcW w:w="4320" w:type="dxa"/>
            <w:shd w:val="clear" w:color="auto" w:fill="auto"/>
          </w:tcPr>
          <w:p w:rsidR="00B26237" w:rsidRPr="00416070" w:rsidRDefault="00B26237" w:rsidP="009B3FA2">
            <w:pPr>
              <w:rPr>
                <w:rFonts w:eastAsia="Calibri" w:cs="Tahoma"/>
                <w:color w:val="000000"/>
                <w:szCs w:val="18"/>
              </w:rPr>
            </w:pPr>
            <w:r w:rsidRPr="00416070">
              <w:rPr>
                <w:rFonts w:eastAsia="Calibri" w:cs="Tahoma"/>
                <w:color w:val="000000"/>
                <w:szCs w:val="18"/>
              </w:rPr>
              <w:t>USL Complementar do Office 365 Education A3 para CAL Principal ou ECAL + Office Pro Plus</w:t>
            </w:r>
          </w:p>
        </w:tc>
      </w:tr>
      <w:tr w:rsidR="00B26237" w:rsidRPr="002B5F9E" w:rsidTr="00B42A20">
        <w:tc>
          <w:tcPr>
            <w:tcW w:w="4320" w:type="dxa"/>
            <w:shd w:val="clear" w:color="auto" w:fill="auto"/>
          </w:tcPr>
          <w:p w:rsidR="00B26237" w:rsidRPr="00E47ECF" w:rsidRDefault="00B26237" w:rsidP="00B42A20">
            <w:pPr>
              <w:rPr>
                <w:rFonts w:eastAsia="Calibri" w:cs="Tahoma"/>
                <w:color w:val="000000"/>
                <w:szCs w:val="18"/>
                <w:lang w:val="pt-BR"/>
              </w:rPr>
            </w:pPr>
            <w:r w:rsidRPr="00E47ECF">
              <w:rPr>
                <w:rFonts w:eastAsia="Calibri" w:cs="Tahoma"/>
                <w:color w:val="000000"/>
                <w:szCs w:val="18"/>
                <w:lang w:val="pt-BR"/>
              </w:rPr>
              <w:t>Pacote de CALs Principais</w:t>
            </w:r>
            <w:r w:rsidRPr="00E47ECF">
              <w:rPr>
                <w:rFonts w:eastAsia="Calibri" w:cs="Tahoma"/>
                <w:color w:val="000000"/>
                <w:szCs w:val="18"/>
                <w:vertAlign w:val="superscript"/>
                <w:lang w:val="pt-BR"/>
              </w:rPr>
              <w:t>1</w:t>
            </w:r>
            <w:r w:rsidRPr="00E47ECF">
              <w:rPr>
                <w:rFonts w:eastAsia="Calibri" w:cs="Tahoma"/>
                <w:color w:val="000000"/>
                <w:szCs w:val="18"/>
                <w:lang w:val="pt-BR"/>
              </w:rPr>
              <w:t xml:space="preserve"> ou Pacote de ECAL</w:t>
            </w:r>
            <w:r w:rsidRPr="00E47ECF">
              <w:rPr>
                <w:rFonts w:eastAsia="Calibri" w:cs="Tahoma"/>
                <w:color w:val="000000"/>
                <w:szCs w:val="18"/>
                <w:vertAlign w:val="superscript"/>
                <w:lang w:val="pt-BR"/>
              </w:rPr>
              <w:t>1</w:t>
            </w:r>
          </w:p>
        </w:tc>
        <w:tc>
          <w:tcPr>
            <w:tcW w:w="4320" w:type="dxa"/>
            <w:shd w:val="clear" w:color="auto" w:fill="auto"/>
          </w:tcPr>
          <w:p w:rsidR="00B26237" w:rsidRPr="00E47ECF" w:rsidRDefault="00B26237" w:rsidP="009B3FA2">
            <w:pPr>
              <w:rPr>
                <w:rFonts w:eastAsia="Calibri" w:cs="Tahoma"/>
                <w:color w:val="000000"/>
                <w:szCs w:val="18"/>
                <w:lang w:val="pt-BR"/>
              </w:rPr>
            </w:pPr>
            <w:r w:rsidRPr="00E47ECF">
              <w:rPr>
                <w:rFonts w:eastAsia="Calibri" w:cs="Tahoma"/>
                <w:color w:val="000000"/>
                <w:szCs w:val="18"/>
                <w:lang w:val="pt-BR"/>
              </w:rPr>
              <w:t>USL Complementar do Office 365 Education A4 para CAL Principal ou ECAL</w:t>
            </w:r>
          </w:p>
        </w:tc>
      </w:tr>
      <w:tr w:rsidR="00B26237" w:rsidRPr="00416070" w:rsidTr="00B42A20">
        <w:tc>
          <w:tcPr>
            <w:tcW w:w="4320" w:type="dxa"/>
            <w:shd w:val="clear" w:color="auto" w:fill="auto"/>
          </w:tcPr>
          <w:p w:rsidR="00B26237" w:rsidRPr="00416070" w:rsidRDefault="00B26237" w:rsidP="00B42A20">
            <w:pPr>
              <w:rPr>
                <w:rFonts w:eastAsia="Calibri" w:cs="Tahoma"/>
                <w:color w:val="000000"/>
                <w:szCs w:val="18"/>
              </w:rPr>
            </w:pPr>
            <w:r w:rsidRPr="00416070">
              <w:rPr>
                <w:rFonts w:eastAsia="Calibri" w:cs="Tahoma"/>
                <w:color w:val="000000"/>
                <w:szCs w:val="18"/>
              </w:rPr>
              <w:t>Office Pro Plus</w:t>
            </w:r>
            <w:r w:rsidRPr="00416070">
              <w:rPr>
                <w:rFonts w:eastAsia="Calibri" w:cs="Tahoma"/>
                <w:color w:val="000000"/>
                <w:szCs w:val="18"/>
                <w:vertAlign w:val="superscript"/>
              </w:rPr>
              <w:t>1</w:t>
            </w:r>
          </w:p>
        </w:tc>
        <w:tc>
          <w:tcPr>
            <w:tcW w:w="4320" w:type="dxa"/>
            <w:shd w:val="clear" w:color="auto" w:fill="auto"/>
          </w:tcPr>
          <w:p w:rsidR="00B26237" w:rsidRPr="00416070" w:rsidRDefault="00B26237" w:rsidP="009B3FA2">
            <w:pPr>
              <w:rPr>
                <w:rFonts w:eastAsia="Calibri" w:cs="Tahoma"/>
                <w:color w:val="000000"/>
                <w:szCs w:val="18"/>
              </w:rPr>
            </w:pPr>
            <w:r w:rsidRPr="00416070">
              <w:rPr>
                <w:rFonts w:eastAsia="Calibri" w:cs="Tahoma"/>
                <w:color w:val="000000"/>
                <w:szCs w:val="18"/>
              </w:rPr>
              <w:t>USL Complementar do Office 365 Education A4 para Office Pro Plus</w:t>
            </w:r>
          </w:p>
        </w:tc>
      </w:tr>
      <w:tr w:rsidR="00B26237" w:rsidRPr="00416070" w:rsidTr="00B42A20">
        <w:tc>
          <w:tcPr>
            <w:tcW w:w="4320" w:type="dxa"/>
            <w:shd w:val="clear" w:color="auto" w:fill="auto"/>
          </w:tcPr>
          <w:p w:rsidR="00B26237" w:rsidRPr="00416070" w:rsidRDefault="00B26237" w:rsidP="00B42A20">
            <w:pPr>
              <w:rPr>
                <w:rFonts w:eastAsia="Calibri" w:cs="Tahoma"/>
                <w:color w:val="000000"/>
                <w:szCs w:val="18"/>
              </w:rPr>
            </w:pPr>
            <w:r w:rsidRPr="00416070">
              <w:rPr>
                <w:rFonts w:eastAsia="Calibri" w:cs="Tahoma"/>
                <w:color w:val="000000"/>
                <w:szCs w:val="18"/>
              </w:rPr>
              <w:t>Pacote de CALs Principais ou Pacote de ECAL</w:t>
            </w:r>
            <w:r w:rsidRPr="00416070">
              <w:rPr>
                <w:rFonts w:eastAsia="Calibri" w:cs="Tahoma"/>
                <w:color w:val="000000"/>
                <w:szCs w:val="18"/>
                <w:vertAlign w:val="superscript"/>
              </w:rPr>
              <w:t>1</w:t>
            </w:r>
            <w:r w:rsidRPr="00416070">
              <w:rPr>
                <w:rFonts w:eastAsia="Calibri" w:cs="Tahoma"/>
                <w:color w:val="000000"/>
                <w:szCs w:val="18"/>
              </w:rPr>
              <w:t xml:space="preserve"> + Office Pro Plus</w:t>
            </w:r>
            <w:r w:rsidRPr="00416070">
              <w:rPr>
                <w:rFonts w:eastAsia="Calibri" w:cs="Tahoma"/>
                <w:color w:val="000000"/>
                <w:szCs w:val="18"/>
                <w:vertAlign w:val="superscript"/>
              </w:rPr>
              <w:t>1</w:t>
            </w:r>
          </w:p>
        </w:tc>
        <w:tc>
          <w:tcPr>
            <w:tcW w:w="4320" w:type="dxa"/>
            <w:shd w:val="clear" w:color="auto" w:fill="auto"/>
          </w:tcPr>
          <w:p w:rsidR="00B26237" w:rsidRPr="00416070" w:rsidRDefault="00B26237" w:rsidP="009B3FA2">
            <w:pPr>
              <w:rPr>
                <w:rFonts w:eastAsia="Calibri" w:cs="Tahoma"/>
                <w:color w:val="000000"/>
                <w:szCs w:val="18"/>
              </w:rPr>
            </w:pPr>
            <w:r w:rsidRPr="00416070">
              <w:rPr>
                <w:rFonts w:eastAsia="Calibri" w:cs="Tahoma"/>
                <w:color w:val="000000"/>
                <w:szCs w:val="18"/>
              </w:rPr>
              <w:t>USL Complementar do Office 365 Education A4 para CAL Principal ou ECAL + Office Pro Plus</w:t>
            </w:r>
          </w:p>
        </w:tc>
      </w:tr>
    </w:tbl>
    <w:p w:rsidR="00B26237" w:rsidRPr="00416070" w:rsidRDefault="00B26237" w:rsidP="00B26237">
      <w:pPr>
        <w:ind w:left="900"/>
      </w:pPr>
      <w:r w:rsidRPr="00416070">
        <w:rPr>
          <w:rFonts w:eastAsia="Calibri" w:cs="Tahoma"/>
          <w:i/>
          <w:color w:val="000000"/>
          <w:sz w:val="16"/>
          <w:szCs w:val="18"/>
          <w:vertAlign w:val="superscript"/>
        </w:rPr>
        <w:t>1</w:t>
      </w:r>
      <w:r w:rsidRPr="00416070">
        <w:rPr>
          <w:rFonts w:eastAsia="Calibri" w:cs="Tahoma"/>
          <w:i/>
          <w:color w:val="000000"/>
          <w:sz w:val="16"/>
          <w:szCs w:val="18"/>
        </w:rPr>
        <w:t>Com Software Assurance Ativo</w:t>
      </w:r>
    </w:p>
    <w:p w:rsidR="00B26237" w:rsidRPr="00416070" w:rsidRDefault="00B26237" w:rsidP="00B26237">
      <w:pPr>
        <w:ind w:left="720"/>
      </w:pPr>
    </w:p>
    <w:p w:rsidR="00B26237" w:rsidRPr="00E47ECF" w:rsidRDefault="00B26237" w:rsidP="00B26237">
      <w:pPr>
        <w:ind w:left="720"/>
        <w:rPr>
          <w:lang w:val="pt-BR"/>
        </w:rPr>
      </w:pPr>
      <w:r w:rsidRPr="00E47ECF">
        <w:rPr>
          <w:rFonts w:eastAsia="Calibri" w:cs="Tahoma"/>
          <w:iCs/>
          <w:color w:val="000000"/>
          <w:szCs w:val="18"/>
          <w:lang w:val="pt-BR"/>
        </w:rPr>
        <w:t>As Instituições com USLs do Office 365 Education A3 ou Office Education A4 cedidas para todo o corpo docente e funcionários poderão instalar o software Office Professional Plus 2010 em qualquer laboratório de</w:t>
      </w:r>
      <w:r w:rsidR="008F08D5" w:rsidRPr="00E47ECF">
        <w:rPr>
          <w:rFonts w:eastAsia="Calibri" w:cs="Tahoma"/>
          <w:iCs/>
          <w:color w:val="000000"/>
          <w:szCs w:val="18"/>
          <w:lang w:val="pt-BR"/>
        </w:rPr>
        <w:t> </w:t>
      </w:r>
      <w:r w:rsidRPr="00E47ECF">
        <w:rPr>
          <w:rFonts w:eastAsia="Calibri" w:cs="Tahoma"/>
          <w:iCs/>
          <w:color w:val="000000"/>
          <w:szCs w:val="18"/>
          <w:lang w:val="pt-BR"/>
        </w:rPr>
        <w:t>acesso aberto ou biblioteca da Organização da Instituição.</w:t>
      </w:r>
      <w:r w:rsidR="00FB5496" w:rsidRPr="00E47ECF">
        <w:rPr>
          <w:rFonts w:eastAsia="Calibri" w:cs="Tahoma"/>
          <w:iCs/>
          <w:color w:val="000000"/>
          <w:szCs w:val="18"/>
          <w:lang w:val="pt-BR"/>
        </w:rPr>
        <w:t xml:space="preserve"> </w:t>
      </w:r>
      <w:r w:rsidRPr="00E47ECF">
        <w:rPr>
          <w:rFonts w:eastAsia="Calibri" w:cs="Tahoma"/>
          <w:iCs/>
          <w:color w:val="000000"/>
          <w:szCs w:val="18"/>
          <w:lang w:val="pt-BR"/>
        </w:rPr>
        <w:t>O uso do software está sujeito aos termos de</w:t>
      </w:r>
      <w:r w:rsidR="008F08D5" w:rsidRPr="00E47ECF">
        <w:rPr>
          <w:rFonts w:eastAsia="Calibri" w:cs="Tahoma"/>
          <w:iCs/>
          <w:color w:val="000000"/>
          <w:szCs w:val="18"/>
          <w:lang w:val="pt-BR"/>
        </w:rPr>
        <w:t> </w:t>
      </w:r>
      <w:r w:rsidRPr="00E47ECF">
        <w:rPr>
          <w:rFonts w:eastAsia="Calibri" w:cs="Tahoma"/>
          <w:iCs/>
          <w:color w:val="000000"/>
          <w:szCs w:val="18"/>
          <w:lang w:val="pt-BR"/>
        </w:rPr>
        <w:t>licença para o Office Pro Plus 2010.</w:t>
      </w:r>
    </w:p>
    <w:p w:rsidR="00B26237" w:rsidRPr="00E47ECF" w:rsidRDefault="00B26237" w:rsidP="00B26237">
      <w:pPr>
        <w:ind w:left="720"/>
        <w:rPr>
          <w:lang w:val="pt-BR"/>
        </w:rPr>
      </w:pPr>
    </w:p>
    <w:p w:rsidR="00B26237" w:rsidRPr="00E47ECF" w:rsidRDefault="00B26237" w:rsidP="00810479">
      <w:pPr>
        <w:pStyle w:val="FootnoteBulletLevel2"/>
        <w:tabs>
          <w:tab w:val="clear" w:pos="1260"/>
        </w:tabs>
        <w:spacing w:before="0"/>
        <w:ind w:left="720" w:firstLine="0"/>
        <w:rPr>
          <w:lang w:val="pt-BR"/>
        </w:rPr>
      </w:pPr>
      <w:r w:rsidRPr="00E47ECF">
        <w:rPr>
          <w:rFonts w:ascii="Tahoma" w:eastAsia="Calibri" w:hAnsi="Tahoma" w:cs="Tahoma"/>
          <w:color w:val="000000"/>
          <w:sz w:val="18"/>
          <w:szCs w:val="18"/>
          <w:lang w:val="pt-BR"/>
        </w:rPr>
        <w:t>O Lync Online Plan 1A e Plan 2A exigem a compra e instalação separada do Microsoft Lync 2013 (ou Lync for Mac 2011) para acessar o conjunto completo de recursos do Lync Online Plano 1A e Plano 2A. Como oferta por tempo limitado, os clientes licenciados para o Lync Online receberão uma cópia licenciada gratuita do Lync para Mac 2011) com cada licença de assinatura paga do Lync Online. O software só poderá</w:t>
      </w:r>
      <w:r w:rsidR="008F08D5" w:rsidRPr="00E47ECF">
        <w:rPr>
          <w:rFonts w:ascii="Tahoma" w:eastAsia="Calibri" w:hAnsi="Tahoma" w:cs="Tahoma"/>
          <w:color w:val="000000"/>
          <w:sz w:val="18"/>
          <w:szCs w:val="18"/>
          <w:lang w:val="pt-BR"/>
        </w:rPr>
        <w:t> </w:t>
      </w:r>
      <w:r w:rsidRPr="00E47ECF">
        <w:rPr>
          <w:rFonts w:ascii="Tahoma" w:eastAsia="Calibri" w:hAnsi="Tahoma" w:cs="Tahoma"/>
          <w:color w:val="000000"/>
          <w:sz w:val="18"/>
          <w:szCs w:val="18"/>
          <w:lang w:val="pt-BR"/>
        </w:rPr>
        <w:t>ser usado com o Lync Online, e todos os direitos de uso do software se encerrarão ao término da licença de assinatura básica ou da migração para a próxima nova versão principal do Lync Online, o que ocorrer primeiro.</w:t>
      </w:r>
      <w:r w:rsidR="00FB5496" w:rsidRPr="00E47ECF">
        <w:rPr>
          <w:rFonts w:ascii="Tahoma" w:eastAsia="Calibri" w:hAnsi="Tahoma" w:cs="Tahoma"/>
          <w:color w:val="000000"/>
          <w:sz w:val="18"/>
          <w:szCs w:val="18"/>
          <w:lang w:val="pt-BR"/>
        </w:rPr>
        <w:t xml:space="preserve"> </w:t>
      </w:r>
      <w:r w:rsidRPr="00E47ECF">
        <w:rPr>
          <w:rFonts w:ascii="Tahoma" w:eastAsia="Calibri" w:hAnsi="Tahoma" w:cs="Tahoma"/>
          <w:color w:val="000000"/>
          <w:sz w:val="18"/>
          <w:szCs w:val="18"/>
          <w:lang w:val="pt-BR"/>
        </w:rPr>
        <w:t>Os clientes podem usar o cliente gratuito Lync Basic 2013 para seus usuários finais com base em Windows.</w:t>
      </w:r>
    </w:p>
    <w:p w:rsidR="00B26237" w:rsidRPr="00E47ECF" w:rsidRDefault="00B26237" w:rsidP="00E03856">
      <w:pPr>
        <w:pStyle w:val="FootnoteBulletLevel2"/>
        <w:tabs>
          <w:tab w:val="clear" w:pos="1260"/>
        </w:tabs>
        <w:spacing w:before="0"/>
        <w:ind w:left="0" w:firstLine="0"/>
        <w:rPr>
          <w:lang w:val="pt-BR"/>
        </w:rPr>
      </w:pPr>
    </w:p>
    <w:p w:rsidR="00B26237" w:rsidRPr="00416070" w:rsidRDefault="00B54C21" w:rsidP="00B26237">
      <w:pPr>
        <w:pStyle w:val="Heading2"/>
        <w:ind w:left="0"/>
      </w:pPr>
      <w:bookmarkStart w:id="1022" w:name="_7_Office_365"/>
      <w:bookmarkStart w:id="1023" w:name="_65_Office_365"/>
      <w:bookmarkStart w:id="1024" w:name="_Toc336338263"/>
      <w:bookmarkStart w:id="1025" w:name="_Toc352234329"/>
      <w:bookmarkEnd w:id="1022"/>
      <w:bookmarkEnd w:id="1023"/>
      <w:r w:rsidRPr="00416070">
        <w:rPr>
          <w:rFonts w:ascii="Tahoma" w:hAnsi="Tahoma" w:cs="Tahoma"/>
          <w:caps/>
          <w:color w:val="FF6600"/>
          <w:sz w:val="22"/>
          <w:szCs w:val="22"/>
          <w:vertAlign w:val="superscript"/>
        </w:rPr>
        <w:lastRenderedPageBreak/>
        <w:t>5</w:t>
      </w:r>
      <w:r w:rsidRPr="00416070">
        <w:rPr>
          <w:rFonts w:ascii="Tahoma" w:hAnsi="Tahoma" w:cs="Tahoma"/>
          <w:color w:val="FF6600"/>
        </w:rPr>
        <w:t xml:space="preserve"> </w:t>
      </w:r>
      <w:r w:rsidRPr="00416070">
        <w:rPr>
          <w:rFonts w:ascii="Tahoma" w:hAnsi="Tahoma" w:cs="Tahoma"/>
          <w:color w:val="FF6600"/>
          <w:sz w:val="22"/>
          <w:szCs w:val="22"/>
        </w:rPr>
        <w:t>Office 365 Enterprise E2-E4</w:t>
      </w:r>
      <w:bookmarkEnd w:id="1024"/>
      <w:bookmarkEnd w:id="1025"/>
    </w:p>
    <w:p w:rsidR="00B26237" w:rsidRPr="00E47ECF" w:rsidRDefault="00B26237" w:rsidP="00AE5A9F">
      <w:pPr>
        <w:rPr>
          <w:lang w:val="pt-BR"/>
        </w:rPr>
      </w:pPr>
    </w:p>
    <w:p w:rsidR="00B26237" w:rsidRPr="00E47ECF" w:rsidRDefault="00B26237" w:rsidP="00B26237">
      <w:pPr>
        <w:ind w:left="720"/>
        <w:rPr>
          <w:lang w:val="pt-BR"/>
        </w:rPr>
      </w:pPr>
      <w:r w:rsidRPr="00E47ECF">
        <w:rPr>
          <w:color w:val="000000"/>
          <w:lang w:val="pt-BR"/>
        </w:rPr>
        <w:t>O Office 365 Planos E2-E4 permite acesso aos seguintes Serviços Online:</w:t>
      </w:r>
    </w:p>
    <w:p w:rsidR="00B26237" w:rsidRPr="00E47ECF" w:rsidRDefault="00B26237" w:rsidP="00B26237">
      <w:pPr>
        <w:rPr>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416070" w:rsidTr="007E466C">
        <w:tc>
          <w:tcPr>
            <w:tcW w:w="2760" w:type="dxa"/>
            <w:shd w:val="clear" w:color="auto" w:fill="FABF8F"/>
          </w:tcPr>
          <w:p w:rsidR="00B26237" w:rsidRPr="00416070" w:rsidRDefault="00B26237" w:rsidP="009B3FA2">
            <w:pPr>
              <w:jc w:val="center"/>
              <w:rPr>
                <w:rFonts w:eastAsia="Calibri"/>
                <w:b/>
                <w:color w:val="000000"/>
                <w:sz w:val="20"/>
              </w:rPr>
            </w:pPr>
            <w:r w:rsidRPr="00416070">
              <w:rPr>
                <w:rFonts w:eastAsia="Calibri"/>
                <w:b/>
                <w:color w:val="000000"/>
                <w:sz w:val="20"/>
              </w:rPr>
              <w:t>Office 365 Enterprise E2</w:t>
            </w:r>
          </w:p>
        </w:tc>
        <w:tc>
          <w:tcPr>
            <w:tcW w:w="2765" w:type="dxa"/>
            <w:shd w:val="clear" w:color="auto" w:fill="FABF8F"/>
          </w:tcPr>
          <w:p w:rsidR="00B26237" w:rsidRPr="00416070" w:rsidRDefault="00B26237" w:rsidP="009B3FA2">
            <w:pPr>
              <w:jc w:val="center"/>
              <w:rPr>
                <w:rFonts w:eastAsia="Calibri"/>
                <w:b/>
                <w:color w:val="000000"/>
                <w:sz w:val="20"/>
              </w:rPr>
            </w:pPr>
            <w:r w:rsidRPr="00416070">
              <w:rPr>
                <w:rFonts w:eastAsia="Calibri"/>
                <w:b/>
                <w:color w:val="000000"/>
                <w:sz w:val="20"/>
              </w:rPr>
              <w:t>Office 365 Enterprise E3</w:t>
            </w:r>
          </w:p>
        </w:tc>
        <w:tc>
          <w:tcPr>
            <w:tcW w:w="2765" w:type="dxa"/>
            <w:shd w:val="clear" w:color="auto" w:fill="FABF8F"/>
          </w:tcPr>
          <w:p w:rsidR="00B26237" w:rsidRPr="00416070" w:rsidRDefault="00B26237" w:rsidP="009B3FA2">
            <w:pPr>
              <w:jc w:val="center"/>
              <w:rPr>
                <w:rFonts w:eastAsia="Calibri"/>
                <w:b/>
                <w:color w:val="000000"/>
                <w:sz w:val="20"/>
              </w:rPr>
            </w:pPr>
            <w:r w:rsidRPr="00416070">
              <w:rPr>
                <w:rFonts w:eastAsia="Calibri"/>
                <w:b/>
                <w:color w:val="000000"/>
                <w:sz w:val="20"/>
              </w:rPr>
              <w:t>Office 365 Enterprise E4</w:t>
            </w:r>
          </w:p>
        </w:tc>
      </w:tr>
      <w:tr w:rsidR="00B26237" w:rsidRPr="00416070" w:rsidTr="007E466C">
        <w:tc>
          <w:tcPr>
            <w:tcW w:w="2760" w:type="dxa"/>
            <w:shd w:val="clear" w:color="auto" w:fill="auto"/>
          </w:tcPr>
          <w:p w:rsidR="00B26237" w:rsidRPr="00416070" w:rsidRDefault="00B26237" w:rsidP="00B42A20">
            <w:pPr>
              <w:ind w:left="180" w:right="186"/>
              <w:rPr>
                <w:rFonts w:eastAsia="Calibri"/>
                <w:color w:val="000000"/>
              </w:rPr>
            </w:pPr>
            <w:r w:rsidRPr="00416070">
              <w:rPr>
                <w:rFonts w:eastAsia="Calibri"/>
                <w:color w:val="000000"/>
              </w:rPr>
              <w:t>Exchange Online Plano 1</w:t>
            </w:r>
          </w:p>
        </w:tc>
        <w:tc>
          <w:tcPr>
            <w:tcW w:w="2765" w:type="dxa"/>
            <w:shd w:val="clear" w:color="auto" w:fill="auto"/>
          </w:tcPr>
          <w:p w:rsidR="00B26237" w:rsidRPr="00416070" w:rsidRDefault="00B26237" w:rsidP="00B42A20">
            <w:pPr>
              <w:ind w:left="138" w:right="138"/>
              <w:rPr>
                <w:rFonts w:eastAsia="Calibri"/>
                <w:color w:val="000000"/>
              </w:rPr>
            </w:pPr>
            <w:r w:rsidRPr="00416070">
              <w:rPr>
                <w:rFonts w:eastAsia="Calibri"/>
                <w:color w:val="000000"/>
              </w:rPr>
              <w:t>Exchange Online Plano 2</w:t>
            </w:r>
          </w:p>
        </w:tc>
        <w:tc>
          <w:tcPr>
            <w:tcW w:w="2765" w:type="dxa"/>
            <w:shd w:val="clear" w:color="auto" w:fill="auto"/>
          </w:tcPr>
          <w:p w:rsidR="00B26237" w:rsidRPr="00416070" w:rsidRDefault="00B26237" w:rsidP="00B42A20">
            <w:pPr>
              <w:ind w:left="186" w:right="180"/>
              <w:rPr>
                <w:rFonts w:eastAsia="Calibri"/>
                <w:color w:val="000000"/>
              </w:rPr>
            </w:pPr>
            <w:r w:rsidRPr="00416070">
              <w:rPr>
                <w:rFonts w:eastAsia="Calibri"/>
                <w:color w:val="000000"/>
              </w:rPr>
              <w:t>Exchange Online Plano 2</w:t>
            </w:r>
          </w:p>
        </w:tc>
      </w:tr>
      <w:tr w:rsidR="00B26237" w:rsidRPr="00416070" w:rsidTr="007E466C">
        <w:tc>
          <w:tcPr>
            <w:tcW w:w="2760" w:type="dxa"/>
            <w:shd w:val="clear" w:color="auto" w:fill="auto"/>
          </w:tcPr>
          <w:p w:rsidR="00B26237" w:rsidRPr="00416070" w:rsidRDefault="00B26237" w:rsidP="00B42A20">
            <w:pPr>
              <w:ind w:left="180" w:right="186"/>
              <w:rPr>
                <w:rFonts w:eastAsia="Calibri"/>
                <w:color w:val="000000"/>
              </w:rPr>
            </w:pPr>
            <w:r w:rsidRPr="00416070">
              <w:rPr>
                <w:rFonts w:eastAsia="Calibri"/>
                <w:color w:val="000000"/>
              </w:rPr>
              <w:t>SharePoint Online Plano 1</w:t>
            </w:r>
          </w:p>
        </w:tc>
        <w:tc>
          <w:tcPr>
            <w:tcW w:w="2765" w:type="dxa"/>
            <w:shd w:val="clear" w:color="auto" w:fill="auto"/>
          </w:tcPr>
          <w:p w:rsidR="00B26237" w:rsidRPr="00416070" w:rsidRDefault="00B26237" w:rsidP="00B42A20">
            <w:pPr>
              <w:ind w:left="138" w:right="138"/>
              <w:rPr>
                <w:rFonts w:eastAsia="Calibri"/>
                <w:color w:val="000000"/>
              </w:rPr>
            </w:pPr>
            <w:r w:rsidRPr="00416070">
              <w:rPr>
                <w:rFonts w:eastAsia="Calibri"/>
                <w:color w:val="000000"/>
              </w:rPr>
              <w:t>SharePoint Online Plano 2</w:t>
            </w:r>
          </w:p>
        </w:tc>
        <w:tc>
          <w:tcPr>
            <w:tcW w:w="2765" w:type="dxa"/>
            <w:shd w:val="clear" w:color="auto" w:fill="auto"/>
          </w:tcPr>
          <w:p w:rsidR="00B26237" w:rsidRPr="00416070" w:rsidRDefault="00B26237" w:rsidP="00B42A20">
            <w:pPr>
              <w:ind w:left="186" w:right="180"/>
              <w:rPr>
                <w:rFonts w:eastAsia="Calibri"/>
                <w:color w:val="000000"/>
              </w:rPr>
            </w:pPr>
            <w:r w:rsidRPr="00416070">
              <w:rPr>
                <w:rFonts w:eastAsia="Calibri"/>
                <w:color w:val="000000"/>
              </w:rPr>
              <w:t>SharePoint Online Plano 2</w:t>
            </w:r>
          </w:p>
        </w:tc>
      </w:tr>
      <w:tr w:rsidR="00B26237" w:rsidRPr="00416070" w:rsidTr="007E466C">
        <w:tc>
          <w:tcPr>
            <w:tcW w:w="2760" w:type="dxa"/>
            <w:shd w:val="clear" w:color="auto" w:fill="auto"/>
          </w:tcPr>
          <w:p w:rsidR="00B26237" w:rsidRPr="00416070" w:rsidRDefault="00B26237" w:rsidP="00B42A20">
            <w:pPr>
              <w:ind w:left="180" w:right="186"/>
              <w:rPr>
                <w:rFonts w:eastAsia="Calibri"/>
                <w:color w:val="000000"/>
              </w:rPr>
            </w:pPr>
            <w:r w:rsidRPr="00416070">
              <w:rPr>
                <w:rFonts w:eastAsia="Calibri"/>
                <w:color w:val="000000"/>
              </w:rPr>
              <w:t>Lync Online Plano 2</w:t>
            </w:r>
          </w:p>
        </w:tc>
        <w:tc>
          <w:tcPr>
            <w:tcW w:w="2765" w:type="dxa"/>
            <w:shd w:val="clear" w:color="auto" w:fill="auto"/>
          </w:tcPr>
          <w:p w:rsidR="00B26237" w:rsidRPr="00416070" w:rsidRDefault="00B26237" w:rsidP="00B42A20">
            <w:pPr>
              <w:ind w:left="138" w:right="138"/>
              <w:rPr>
                <w:rFonts w:eastAsia="Calibri"/>
                <w:color w:val="000000"/>
              </w:rPr>
            </w:pPr>
            <w:r w:rsidRPr="00416070">
              <w:rPr>
                <w:rFonts w:eastAsia="Calibri"/>
                <w:color w:val="000000"/>
              </w:rPr>
              <w:t>Lync Online Plano 2</w:t>
            </w:r>
          </w:p>
        </w:tc>
        <w:tc>
          <w:tcPr>
            <w:tcW w:w="2765" w:type="dxa"/>
            <w:shd w:val="clear" w:color="auto" w:fill="auto"/>
          </w:tcPr>
          <w:p w:rsidR="00B26237" w:rsidRPr="00416070" w:rsidRDefault="00B26237" w:rsidP="00B42A20">
            <w:pPr>
              <w:ind w:left="186" w:right="180"/>
              <w:rPr>
                <w:rFonts w:eastAsia="Calibri"/>
                <w:color w:val="000000"/>
              </w:rPr>
            </w:pPr>
            <w:r w:rsidRPr="00416070">
              <w:rPr>
                <w:rFonts w:eastAsia="Calibri"/>
                <w:color w:val="000000"/>
              </w:rPr>
              <w:t>Lync Online Plano 2</w:t>
            </w:r>
          </w:p>
        </w:tc>
      </w:tr>
      <w:tr w:rsidR="00B26237" w:rsidRPr="002B5F9E" w:rsidTr="007E466C">
        <w:tc>
          <w:tcPr>
            <w:tcW w:w="2760" w:type="dxa"/>
            <w:shd w:val="clear" w:color="auto" w:fill="auto"/>
          </w:tcPr>
          <w:p w:rsidR="00B26237" w:rsidRPr="00E47ECF" w:rsidRDefault="00B26237" w:rsidP="008F08D5">
            <w:pPr>
              <w:ind w:left="180" w:right="186"/>
              <w:rPr>
                <w:rFonts w:eastAsia="Calibri"/>
                <w:color w:val="000000"/>
                <w:lang w:val="pt-BR"/>
              </w:rPr>
            </w:pPr>
            <w:r w:rsidRPr="00E47ECF">
              <w:rPr>
                <w:rFonts w:eastAsia="Calibri"/>
                <w:color w:val="000000"/>
                <w:lang w:val="pt-BR"/>
              </w:rPr>
              <w:t>Aplicativos da Web do Office (Hospedados pela</w:t>
            </w:r>
            <w:r w:rsidR="008F08D5" w:rsidRPr="00E47ECF">
              <w:rPr>
                <w:rFonts w:eastAsia="Calibri"/>
                <w:color w:val="000000"/>
                <w:lang w:val="pt-BR"/>
              </w:rPr>
              <w:t> </w:t>
            </w:r>
            <w:r w:rsidRPr="00E47ECF">
              <w:rPr>
                <w:rFonts w:eastAsia="Calibri"/>
                <w:color w:val="000000"/>
                <w:lang w:val="pt-BR"/>
              </w:rPr>
              <w:t>Microsoft)</w:t>
            </w:r>
          </w:p>
        </w:tc>
        <w:tc>
          <w:tcPr>
            <w:tcW w:w="2765" w:type="dxa"/>
            <w:shd w:val="clear" w:color="auto" w:fill="auto"/>
          </w:tcPr>
          <w:p w:rsidR="00B26237" w:rsidRPr="00E47ECF" w:rsidRDefault="00B26237" w:rsidP="00B42A20">
            <w:pPr>
              <w:ind w:left="138" w:right="138"/>
              <w:rPr>
                <w:rFonts w:eastAsia="Calibri"/>
                <w:color w:val="000000"/>
                <w:lang w:val="pt-BR"/>
              </w:rPr>
            </w:pPr>
            <w:r w:rsidRPr="00E47ECF">
              <w:rPr>
                <w:rFonts w:eastAsia="Calibri"/>
                <w:color w:val="000000"/>
                <w:lang w:val="pt-BR"/>
              </w:rPr>
              <w:t>Aplicativos da Web do Office (Hospedados pela Microsoft)</w:t>
            </w:r>
          </w:p>
        </w:tc>
        <w:tc>
          <w:tcPr>
            <w:tcW w:w="2765" w:type="dxa"/>
            <w:shd w:val="clear" w:color="auto" w:fill="auto"/>
          </w:tcPr>
          <w:p w:rsidR="00B26237" w:rsidRPr="00E47ECF" w:rsidRDefault="00B26237" w:rsidP="008F08D5">
            <w:pPr>
              <w:ind w:left="186" w:right="180"/>
              <w:rPr>
                <w:rFonts w:eastAsia="Calibri"/>
                <w:color w:val="000000"/>
                <w:lang w:val="pt-BR"/>
              </w:rPr>
            </w:pPr>
            <w:r w:rsidRPr="00E47ECF">
              <w:rPr>
                <w:rFonts w:eastAsia="Calibri"/>
                <w:color w:val="000000"/>
                <w:lang w:val="pt-BR"/>
              </w:rPr>
              <w:t>Aplicativos da Web do Office (Hospedados pela</w:t>
            </w:r>
            <w:r w:rsidR="008F08D5" w:rsidRPr="00E47ECF">
              <w:rPr>
                <w:rFonts w:eastAsia="Calibri"/>
                <w:color w:val="000000"/>
                <w:lang w:val="pt-BR"/>
              </w:rPr>
              <w:t> </w:t>
            </w:r>
            <w:r w:rsidRPr="00E47ECF">
              <w:rPr>
                <w:rFonts w:eastAsia="Calibri"/>
                <w:color w:val="000000"/>
                <w:lang w:val="pt-BR"/>
              </w:rPr>
              <w:t>Microsoft)</w:t>
            </w:r>
          </w:p>
        </w:tc>
      </w:tr>
      <w:tr w:rsidR="00B26237" w:rsidRPr="00416070" w:rsidTr="007E466C">
        <w:tc>
          <w:tcPr>
            <w:tcW w:w="2760" w:type="dxa"/>
            <w:shd w:val="clear" w:color="auto" w:fill="auto"/>
          </w:tcPr>
          <w:p w:rsidR="00B26237" w:rsidRPr="00E47ECF" w:rsidRDefault="00B26237" w:rsidP="00B42A20">
            <w:pPr>
              <w:ind w:left="180" w:right="186"/>
              <w:rPr>
                <w:rFonts w:eastAsia="Calibri"/>
                <w:color w:val="000000"/>
                <w:lang w:val="pt-BR"/>
              </w:rPr>
            </w:pPr>
          </w:p>
        </w:tc>
        <w:tc>
          <w:tcPr>
            <w:tcW w:w="2765" w:type="dxa"/>
            <w:shd w:val="clear" w:color="auto" w:fill="auto"/>
          </w:tcPr>
          <w:p w:rsidR="00B26237" w:rsidRPr="00416070" w:rsidRDefault="008368B4" w:rsidP="00B42A20">
            <w:pPr>
              <w:ind w:left="138" w:right="138"/>
              <w:rPr>
                <w:rFonts w:eastAsia="Calibri"/>
                <w:color w:val="000000"/>
              </w:rPr>
            </w:pPr>
            <w:r w:rsidRPr="00416070">
              <w:rPr>
                <w:rFonts w:eastAsia="Calibri"/>
                <w:color w:val="000000"/>
              </w:rPr>
              <w:t>Office 365 ProPlus</w:t>
            </w:r>
          </w:p>
        </w:tc>
        <w:tc>
          <w:tcPr>
            <w:tcW w:w="2765" w:type="dxa"/>
            <w:shd w:val="clear" w:color="auto" w:fill="auto"/>
          </w:tcPr>
          <w:p w:rsidR="00B26237" w:rsidRPr="00416070" w:rsidRDefault="008368B4" w:rsidP="008368B4">
            <w:pPr>
              <w:ind w:left="186" w:right="180"/>
              <w:rPr>
                <w:rFonts w:eastAsia="Calibri"/>
                <w:color w:val="000000"/>
              </w:rPr>
            </w:pPr>
            <w:r w:rsidRPr="00416070">
              <w:rPr>
                <w:rFonts w:eastAsia="Calibri"/>
                <w:color w:val="000000"/>
              </w:rPr>
              <w:t>Office 365 ProPlus</w:t>
            </w:r>
          </w:p>
        </w:tc>
      </w:tr>
    </w:tbl>
    <w:p w:rsidR="00B26237" w:rsidRPr="00E47ECF" w:rsidRDefault="00B26237" w:rsidP="007E2720">
      <w:pPr>
        <w:ind w:left="720"/>
        <w:rPr>
          <w:lang w:val="pt-BR"/>
        </w:rPr>
      </w:pPr>
      <w:r w:rsidRPr="00E47ECF">
        <w:rPr>
          <w:color w:val="000000"/>
          <w:lang w:val="pt-BR"/>
        </w:rPr>
        <w:br/>
      </w:r>
      <w:r w:rsidRPr="00E47ECF">
        <w:rPr>
          <w:rFonts w:cs="Tahoma"/>
          <w:color w:val="000000"/>
          <w:szCs w:val="18"/>
          <w:lang w:val="pt-BR"/>
        </w:rPr>
        <w:t>Essa lista está sujeita a alterações.</w:t>
      </w:r>
      <w:r w:rsidR="00FB5496" w:rsidRPr="00E47ECF">
        <w:rPr>
          <w:rFonts w:cs="Tahoma"/>
          <w:color w:val="000000"/>
          <w:szCs w:val="18"/>
          <w:lang w:val="pt-BR"/>
        </w:rPr>
        <w:t xml:space="preserve"> </w:t>
      </w:r>
      <w:r w:rsidRPr="00E47ECF">
        <w:rPr>
          <w:rFonts w:cs="Tahoma"/>
          <w:color w:val="000000"/>
          <w:szCs w:val="18"/>
          <w:lang w:val="pt-BR"/>
        </w:rPr>
        <w:t>Os Direitos de Uso de Produto atuais prevalecerão caso haja conflitos entre os termos da licença do Office 365 Enterprise E2 - E4 e esta observação.</w:t>
      </w:r>
      <w:r w:rsidR="00FB5496" w:rsidRPr="00E47ECF">
        <w:rPr>
          <w:rFonts w:cs="Tahoma"/>
          <w:color w:val="000000"/>
          <w:szCs w:val="18"/>
          <w:lang w:val="pt-BR"/>
        </w:rPr>
        <w:t xml:space="preserve"> </w:t>
      </w:r>
      <w:r w:rsidRPr="00E47ECF">
        <w:rPr>
          <w:rFonts w:cs="Tahoma"/>
          <w:color w:val="000000"/>
          <w:szCs w:val="18"/>
          <w:lang w:val="pt-BR"/>
        </w:rPr>
        <w:t>Os direitos de acesso adicionais, se houver, a softwares locais licenciados separadamente estão especificados nos Direitos de</w:t>
      </w:r>
      <w:r w:rsidR="007E2720" w:rsidRPr="00E47ECF">
        <w:rPr>
          <w:rFonts w:cs="Tahoma"/>
          <w:color w:val="000000"/>
          <w:szCs w:val="18"/>
          <w:lang w:val="pt-BR"/>
        </w:rPr>
        <w:t> </w:t>
      </w:r>
      <w:r w:rsidRPr="00E47ECF">
        <w:rPr>
          <w:rFonts w:cs="Tahoma"/>
          <w:color w:val="000000"/>
          <w:szCs w:val="18"/>
          <w:lang w:val="pt-BR"/>
        </w:rPr>
        <w:t>Uso</w:t>
      </w:r>
      <w:r w:rsidR="008F08D5" w:rsidRPr="00E47ECF">
        <w:rPr>
          <w:rFonts w:cs="Tahoma"/>
          <w:color w:val="000000"/>
          <w:szCs w:val="18"/>
          <w:lang w:val="pt-BR"/>
        </w:rPr>
        <w:t> </w:t>
      </w:r>
      <w:r w:rsidRPr="00E47ECF">
        <w:rPr>
          <w:rFonts w:cs="Tahoma"/>
          <w:color w:val="000000"/>
          <w:szCs w:val="18"/>
          <w:lang w:val="pt-BR"/>
        </w:rPr>
        <w:t>de Produto.</w:t>
      </w:r>
    </w:p>
    <w:p w:rsidR="00B26237" w:rsidRPr="00E47ECF" w:rsidRDefault="00B26237" w:rsidP="00D16EA8">
      <w:pPr>
        <w:ind w:left="720"/>
        <w:rPr>
          <w:lang w:val="pt-BR"/>
        </w:rPr>
      </w:pPr>
    </w:p>
    <w:p w:rsidR="00DC2291" w:rsidRPr="00E47ECF" w:rsidRDefault="00B26237" w:rsidP="00D16EA8">
      <w:pPr>
        <w:pStyle w:val="FootnoteBulletLevel1"/>
        <w:tabs>
          <w:tab w:val="clear" w:pos="900"/>
        </w:tabs>
        <w:spacing w:before="0" w:after="0"/>
        <w:ind w:left="720" w:firstLine="0"/>
        <w:rPr>
          <w:lang w:val="pt-BR"/>
        </w:rPr>
      </w:pPr>
      <w:r w:rsidRPr="00E47ECF">
        <w:rPr>
          <w:rFonts w:ascii="Tahoma" w:hAnsi="Tahoma" w:cs="Tahoma"/>
          <w:color w:val="000000"/>
          <w:sz w:val="18"/>
          <w:szCs w:val="18"/>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8F08D5" w:rsidRPr="00E47ECF">
        <w:rPr>
          <w:rFonts w:ascii="Tahoma" w:hAnsi="Tahoma" w:cs="Tahoma"/>
          <w:color w:val="000000"/>
          <w:sz w:val="18"/>
          <w:szCs w:val="18"/>
          <w:lang w:val="pt-BR"/>
        </w:rPr>
        <w:t> </w:t>
      </w:r>
      <w:r w:rsidRPr="00E47ECF">
        <w:rPr>
          <w:rFonts w:ascii="Tahoma" w:hAnsi="Tahoma" w:cs="Tahoma"/>
          <w:color w:val="000000"/>
          <w:sz w:val="18"/>
          <w:szCs w:val="18"/>
          <w:lang w:val="pt-BR"/>
        </w:rPr>
        <w:t>Lync 2010 (ou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para seus usuários finais com base em Windows.</w:t>
      </w:r>
    </w:p>
    <w:p w:rsidR="00B26237" w:rsidRPr="00E47ECF" w:rsidRDefault="00B26237" w:rsidP="00D16EA8">
      <w:pPr>
        <w:pStyle w:val="FootnoteBulletLevel1"/>
        <w:tabs>
          <w:tab w:val="clear" w:pos="900"/>
          <w:tab w:val="num" w:pos="1080"/>
        </w:tabs>
        <w:spacing w:before="0" w:after="0"/>
        <w:ind w:left="0" w:firstLine="0"/>
        <w:rPr>
          <w:rFonts w:ascii="Tahoma" w:hAnsi="Tahoma" w:cs="Tahoma"/>
          <w:sz w:val="18"/>
          <w:szCs w:val="18"/>
          <w:lang w:val="pt-BR"/>
        </w:rPr>
      </w:pPr>
    </w:p>
    <w:p w:rsidR="00D16EA8" w:rsidRPr="00E47ECF" w:rsidRDefault="00D16EA8" w:rsidP="00D16EA8">
      <w:pPr>
        <w:pStyle w:val="FootnoteBulletLevel1"/>
        <w:tabs>
          <w:tab w:val="clear" w:pos="900"/>
          <w:tab w:val="num" w:pos="1080"/>
        </w:tabs>
        <w:spacing w:before="0" w:after="0"/>
        <w:ind w:left="0" w:firstLine="0"/>
        <w:rPr>
          <w:rFonts w:ascii="Tahoma" w:hAnsi="Tahoma" w:cs="Tahoma"/>
          <w:sz w:val="18"/>
          <w:szCs w:val="18"/>
          <w:lang w:val="pt-BR"/>
        </w:rPr>
      </w:pPr>
    </w:p>
    <w:p w:rsidR="00704723" w:rsidRPr="00416070" w:rsidRDefault="00B54C21" w:rsidP="000429EF">
      <w:pPr>
        <w:pStyle w:val="Heading3"/>
      </w:pPr>
      <w:bookmarkStart w:id="1026" w:name="_76_Office_for"/>
      <w:bookmarkStart w:id="1027" w:name="_Toc336338264"/>
      <w:bookmarkStart w:id="1028" w:name="_Toc352234330"/>
      <w:bookmarkStart w:id="1029" w:name="Srv_4OfficeMacStandard2011"/>
      <w:bookmarkEnd w:id="1009"/>
      <w:bookmarkEnd w:id="1026"/>
      <w:r w:rsidRPr="00416070">
        <w:rPr>
          <w:rFonts w:ascii="Tahoma" w:hAnsi="Tahoma"/>
          <w:caps/>
          <w:color w:val="F66400"/>
          <w:sz w:val="22"/>
          <w:vertAlign w:val="superscript"/>
        </w:rPr>
        <w:t>6</w:t>
      </w:r>
      <w:r w:rsidR="00615CB9" w:rsidRPr="00416070">
        <w:rPr>
          <w:rFonts w:ascii="Tahoma" w:hAnsi="Tahoma"/>
          <w:color w:val="F66400"/>
          <w:sz w:val="22"/>
        </w:rPr>
        <w:t xml:space="preserve"> </w:t>
      </w:r>
      <w:r w:rsidRPr="00416070">
        <w:rPr>
          <w:rFonts w:ascii="Tahoma" w:hAnsi="Tahoma"/>
          <w:color w:val="F66400"/>
          <w:sz w:val="22"/>
        </w:rPr>
        <w:t>Office para Mac Standard 2011</w:t>
      </w:r>
      <w:bookmarkEnd w:id="1027"/>
      <w:bookmarkEnd w:id="1028"/>
      <w:r w:rsidRPr="00416070">
        <w:rPr>
          <w:rFonts w:ascii="Tahoma" w:hAnsi="Tahoma"/>
          <w:color w:val="F66400"/>
          <w:sz w:val="22"/>
        </w:rPr>
        <w:t xml:space="preserve"> </w:t>
      </w:r>
      <w:bookmarkEnd w:id="1029"/>
    </w:p>
    <w:p w:rsidR="00FD5FBA" w:rsidRPr="00416070" w:rsidRDefault="00FD5FBA" w:rsidP="00AE5A9F"/>
    <w:p w:rsidR="00FD5FBA" w:rsidRPr="00416070" w:rsidRDefault="00FD5FBA" w:rsidP="002C1048">
      <w:pPr>
        <w:pStyle w:val="EndnoteText"/>
        <w:numPr>
          <w:ilvl w:val="0"/>
          <w:numId w:val="140"/>
        </w:numPr>
        <w:ind w:left="990"/>
      </w:pPr>
      <w:r w:rsidRPr="00416070">
        <w:rPr>
          <w:rFonts w:ascii="Tahoma" w:hAnsi="Tahoma" w:cs="Tahoma"/>
          <w:sz w:val="18"/>
          <w:szCs w:val="20"/>
        </w:rPr>
        <w:t xml:space="preserve">Licença WAH (Work at Home) disponível para Clientes Select </w:t>
      </w:r>
      <w:r w:rsidRPr="00416070">
        <w:rPr>
          <w:rFonts w:ascii="Tahoma" w:hAnsi="Tahoma" w:cs="Tahoma"/>
          <w:sz w:val="18"/>
          <w:szCs w:val="18"/>
        </w:rPr>
        <w:t>e Select Plus</w:t>
      </w:r>
      <w:r w:rsidRPr="00416070">
        <w:rPr>
          <w:rFonts w:ascii="Tahoma" w:hAnsi="Tahoma" w:cs="Tahoma"/>
          <w:sz w:val="18"/>
          <w:szCs w:val="20"/>
        </w:rPr>
        <w:t xml:space="preserve"> </w:t>
      </w:r>
    </w:p>
    <w:p w:rsidR="00CA6122" w:rsidRPr="00416070" w:rsidRDefault="00CA6122" w:rsidP="00CA6122">
      <w:pPr>
        <w:adjustRightInd w:val="0"/>
        <w:ind w:left="720"/>
        <w:textAlignment w:val="baseline"/>
      </w:pPr>
    </w:p>
    <w:p w:rsidR="00864B8A" w:rsidRPr="00416070" w:rsidRDefault="00704723" w:rsidP="00864B8A">
      <w:pPr>
        <w:spacing w:after="60"/>
        <w:ind w:left="720"/>
      </w:pPr>
      <w:r w:rsidRPr="00416070">
        <w:rPr>
          <w:rFonts w:cs="Tahoma"/>
          <w:b/>
          <w:szCs w:val="20"/>
        </w:rPr>
        <w:t>Office para Mac Standard 2011</w:t>
      </w:r>
    </w:p>
    <w:p w:rsidR="00704723" w:rsidRPr="00416070" w:rsidRDefault="00704723" w:rsidP="00864B8A">
      <w:pPr>
        <w:spacing w:after="60"/>
        <w:ind w:left="720"/>
      </w:pPr>
      <w:r w:rsidRPr="00416070">
        <w:rPr>
          <w:rFonts w:cs="Tahoma"/>
          <w:szCs w:val="20"/>
        </w:rPr>
        <w:t>A Licença do Office para Mac Standard 2011 consiste no seguinte: Lync para Mac 2011, Excel para Mac</w:t>
      </w:r>
      <w:r w:rsidR="008F08D5" w:rsidRPr="00416070">
        <w:rPr>
          <w:rFonts w:cs="Tahoma"/>
          <w:szCs w:val="20"/>
        </w:rPr>
        <w:t> </w:t>
      </w:r>
      <w:r w:rsidRPr="00416070">
        <w:rPr>
          <w:rFonts w:cs="Tahoma"/>
          <w:szCs w:val="20"/>
        </w:rPr>
        <w:t xml:space="preserve">2011, Outlook para Mac 2011, </w:t>
      </w:r>
      <w:r w:rsidRPr="00416070">
        <w:rPr>
          <w:rFonts w:cs="Tahoma"/>
        </w:rPr>
        <w:t>Office Home and Student RT 2013 – Uso Comercial,</w:t>
      </w:r>
      <w:r w:rsidRPr="00416070">
        <w:rPr>
          <w:rFonts w:cs="Tahoma"/>
          <w:szCs w:val="20"/>
        </w:rPr>
        <w:t xml:space="preserve"> Office Web Apps</w:t>
      </w:r>
      <w:r w:rsidR="008F08D5" w:rsidRPr="00416070">
        <w:rPr>
          <w:rFonts w:cs="Tahoma"/>
          <w:szCs w:val="20"/>
        </w:rPr>
        <w:t> </w:t>
      </w:r>
      <w:r w:rsidRPr="00416070">
        <w:rPr>
          <w:rFonts w:cs="Tahoma"/>
          <w:szCs w:val="20"/>
        </w:rPr>
        <w:t>2010, PowerPoint para Mac 2011 e Word para Mac 2011.</w:t>
      </w:r>
    </w:p>
    <w:p w:rsidR="00CA6122" w:rsidRPr="00416070" w:rsidRDefault="00CA6122" w:rsidP="00CA6122">
      <w:pPr>
        <w:adjustRightInd w:val="0"/>
        <w:ind w:left="720"/>
        <w:textAlignment w:val="baseline"/>
      </w:pPr>
    </w:p>
    <w:p w:rsidR="00864B8A" w:rsidRPr="00E47ECF" w:rsidRDefault="00704723" w:rsidP="00864B8A">
      <w:pPr>
        <w:spacing w:after="60"/>
        <w:ind w:left="720"/>
        <w:rPr>
          <w:lang w:val="pt-BR"/>
        </w:rPr>
      </w:pPr>
      <w:r w:rsidRPr="00E47ECF">
        <w:rPr>
          <w:rFonts w:cs="Tahoma"/>
          <w:b/>
          <w:szCs w:val="20"/>
          <w:lang w:val="pt-BR"/>
        </w:rPr>
        <w:t>Incapacidade de Separar o Microsoft Office para Mac Standard 2011</w:t>
      </w:r>
    </w:p>
    <w:p w:rsidR="00704723" w:rsidRPr="00E47ECF" w:rsidRDefault="00704723" w:rsidP="00864B8A">
      <w:pPr>
        <w:spacing w:after="60"/>
        <w:ind w:left="720"/>
        <w:rPr>
          <w:lang w:val="pt-BR"/>
        </w:rPr>
      </w:pPr>
      <w:r w:rsidRPr="00E47ECF">
        <w:rPr>
          <w:rFonts w:cs="Tahoma"/>
          <w:szCs w:val="20"/>
          <w:lang w:val="pt-BR"/>
        </w:rPr>
        <w:t>O Office para Mac Standard 2011 consiste em mais de um produto oferecido sob uma única licença. O</w:t>
      </w:r>
      <w:r w:rsidR="008F08D5" w:rsidRPr="00E47ECF">
        <w:rPr>
          <w:rFonts w:cs="Tahoma"/>
          <w:szCs w:val="20"/>
          <w:lang w:val="pt-BR"/>
        </w:rPr>
        <w:t> </w:t>
      </w:r>
      <w:r w:rsidRPr="00E47ECF">
        <w:rPr>
          <w:rFonts w:cs="Tahoma"/>
          <w:szCs w:val="20"/>
          <w:lang w:val="pt-BR"/>
        </w:rPr>
        <w:t>software não deverá ser separado para uso em mais de um computador.</w:t>
      </w:r>
    </w:p>
    <w:p w:rsidR="00CA6122" w:rsidRPr="00E47ECF" w:rsidRDefault="00CA6122" w:rsidP="00CA6122">
      <w:pPr>
        <w:adjustRightInd w:val="0"/>
        <w:ind w:left="720"/>
        <w:textAlignment w:val="baseline"/>
        <w:rPr>
          <w:lang w:val="pt-BR"/>
        </w:rPr>
      </w:pPr>
    </w:p>
    <w:p w:rsidR="00704723" w:rsidRPr="00E47ECF" w:rsidRDefault="0035314F" w:rsidP="00864B8A">
      <w:pPr>
        <w:spacing w:after="60"/>
        <w:ind w:left="720"/>
        <w:rPr>
          <w:lang w:val="pt-BR"/>
        </w:rPr>
      </w:pPr>
      <w:r w:rsidRPr="00E47ECF">
        <w:rPr>
          <w:rFonts w:cs="Tahoma"/>
          <w:b/>
          <w:szCs w:val="20"/>
          <w:lang w:val="pt-BR"/>
        </w:rPr>
        <w:t>Direitos de Uso do Lync para Mac 2011</w:t>
      </w:r>
    </w:p>
    <w:p w:rsidR="00CA6122" w:rsidRPr="00E47ECF" w:rsidRDefault="00F14B59" w:rsidP="00737831">
      <w:pPr>
        <w:adjustRightInd w:val="0"/>
        <w:ind w:left="720"/>
        <w:textAlignment w:val="baseline"/>
        <w:rPr>
          <w:lang w:val="pt-BR"/>
        </w:rPr>
      </w:pPr>
      <w:r w:rsidRPr="00E47ECF">
        <w:rPr>
          <w:rFonts w:cs="Tahoma"/>
          <w:szCs w:val="20"/>
          <w:lang w:val="pt-BR"/>
        </w:rPr>
        <w:t>Os clientes que comprarem o Office para Mac Standard 2011 em ou depois de 1</w:t>
      </w:r>
      <w:r w:rsidRPr="00E47ECF">
        <w:rPr>
          <w:rFonts w:cs="Tahoma"/>
          <w:szCs w:val="20"/>
          <w:vertAlign w:val="superscript"/>
          <w:lang w:val="pt-BR"/>
        </w:rPr>
        <w:t>º</w:t>
      </w:r>
      <w:r w:rsidRPr="00E47ECF">
        <w:rPr>
          <w:rFonts w:cs="Tahoma"/>
          <w:szCs w:val="20"/>
          <w:lang w:val="pt-BR"/>
        </w:rPr>
        <w:t xml:space="preserve"> de outubro de 2011 terão</w:t>
      </w:r>
      <w:r w:rsidR="008F08D5" w:rsidRPr="00E47ECF">
        <w:rPr>
          <w:rFonts w:cs="Tahoma"/>
          <w:szCs w:val="20"/>
          <w:lang w:val="pt-BR"/>
        </w:rPr>
        <w:t> </w:t>
      </w:r>
      <w:r w:rsidRPr="00E47ECF">
        <w:rPr>
          <w:rFonts w:cs="Tahoma"/>
          <w:szCs w:val="20"/>
          <w:lang w:val="pt-BR"/>
        </w:rPr>
        <w:t>um pacote Office que inclui o Lync para 2011 em vez do Communicator para Mac 2011. Os</w:t>
      </w:r>
      <w:r w:rsidR="008F08D5" w:rsidRPr="00E47ECF">
        <w:rPr>
          <w:rFonts w:cs="Tahoma"/>
          <w:szCs w:val="20"/>
          <w:lang w:val="pt-BR"/>
        </w:rPr>
        <w:t> clients </w:t>
      </w:r>
      <w:r w:rsidRPr="00E47ECF">
        <w:rPr>
          <w:rFonts w:cs="Tahoma"/>
          <w:szCs w:val="20"/>
          <w:lang w:val="pt-BR"/>
        </w:rPr>
        <w:t>com cobertura do Software Assurance do Office para Mac Standard 2011 em ou depois de 1</w:t>
      </w:r>
      <w:r w:rsidRPr="00E47ECF">
        <w:rPr>
          <w:rFonts w:cs="Tahoma"/>
          <w:szCs w:val="20"/>
          <w:vertAlign w:val="superscript"/>
          <w:lang w:val="pt-BR"/>
        </w:rPr>
        <w:t>º</w:t>
      </w:r>
      <w:r w:rsidR="008F08D5" w:rsidRPr="00E47ECF">
        <w:rPr>
          <w:rFonts w:cs="Tahoma"/>
          <w:szCs w:val="20"/>
          <w:lang w:val="pt-BR"/>
        </w:rPr>
        <w:t> </w:t>
      </w:r>
      <w:r w:rsidRPr="00E47ECF">
        <w:rPr>
          <w:rFonts w:cs="Tahoma"/>
          <w:szCs w:val="20"/>
          <w:lang w:val="pt-BR"/>
        </w:rPr>
        <w:t>de</w:t>
      </w:r>
      <w:r w:rsidR="008F08D5" w:rsidRPr="00E47ECF">
        <w:rPr>
          <w:rFonts w:cs="Tahoma"/>
          <w:szCs w:val="20"/>
          <w:lang w:val="pt-BR"/>
        </w:rPr>
        <w:t> </w:t>
      </w:r>
      <w:r w:rsidRPr="00E47ECF">
        <w:rPr>
          <w:rFonts w:cs="Tahoma"/>
          <w:szCs w:val="20"/>
          <w:lang w:val="pt-BR"/>
        </w:rPr>
        <w:t xml:space="preserve">outubro de 2011 podem usar o Communicator para Mac 2011 ou atualizar para Lync para Mac 2011. </w:t>
      </w:r>
    </w:p>
    <w:p w:rsidR="007631EF" w:rsidRPr="00E47ECF" w:rsidRDefault="007631EF">
      <w:pPr>
        <w:rPr>
          <w:lang w:val="pt-BR"/>
        </w:rPr>
      </w:pPr>
    </w:p>
    <w:p w:rsidR="00697E59" w:rsidRPr="00E47ECF" w:rsidRDefault="00697E59">
      <w:pPr>
        <w:rPr>
          <w:lang w:val="pt-BR"/>
        </w:rPr>
      </w:pPr>
      <w:bookmarkStart w:id="1030" w:name="_Toc336338265"/>
    </w:p>
    <w:p w:rsidR="00023FE7" w:rsidRPr="00416070" w:rsidRDefault="00B54C21">
      <w:pPr>
        <w:pStyle w:val="Heading3"/>
      </w:pPr>
      <w:bookmarkStart w:id="1031" w:name="_5_Office_Multi-Language"/>
      <w:bookmarkStart w:id="1032" w:name="_7_Office_Multi-Language"/>
      <w:bookmarkStart w:id="1033" w:name="_87_Office_Multi-Language"/>
      <w:bookmarkStart w:id="1034" w:name="Aps_8OffMultiLangPack07"/>
      <w:bookmarkStart w:id="1035" w:name="Aps_6OfficeMultiLangPack2010"/>
      <w:bookmarkStart w:id="1036" w:name="Aps_5OfficeMultiLangPack2010"/>
      <w:bookmarkStart w:id="1037" w:name="_Toc352234331"/>
      <w:bookmarkEnd w:id="1031"/>
      <w:bookmarkEnd w:id="1032"/>
      <w:bookmarkEnd w:id="1033"/>
      <w:r w:rsidRPr="00416070">
        <w:rPr>
          <w:rFonts w:ascii="Tahoma" w:hAnsi="Tahoma"/>
          <w:caps/>
          <w:color w:val="F66400"/>
          <w:sz w:val="22"/>
          <w:vertAlign w:val="superscript"/>
        </w:rPr>
        <w:t>7</w:t>
      </w:r>
      <w:r w:rsidRPr="00416070">
        <w:rPr>
          <w:rFonts w:ascii="Tahoma" w:hAnsi="Tahoma"/>
          <w:color w:val="F66400"/>
          <w:sz w:val="22"/>
        </w:rPr>
        <w:t xml:space="preserve"> Pacote Multilíngue do Office </w:t>
      </w:r>
      <w:bookmarkEnd w:id="1030"/>
      <w:bookmarkEnd w:id="1034"/>
      <w:bookmarkEnd w:id="1035"/>
      <w:bookmarkEnd w:id="1036"/>
      <w:r w:rsidRPr="00416070">
        <w:rPr>
          <w:rFonts w:ascii="Tahoma" w:hAnsi="Tahoma"/>
          <w:color w:val="F66400"/>
          <w:sz w:val="22"/>
        </w:rPr>
        <w:t>2013</w:t>
      </w:r>
      <w:bookmarkEnd w:id="1037"/>
    </w:p>
    <w:p w:rsidR="00023FE7" w:rsidRPr="00E47ECF" w:rsidRDefault="00023FE7" w:rsidP="00AE5A9F">
      <w:pPr>
        <w:rPr>
          <w:lang w:val="pt-BR"/>
        </w:rPr>
      </w:pPr>
    </w:p>
    <w:p w:rsidR="00223A77" w:rsidRPr="00E47ECF" w:rsidRDefault="0035314F" w:rsidP="00864B8A">
      <w:pPr>
        <w:spacing w:after="60"/>
        <w:ind w:left="720"/>
        <w:rPr>
          <w:lang w:val="pt-BR"/>
        </w:rPr>
      </w:pPr>
      <w:r w:rsidRPr="00E47ECF">
        <w:rPr>
          <w:rFonts w:cs="Tahoma"/>
          <w:b/>
          <w:szCs w:val="20"/>
          <w:lang w:val="pt-BR"/>
        </w:rPr>
        <w:t>Direito de Downgrade para o Pacote Multilíngue do Office 2013</w:t>
      </w:r>
    </w:p>
    <w:p w:rsidR="00223A77" w:rsidRPr="00E47ECF" w:rsidRDefault="00223A77" w:rsidP="00CA6122">
      <w:pPr>
        <w:ind w:left="720"/>
        <w:rPr>
          <w:lang w:val="pt-BR"/>
        </w:rPr>
      </w:pPr>
      <w:r w:rsidRPr="00E47ECF">
        <w:rPr>
          <w:rFonts w:cs="Tahoma"/>
          <w:szCs w:val="18"/>
          <w:lang w:val="pt-BR"/>
        </w:rPr>
        <w:t>Os clientes de licenças por volume com uma licença do Pacote Multilíngue do Office 2013 e uma licença de</w:t>
      </w:r>
      <w:r w:rsidR="008F08D5" w:rsidRPr="00E47ECF">
        <w:rPr>
          <w:rFonts w:cs="Tahoma"/>
          <w:szCs w:val="18"/>
          <w:lang w:val="pt-BR"/>
        </w:rPr>
        <w:t> </w:t>
      </w:r>
      <w:r w:rsidRPr="00E47ECF">
        <w:rPr>
          <w:rFonts w:cs="Tahoma"/>
          <w:szCs w:val="18"/>
          <w:lang w:val="pt-BR"/>
        </w:rPr>
        <w:t>qualquer um dos seguintes:</w:t>
      </w:r>
    </w:p>
    <w:p w:rsidR="00C2130B" w:rsidRPr="00E47ECF" w:rsidRDefault="00C2130B" w:rsidP="00CA6122">
      <w:pPr>
        <w:ind w:left="900"/>
        <w:rPr>
          <w:lang w:val="pt-BR"/>
        </w:rPr>
      </w:pPr>
    </w:p>
    <w:p w:rsidR="00223A77" w:rsidRPr="00416070" w:rsidRDefault="00223A77" w:rsidP="00CA6122">
      <w:pPr>
        <w:numPr>
          <w:ilvl w:val="0"/>
          <w:numId w:val="9"/>
        </w:numPr>
        <w:spacing w:after="60"/>
        <w:ind w:left="1440"/>
      </w:pPr>
      <w:r w:rsidRPr="00416070">
        <w:rPr>
          <w:rFonts w:cs="Tahoma"/>
          <w:szCs w:val="18"/>
        </w:rPr>
        <w:t>Office Standard 2013</w:t>
      </w:r>
    </w:p>
    <w:p w:rsidR="00223A77" w:rsidRPr="00416070" w:rsidRDefault="00223A77" w:rsidP="00CA6122">
      <w:pPr>
        <w:numPr>
          <w:ilvl w:val="0"/>
          <w:numId w:val="9"/>
        </w:numPr>
        <w:spacing w:after="60"/>
        <w:ind w:left="1440"/>
      </w:pPr>
      <w:r w:rsidRPr="00416070">
        <w:rPr>
          <w:rFonts w:cs="Tahoma"/>
          <w:szCs w:val="18"/>
        </w:rPr>
        <w:t>Office Professional Plus 2013</w:t>
      </w:r>
    </w:p>
    <w:p w:rsidR="00223A77" w:rsidRPr="00416070" w:rsidRDefault="00223A77" w:rsidP="00CA6122">
      <w:pPr>
        <w:numPr>
          <w:ilvl w:val="0"/>
          <w:numId w:val="9"/>
        </w:numPr>
        <w:spacing w:after="60"/>
        <w:ind w:left="1440"/>
      </w:pPr>
      <w:r w:rsidRPr="00416070">
        <w:rPr>
          <w:rFonts w:cs="Tahoma"/>
          <w:szCs w:val="18"/>
        </w:rPr>
        <w:lastRenderedPageBreak/>
        <w:t>Project Standard 2013</w:t>
      </w:r>
    </w:p>
    <w:p w:rsidR="00223A77" w:rsidRPr="00416070" w:rsidRDefault="00223A77" w:rsidP="00CA6122">
      <w:pPr>
        <w:numPr>
          <w:ilvl w:val="0"/>
          <w:numId w:val="9"/>
        </w:numPr>
        <w:spacing w:after="60"/>
        <w:ind w:left="1440"/>
      </w:pPr>
      <w:r w:rsidRPr="00416070">
        <w:rPr>
          <w:rFonts w:cs="Tahoma"/>
          <w:szCs w:val="18"/>
        </w:rPr>
        <w:t>Project Professional 2013</w:t>
      </w:r>
    </w:p>
    <w:p w:rsidR="00223A77" w:rsidRPr="00416070" w:rsidRDefault="00223A77" w:rsidP="00CA6122">
      <w:pPr>
        <w:numPr>
          <w:ilvl w:val="0"/>
          <w:numId w:val="9"/>
        </w:numPr>
        <w:spacing w:after="60"/>
        <w:ind w:left="1440"/>
      </w:pPr>
      <w:r w:rsidRPr="00416070">
        <w:rPr>
          <w:rFonts w:cs="Tahoma"/>
          <w:szCs w:val="18"/>
        </w:rPr>
        <w:t>Visio Standard 2013</w:t>
      </w:r>
    </w:p>
    <w:p w:rsidR="00223A77" w:rsidRPr="00416070" w:rsidRDefault="00223A77" w:rsidP="00CA6122">
      <w:pPr>
        <w:numPr>
          <w:ilvl w:val="0"/>
          <w:numId w:val="9"/>
        </w:numPr>
        <w:spacing w:after="60"/>
        <w:ind w:left="1440"/>
      </w:pPr>
      <w:r w:rsidRPr="00416070">
        <w:rPr>
          <w:rFonts w:cs="Tahoma"/>
          <w:szCs w:val="18"/>
        </w:rPr>
        <w:t>Visio Professional 2013</w:t>
      </w:r>
    </w:p>
    <w:p w:rsidR="00223A77" w:rsidRPr="00416070" w:rsidRDefault="00223A77" w:rsidP="00CA6122">
      <w:pPr>
        <w:ind w:left="1260"/>
      </w:pPr>
    </w:p>
    <w:p w:rsidR="00223A77" w:rsidRPr="00E47ECF" w:rsidRDefault="00223A77" w:rsidP="00CA6122">
      <w:pPr>
        <w:ind w:left="720"/>
        <w:rPr>
          <w:lang w:val="pt-BR"/>
        </w:rPr>
      </w:pPr>
      <w:r w:rsidRPr="00E47ECF">
        <w:rPr>
          <w:rFonts w:cs="Tahoma"/>
          <w:szCs w:val="18"/>
          <w:lang w:val="pt-BR"/>
        </w:rPr>
        <w:t>estão qualificados a usar a versão em inglês/multilíngue de uma versão com downgrade do produto, em vez</w:t>
      </w:r>
      <w:r w:rsidR="008F08D5" w:rsidRPr="00E47ECF">
        <w:rPr>
          <w:rFonts w:cs="Tahoma"/>
          <w:szCs w:val="18"/>
          <w:lang w:val="pt-BR"/>
        </w:rPr>
        <w:t> </w:t>
      </w:r>
      <w:r w:rsidRPr="00E47ECF">
        <w:rPr>
          <w:rFonts w:cs="Tahoma"/>
          <w:szCs w:val="18"/>
          <w:lang w:val="pt-BR"/>
        </w:rPr>
        <w:t>da versão licenciada</w:t>
      </w:r>
      <w:r w:rsidRPr="00E47ECF">
        <w:rPr>
          <w:rFonts w:cs="Tahoma"/>
          <w:i/>
          <w:iCs/>
          <w:szCs w:val="18"/>
          <w:lang w:val="pt-BR"/>
        </w:rPr>
        <w:t>.</w:t>
      </w:r>
      <w:r w:rsidRPr="00E47ECF">
        <w:rPr>
          <w:rFonts w:cs="Tahoma"/>
          <w:szCs w:val="18"/>
          <w:lang w:val="pt-BR"/>
        </w:rPr>
        <w:t xml:space="preserve"> O uso da versão com downgrade do produto está sujeito aos direitos de uso da versão 2013 do produto. Esses direitos terminam quando os direitos dos clientes para o Pacote Multilíngue do Office 2013 ou um dos produtos da versão 2013 listados acima terminarem.</w:t>
      </w:r>
    </w:p>
    <w:p w:rsidR="00CA6122" w:rsidRPr="00416070" w:rsidRDefault="00CA6122">
      <w:pPr>
        <w:pStyle w:val="Heading3"/>
        <w:rPr>
          <w:rFonts w:ascii="Tahoma" w:hAnsi="Tahoma" w:cs="Tahoma"/>
          <w:sz w:val="18"/>
          <w:szCs w:val="18"/>
        </w:rPr>
      </w:pPr>
      <w:bookmarkStart w:id="1038" w:name="_Toc336338266"/>
      <w:bookmarkStart w:id="1039" w:name="Aps_9OffProPlus07forWin"/>
      <w:bookmarkStart w:id="1040" w:name="Aps_7OfficeProPlus2010"/>
      <w:bookmarkStart w:id="1041" w:name="Aps_6OfficeProPlus2010"/>
    </w:p>
    <w:p w:rsidR="00CA6122" w:rsidRPr="00416070" w:rsidRDefault="00CA6122">
      <w:pPr>
        <w:pStyle w:val="Heading3"/>
        <w:rPr>
          <w:rFonts w:ascii="Tahoma" w:hAnsi="Tahoma" w:cs="Tahoma"/>
          <w:sz w:val="18"/>
          <w:szCs w:val="18"/>
        </w:rPr>
      </w:pPr>
    </w:p>
    <w:p w:rsidR="00023FE7" w:rsidRPr="00416070" w:rsidRDefault="00B54C21">
      <w:pPr>
        <w:pStyle w:val="Heading3"/>
      </w:pPr>
      <w:bookmarkStart w:id="1042" w:name="_98_Office_Professional"/>
      <w:bookmarkStart w:id="1043" w:name="_Toc352234332"/>
      <w:bookmarkEnd w:id="1042"/>
      <w:r w:rsidRPr="00416070">
        <w:rPr>
          <w:rFonts w:ascii="Tahoma" w:hAnsi="Tahoma"/>
          <w:caps/>
          <w:color w:val="F66400"/>
          <w:sz w:val="22"/>
          <w:vertAlign w:val="superscript"/>
        </w:rPr>
        <w:t>8</w:t>
      </w:r>
      <w:r w:rsidRPr="00416070">
        <w:rPr>
          <w:rFonts w:ascii="Tahoma" w:hAnsi="Tahoma"/>
          <w:color w:val="F66400"/>
          <w:sz w:val="22"/>
        </w:rPr>
        <w:t xml:space="preserve"> Office Professional Plus </w:t>
      </w:r>
      <w:bookmarkEnd w:id="1038"/>
      <w:r w:rsidRPr="00416070">
        <w:rPr>
          <w:rFonts w:ascii="Tahoma" w:hAnsi="Tahoma"/>
          <w:color w:val="F66400"/>
          <w:sz w:val="22"/>
        </w:rPr>
        <w:t>2013</w:t>
      </w:r>
      <w:bookmarkEnd w:id="1043"/>
    </w:p>
    <w:bookmarkEnd w:id="1039"/>
    <w:bookmarkEnd w:id="1040"/>
    <w:bookmarkEnd w:id="1041"/>
    <w:p w:rsidR="00023FE7" w:rsidRPr="00416070" w:rsidRDefault="00023FE7" w:rsidP="00AE5A9F"/>
    <w:p w:rsidR="00223A77" w:rsidRPr="00416070" w:rsidRDefault="00223A77" w:rsidP="002C1048">
      <w:pPr>
        <w:pStyle w:val="EndnoteText"/>
        <w:numPr>
          <w:ilvl w:val="0"/>
          <w:numId w:val="140"/>
        </w:numPr>
        <w:ind w:left="1080"/>
      </w:pPr>
      <w:r w:rsidRPr="00416070">
        <w:rPr>
          <w:rFonts w:ascii="Tahoma" w:hAnsi="Tahoma" w:cs="Tahoma"/>
          <w:sz w:val="18"/>
          <w:szCs w:val="20"/>
        </w:rPr>
        <w:t xml:space="preserve">Licença WAH (Work at Home) disponível para Clientes Select </w:t>
      </w:r>
      <w:r w:rsidRPr="00416070">
        <w:rPr>
          <w:rFonts w:ascii="Tahoma" w:hAnsi="Tahoma" w:cs="Tahoma"/>
          <w:sz w:val="18"/>
          <w:szCs w:val="18"/>
        </w:rPr>
        <w:t>e Select Plus</w:t>
      </w:r>
      <w:r w:rsidRPr="00416070">
        <w:rPr>
          <w:rFonts w:ascii="Tahoma" w:hAnsi="Tahoma" w:cs="Tahoma"/>
          <w:sz w:val="18"/>
          <w:szCs w:val="20"/>
        </w:rPr>
        <w:t xml:space="preserve"> </w:t>
      </w:r>
    </w:p>
    <w:p w:rsidR="00223A77" w:rsidRPr="00416070" w:rsidRDefault="00223A77" w:rsidP="002C1048">
      <w:pPr>
        <w:pStyle w:val="EndnoteText"/>
        <w:numPr>
          <w:ilvl w:val="0"/>
          <w:numId w:val="140"/>
        </w:numPr>
        <w:ind w:left="1080"/>
      </w:pPr>
      <w:r w:rsidRPr="00416070">
        <w:rPr>
          <w:rFonts w:ascii="Tahoma" w:hAnsi="Tahoma" w:cs="Tahoma"/>
          <w:sz w:val="18"/>
          <w:szCs w:val="20"/>
        </w:rPr>
        <w:t>Licença WAH (Work at Home) disponível para Clientes do Contrato Enterprise</w:t>
      </w:r>
    </w:p>
    <w:p w:rsidR="00223A77" w:rsidRPr="00E47ECF" w:rsidRDefault="00223A77" w:rsidP="00D16C5F">
      <w:pPr>
        <w:pStyle w:val="FootnoteBulletLevel1"/>
        <w:tabs>
          <w:tab w:val="clear" w:pos="900"/>
        </w:tabs>
        <w:spacing w:before="0" w:after="0"/>
        <w:ind w:left="720" w:firstLine="0"/>
        <w:rPr>
          <w:rFonts w:ascii="Tahoma" w:hAnsi="Tahoma" w:cs="Tahoma"/>
          <w:sz w:val="18"/>
          <w:szCs w:val="18"/>
          <w:lang w:val="pt-BR"/>
        </w:rPr>
      </w:pPr>
    </w:p>
    <w:p w:rsidR="00864B8A" w:rsidRPr="00E47ECF" w:rsidRDefault="00223A77" w:rsidP="00864B8A">
      <w:pPr>
        <w:spacing w:after="60"/>
        <w:ind w:left="720"/>
        <w:rPr>
          <w:lang w:val="pt-BR"/>
        </w:rPr>
      </w:pPr>
      <w:r w:rsidRPr="00E47ECF">
        <w:rPr>
          <w:rFonts w:cs="Tahoma"/>
          <w:b/>
          <w:lang w:val="pt-BR"/>
        </w:rPr>
        <w:t>Office Professional Plus 2013</w:t>
      </w:r>
    </w:p>
    <w:p w:rsidR="00223A77" w:rsidRPr="00E47ECF" w:rsidRDefault="00223A77" w:rsidP="00864B8A">
      <w:pPr>
        <w:spacing w:after="60"/>
        <w:ind w:left="720"/>
        <w:rPr>
          <w:lang w:val="pt-BR"/>
        </w:rPr>
      </w:pPr>
      <w:r w:rsidRPr="00E47ECF">
        <w:rPr>
          <w:rFonts w:cs="Tahoma"/>
          <w:lang w:val="pt-BR"/>
        </w:rPr>
        <w:t>A Licença para Office Professional Plus 2013 consiste no seguinte: Access 2013, Lync 2013, Excel 2013,</w:t>
      </w:r>
      <w:r w:rsidR="00FB5496" w:rsidRPr="00E47ECF">
        <w:rPr>
          <w:rFonts w:cs="Tahoma"/>
          <w:lang w:val="pt-BR"/>
        </w:rPr>
        <w:t xml:space="preserve"> </w:t>
      </w:r>
      <w:r w:rsidRPr="00E47ECF">
        <w:rPr>
          <w:rFonts w:cs="Tahoma"/>
          <w:lang w:val="pt-BR"/>
        </w:rPr>
        <w:t xml:space="preserve">InfoPath 2013, OneNote 2013, Outlook 2013, Office Home and Student RT 2013 – Uso Comercial, </w:t>
      </w:r>
      <w:r w:rsidR="007009C5" w:rsidRPr="00E47ECF">
        <w:rPr>
          <w:rFonts w:cs="Tahoma"/>
          <w:lang w:val="pt-BR"/>
        </w:rPr>
        <w:br/>
      </w:r>
      <w:r w:rsidRPr="00E47ECF">
        <w:rPr>
          <w:rFonts w:cs="Tahoma"/>
          <w:lang w:val="pt-BR"/>
        </w:rPr>
        <w:t>Office Web Apps, PowerPoint 2013, Publisher 2013 e Word 2013.</w:t>
      </w:r>
    </w:p>
    <w:p w:rsidR="00973A93" w:rsidRPr="00E47ECF" w:rsidRDefault="00973A93">
      <w:pPr>
        <w:rPr>
          <w:lang w:val="pt-BR"/>
        </w:rPr>
      </w:pPr>
    </w:p>
    <w:p w:rsidR="00223A77" w:rsidRPr="00E47ECF" w:rsidRDefault="00223A77" w:rsidP="00864B8A">
      <w:pPr>
        <w:spacing w:after="60"/>
        <w:ind w:left="720"/>
        <w:rPr>
          <w:lang w:val="pt-BR"/>
        </w:rPr>
      </w:pPr>
      <w:r w:rsidRPr="00E47ECF">
        <w:rPr>
          <w:rFonts w:cs="Tahoma"/>
          <w:b/>
          <w:lang w:val="pt-BR"/>
        </w:rPr>
        <w:t>Incapacidade de Separar o Office Professional Plus 2013</w:t>
      </w:r>
    </w:p>
    <w:p w:rsidR="00223A77" w:rsidRPr="00E47ECF" w:rsidRDefault="00223A77" w:rsidP="00D16C5F">
      <w:pPr>
        <w:pStyle w:val="FootnoteBulletLevel1"/>
        <w:tabs>
          <w:tab w:val="clear" w:pos="900"/>
        </w:tabs>
        <w:spacing w:before="0" w:after="0"/>
        <w:ind w:left="720" w:firstLine="0"/>
        <w:rPr>
          <w:lang w:val="pt-BR"/>
        </w:rPr>
      </w:pPr>
      <w:r w:rsidRPr="00E47ECF">
        <w:rPr>
          <w:rFonts w:ascii="Tahoma" w:hAnsi="Tahoma" w:cs="Tahoma"/>
          <w:sz w:val="18"/>
          <w:lang w:val="pt-BR"/>
        </w:rPr>
        <w:t>O Microsoft Office Professional Plus 2013 consiste em mais de um produto oferecido sob uma única licença. O software não deverá ser separado para uso em mais de um computador.</w:t>
      </w:r>
    </w:p>
    <w:p w:rsidR="00952A87" w:rsidRPr="00E47ECF" w:rsidRDefault="00952A87" w:rsidP="00D16C5F">
      <w:pPr>
        <w:ind w:left="720"/>
        <w:rPr>
          <w:lang w:val="pt-BR"/>
        </w:rPr>
      </w:pPr>
    </w:p>
    <w:p w:rsidR="00952A87" w:rsidRPr="00E47ECF" w:rsidRDefault="00952A87" w:rsidP="00864B8A">
      <w:pPr>
        <w:spacing w:after="60"/>
        <w:ind w:left="720"/>
        <w:rPr>
          <w:lang w:val="pt-BR"/>
        </w:rPr>
      </w:pPr>
      <w:r w:rsidRPr="00E47ECF">
        <w:rPr>
          <w:rFonts w:cs="Tahoma"/>
          <w:b/>
          <w:lang w:val="pt-BR"/>
        </w:rPr>
        <w:t>Contrato para Campus e School</w:t>
      </w:r>
    </w:p>
    <w:p w:rsidR="00001A9A" w:rsidRPr="00E47ECF" w:rsidRDefault="00952A87" w:rsidP="00D16C5F">
      <w:pPr>
        <w:ind w:left="720"/>
        <w:rPr>
          <w:lang w:val="pt-BR"/>
        </w:rPr>
      </w:pPr>
      <w:r w:rsidRPr="00E47ECF">
        <w:rPr>
          <w:rFonts w:eastAsia="Calibri" w:cs="Tahoma"/>
          <w:iCs/>
          <w:color w:val="000000"/>
          <w:szCs w:val="18"/>
          <w:lang w:val="pt-BR"/>
        </w:rPr>
        <w:t>As Instituições com USL de Assinatura do Office Professional Plus atribuídas a todo o corpo docente e funcionários poderão instalar o software Office Professional Plus 2013 em qualquer laboratório de acesso aberto ou biblioteca da Organização da Instituição.</w:t>
      </w:r>
      <w:r w:rsidR="00FB5496" w:rsidRPr="00E47ECF">
        <w:rPr>
          <w:rFonts w:eastAsia="Calibri" w:cs="Tahoma"/>
          <w:iCs/>
          <w:color w:val="000000"/>
          <w:szCs w:val="18"/>
          <w:lang w:val="pt-BR"/>
        </w:rPr>
        <w:t xml:space="preserve"> </w:t>
      </w:r>
      <w:r w:rsidRPr="00E47ECF">
        <w:rPr>
          <w:rFonts w:eastAsia="Calibri" w:cs="Tahoma"/>
          <w:iCs/>
          <w:color w:val="000000"/>
          <w:szCs w:val="18"/>
          <w:lang w:val="pt-BR"/>
        </w:rPr>
        <w:t>O uso do software está sujeito aos termos de licença para o Office Pro Plus 2013.</w:t>
      </w:r>
    </w:p>
    <w:p w:rsidR="00952A87" w:rsidRPr="00E47ECF" w:rsidRDefault="00952A87" w:rsidP="00D16C5F">
      <w:pPr>
        <w:rPr>
          <w:lang w:val="pt-BR"/>
        </w:rPr>
      </w:pPr>
    </w:p>
    <w:p w:rsidR="00133069" w:rsidRPr="00E47ECF" w:rsidRDefault="00133069" w:rsidP="00133069">
      <w:pPr>
        <w:rPr>
          <w:lang w:val="pt-BR"/>
        </w:rPr>
      </w:pPr>
    </w:p>
    <w:p w:rsidR="00223A77" w:rsidRPr="00416070" w:rsidRDefault="00B54C21" w:rsidP="00223A77">
      <w:pPr>
        <w:pStyle w:val="Heading3"/>
      </w:pPr>
      <w:bookmarkStart w:id="1044" w:name="_109_Office_Standard"/>
      <w:bookmarkStart w:id="1045" w:name="Aps_OfficeStandard2010"/>
      <w:bookmarkStart w:id="1046" w:name="_Toc254806115"/>
      <w:bookmarkStart w:id="1047" w:name="_Toc328146032"/>
      <w:bookmarkStart w:id="1048" w:name="_Toc352234333"/>
      <w:bookmarkStart w:id="1049" w:name="Aps_7OfficeStandard2010"/>
      <w:bookmarkStart w:id="1050" w:name="_Toc336338268"/>
      <w:bookmarkEnd w:id="1044"/>
      <w:r w:rsidRPr="00416070">
        <w:rPr>
          <w:rFonts w:ascii="Tahoma" w:hAnsi="Tahoma"/>
          <w:caps/>
          <w:color w:val="F66400"/>
          <w:sz w:val="22"/>
          <w:vertAlign w:val="superscript"/>
        </w:rPr>
        <w:t>9</w:t>
      </w:r>
      <w:r w:rsidRPr="00416070">
        <w:rPr>
          <w:rFonts w:ascii="Tahoma" w:hAnsi="Tahoma"/>
          <w:color w:val="F66400"/>
          <w:sz w:val="22"/>
        </w:rPr>
        <w:t xml:space="preserve"> Office Standard </w:t>
      </w:r>
      <w:bookmarkEnd w:id="1045"/>
      <w:bookmarkEnd w:id="1046"/>
      <w:bookmarkEnd w:id="1047"/>
      <w:r w:rsidRPr="00416070">
        <w:rPr>
          <w:rFonts w:ascii="Tahoma" w:hAnsi="Tahoma"/>
          <w:color w:val="F66400"/>
          <w:sz w:val="22"/>
        </w:rPr>
        <w:t>2013</w:t>
      </w:r>
      <w:bookmarkEnd w:id="1048"/>
    </w:p>
    <w:bookmarkEnd w:id="1049"/>
    <w:p w:rsidR="00223A77" w:rsidRPr="00416070" w:rsidRDefault="00223A77" w:rsidP="00AE5A9F"/>
    <w:p w:rsidR="00223A77" w:rsidRPr="00416070" w:rsidRDefault="00223A77" w:rsidP="002C1048">
      <w:pPr>
        <w:pStyle w:val="EndnoteText"/>
        <w:numPr>
          <w:ilvl w:val="3"/>
          <w:numId w:val="99"/>
        </w:numPr>
        <w:ind w:left="990"/>
      </w:pPr>
      <w:r w:rsidRPr="00416070">
        <w:rPr>
          <w:rFonts w:ascii="Tahoma" w:hAnsi="Tahoma" w:cs="Tahoma"/>
          <w:sz w:val="18"/>
          <w:szCs w:val="20"/>
        </w:rPr>
        <w:t>Licença WAH (Work at Home)</w:t>
      </w:r>
      <w:r w:rsidRPr="00416070">
        <w:rPr>
          <w:rFonts w:ascii="Tahoma" w:hAnsi="Tahoma" w:cs="Tahoma"/>
          <w:sz w:val="18"/>
        </w:rPr>
        <w:t xml:space="preserve"> disponível para Clientes Select </w:t>
      </w:r>
      <w:r w:rsidRPr="00416070">
        <w:rPr>
          <w:rFonts w:ascii="Tahoma" w:hAnsi="Tahoma" w:cs="Tahoma"/>
        </w:rPr>
        <w:t>e Select Plus</w:t>
      </w:r>
      <w:r w:rsidRPr="00416070">
        <w:rPr>
          <w:rFonts w:ascii="Tahoma" w:hAnsi="Tahoma" w:cs="Tahoma"/>
          <w:sz w:val="18"/>
        </w:rPr>
        <w:t xml:space="preserve"> </w:t>
      </w:r>
    </w:p>
    <w:p w:rsidR="00223A77" w:rsidRPr="00416070" w:rsidRDefault="00223A77" w:rsidP="002C1048">
      <w:pPr>
        <w:pStyle w:val="EndnoteText"/>
        <w:numPr>
          <w:ilvl w:val="3"/>
          <w:numId w:val="99"/>
        </w:numPr>
        <w:ind w:left="990"/>
      </w:pPr>
      <w:r w:rsidRPr="00416070">
        <w:rPr>
          <w:rFonts w:ascii="Tahoma" w:hAnsi="Tahoma" w:cs="Tahoma"/>
          <w:sz w:val="18"/>
        </w:rPr>
        <w:t>Licença WAH (Work at Home) disponível para Clientes do Contrato Enterprise</w:t>
      </w:r>
    </w:p>
    <w:p w:rsidR="00223A77" w:rsidRPr="00E47ECF" w:rsidRDefault="00223A77" w:rsidP="00DF0E39">
      <w:pPr>
        <w:pStyle w:val="FootnoteBulletLevel1"/>
        <w:tabs>
          <w:tab w:val="clear" w:pos="900"/>
        </w:tabs>
        <w:spacing w:before="0" w:after="0"/>
        <w:ind w:left="720" w:firstLine="0"/>
        <w:rPr>
          <w:rFonts w:ascii="Tahoma" w:hAnsi="Tahoma" w:cs="Tahoma"/>
          <w:sz w:val="18"/>
          <w:szCs w:val="18"/>
          <w:lang w:val="pt-BR"/>
        </w:rPr>
      </w:pPr>
    </w:p>
    <w:p w:rsidR="00864B8A" w:rsidRPr="00416070" w:rsidRDefault="00223A77" w:rsidP="00864B8A">
      <w:pPr>
        <w:spacing w:after="60"/>
        <w:ind w:left="720"/>
      </w:pPr>
      <w:r w:rsidRPr="00416070">
        <w:rPr>
          <w:rFonts w:cs="Tahoma"/>
          <w:b/>
        </w:rPr>
        <w:t>Office Standard 2013</w:t>
      </w:r>
    </w:p>
    <w:p w:rsidR="00223A77" w:rsidRPr="00416070" w:rsidRDefault="00223A77" w:rsidP="00DF0E39">
      <w:pPr>
        <w:pStyle w:val="FootnoteBulletLevel1"/>
        <w:tabs>
          <w:tab w:val="clear" w:pos="900"/>
        </w:tabs>
        <w:spacing w:before="0" w:after="0"/>
        <w:ind w:left="720" w:firstLine="0"/>
        <w:rPr>
          <w:rFonts w:ascii="Tahoma" w:hAnsi="Tahoma" w:cs="Tahoma"/>
          <w:sz w:val="18"/>
          <w:szCs w:val="18"/>
        </w:rPr>
      </w:pPr>
      <w:r w:rsidRPr="00416070">
        <w:rPr>
          <w:rFonts w:ascii="Tahoma" w:hAnsi="Tahoma" w:cs="Tahoma"/>
          <w:sz w:val="18"/>
          <w:szCs w:val="18"/>
        </w:rPr>
        <w:t>A Licença do Office Standard 2013 consiste no seguinte: Excel 2013, OneNote 2013, Outlook 2013, Office</w:t>
      </w:r>
      <w:r w:rsidR="008F08D5" w:rsidRPr="00416070">
        <w:rPr>
          <w:rFonts w:ascii="Tahoma" w:hAnsi="Tahoma" w:cs="Tahoma"/>
          <w:sz w:val="18"/>
          <w:szCs w:val="18"/>
        </w:rPr>
        <w:t> </w:t>
      </w:r>
      <w:r w:rsidRPr="00416070">
        <w:rPr>
          <w:rFonts w:ascii="Tahoma" w:hAnsi="Tahoma" w:cs="Tahoma"/>
          <w:sz w:val="18"/>
          <w:szCs w:val="18"/>
        </w:rPr>
        <w:t>Home and Student RT 2013 – Uso Comercial, Office Web Apps, PowerPoint 2013, Publisher 2013 e</w:t>
      </w:r>
      <w:r w:rsidR="008F08D5" w:rsidRPr="00416070">
        <w:rPr>
          <w:rFonts w:ascii="Tahoma" w:hAnsi="Tahoma" w:cs="Tahoma"/>
          <w:sz w:val="18"/>
          <w:szCs w:val="18"/>
        </w:rPr>
        <w:t> </w:t>
      </w:r>
      <w:r w:rsidRPr="00416070">
        <w:rPr>
          <w:rFonts w:ascii="Tahoma" w:hAnsi="Tahoma" w:cs="Tahoma"/>
          <w:sz w:val="18"/>
          <w:szCs w:val="18"/>
        </w:rPr>
        <w:t>Word 2013.</w:t>
      </w:r>
    </w:p>
    <w:p w:rsidR="00DF0E39" w:rsidRPr="00416070" w:rsidRDefault="00DF0E39" w:rsidP="00DF0E39">
      <w:pPr>
        <w:pStyle w:val="FootnoteBulletLevel1"/>
        <w:tabs>
          <w:tab w:val="clear" w:pos="900"/>
        </w:tabs>
        <w:spacing w:before="0" w:after="0"/>
        <w:ind w:left="720" w:firstLine="0"/>
        <w:rPr>
          <w:rFonts w:ascii="Tahoma" w:hAnsi="Tahoma" w:cs="Tahoma"/>
          <w:sz w:val="18"/>
          <w:szCs w:val="18"/>
        </w:rPr>
      </w:pPr>
    </w:p>
    <w:p w:rsidR="00864B8A" w:rsidRPr="00E47ECF" w:rsidRDefault="00223A77" w:rsidP="00864B8A">
      <w:pPr>
        <w:spacing w:after="60"/>
        <w:ind w:left="720"/>
        <w:rPr>
          <w:lang w:val="pt-BR"/>
        </w:rPr>
      </w:pPr>
      <w:r w:rsidRPr="00E47ECF">
        <w:rPr>
          <w:rFonts w:cs="Tahoma"/>
          <w:b/>
          <w:lang w:val="pt-BR"/>
        </w:rPr>
        <w:t>Incapacidade de Separar o Microsoft Office Standard 2013</w:t>
      </w:r>
    </w:p>
    <w:p w:rsidR="00223A77" w:rsidRPr="00E47ECF" w:rsidRDefault="00223A77" w:rsidP="002F39A5">
      <w:pPr>
        <w:spacing w:after="60"/>
        <w:ind w:left="720"/>
        <w:rPr>
          <w:lang w:val="pt-BR"/>
        </w:rPr>
      </w:pPr>
      <w:r w:rsidRPr="00E47ECF">
        <w:rPr>
          <w:rFonts w:cs="Tahoma"/>
          <w:lang w:val="pt-BR"/>
        </w:rPr>
        <w:t>O Office Standard 2013 consiste em mais de um produto oferecido sob uma única licença. O software não deverá ser separado para uso em mais de um computador.</w:t>
      </w:r>
    </w:p>
    <w:p w:rsidR="002F39A5" w:rsidRPr="00E47ECF" w:rsidRDefault="002F39A5" w:rsidP="002F39A5">
      <w:pPr>
        <w:rPr>
          <w:lang w:val="pt-BR"/>
        </w:rPr>
      </w:pPr>
    </w:p>
    <w:p w:rsidR="002F39A5" w:rsidRPr="00E47ECF" w:rsidRDefault="002F39A5" w:rsidP="002F39A5">
      <w:pPr>
        <w:rPr>
          <w:lang w:val="pt-BR"/>
        </w:rPr>
      </w:pPr>
    </w:p>
    <w:p w:rsidR="00B2182D" w:rsidRPr="00416070" w:rsidRDefault="00B26237" w:rsidP="00461CA9">
      <w:pPr>
        <w:pStyle w:val="Heading3"/>
      </w:pPr>
      <w:bookmarkStart w:id="1051" w:name="_110_Office_365"/>
      <w:bookmarkStart w:id="1052" w:name="_Toc352234334"/>
      <w:bookmarkStart w:id="1053" w:name="Aps_9OfficeProPlusSubUserSL"/>
      <w:bookmarkEnd w:id="1051"/>
      <w:r w:rsidRPr="00416070">
        <w:rPr>
          <w:rFonts w:ascii="Tahoma" w:hAnsi="Tahoma" w:cs="Tahoma"/>
          <w:caps/>
          <w:color w:val="F26200"/>
          <w:sz w:val="22"/>
          <w:vertAlign w:val="superscript"/>
        </w:rPr>
        <w:t>10</w:t>
      </w:r>
      <w:r w:rsidRPr="00416070">
        <w:rPr>
          <w:rFonts w:ascii="Tahoma" w:hAnsi="Tahoma" w:cs="Tahoma"/>
          <w:color w:val="F26200"/>
          <w:sz w:val="22"/>
        </w:rPr>
        <w:t xml:space="preserve"> Office 365 ProPlus (SL de Usuário)</w:t>
      </w:r>
      <w:bookmarkEnd w:id="1050"/>
      <w:bookmarkEnd w:id="1052"/>
    </w:p>
    <w:bookmarkEnd w:id="1053"/>
    <w:p w:rsidR="00B2182D" w:rsidRPr="00E47ECF" w:rsidRDefault="00B2182D" w:rsidP="00AE5A9F">
      <w:pPr>
        <w:rPr>
          <w:lang w:val="pt-BR"/>
        </w:rPr>
      </w:pPr>
    </w:p>
    <w:p w:rsidR="003418C5" w:rsidRPr="00E47ECF" w:rsidRDefault="003418C5" w:rsidP="003418C5">
      <w:pPr>
        <w:spacing w:after="60"/>
        <w:ind w:left="720"/>
        <w:rPr>
          <w:lang w:val="pt-BR"/>
        </w:rPr>
      </w:pPr>
      <w:r w:rsidRPr="00E47ECF">
        <w:rPr>
          <w:b/>
          <w:bCs/>
          <w:lang w:val="pt-BR"/>
        </w:rPr>
        <w:t>Qualificação para Compra</w:t>
      </w:r>
    </w:p>
    <w:p w:rsidR="003418C5" w:rsidRPr="00E47ECF" w:rsidRDefault="003418C5" w:rsidP="003418C5">
      <w:pPr>
        <w:ind w:left="720"/>
        <w:rPr>
          <w:lang w:val="pt-BR"/>
        </w:rPr>
      </w:pPr>
      <w:r w:rsidRPr="00E47ECF">
        <w:rPr>
          <w:lang w:val="pt-BR"/>
        </w:rPr>
        <w:t>Você só poderá comprar a licença de Transição de SA do Office 365 ProPlus se você tiver uma licença de</w:t>
      </w:r>
      <w:r w:rsidR="007009C5" w:rsidRPr="00E47ECF">
        <w:rPr>
          <w:lang w:val="pt-BR"/>
        </w:rPr>
        <w:t> </w:t>
      </w:r>
      <w:r w:rsidRPr="00E47ECF">
        <w:rPr>
          <w:lang w:val="pt-BR"/>
        </w:rPr>
        <w:t xml:space="preserve">Software Assurance do Office Professional Plus subjacente em um Contrato Enterprise ativo. </w:t>
      </w:r>
    </w:p>
    <w:p w:rsidR="003418C5" w:rsidRPr="00E47ECF" w:rsidRDefault="003418C5" w:rsidP="00864B8A">
      <w:pPr>
        <w:spacing w:after="60"/>
        <w:ind w:left="720"/>
        <w:rPr>
          <w:lang w:val="pt-BR"/>
        </w:rPr>
      </w:pPr>
    </w:p>
    <w:p w:rsidR="007009C5" w:rsidRPr="00E47ECF" w:rsidRDefault="007009C5" w:rsidP="00864B8A">
      <w:pPr>
        <w:spacing w:after="60"/>
        <w:ind w:left="720"/>
        <w:rPr>
          <w:lang w:val="pt-BR"/>
        </w:rPr>
      </w:pPr>
    </w:p>
    <w:p w:rsidR="005C647E" w:rsidRPr="00E47ECF" w:rsidRDefault="005C647E" w:rsidP="00864B8A">
      <w:pPr>
        <w:spacing w:after="60"/>
        <w:ind w:left="720"/>
        <w:rPr>
          <w:lang w:val="pt-BR"/>
        </w:rPr>
      </w:pPr>
      <w:r w:rsidRPr="00E47ECF">
        <w:rPr>
          <w:rFonts w:cs="Tahoma"/>
          <w:b/>
          <w:lang w:val="pt-BR"/>
        </w:rPr>
        <w:lastRenderedPageBreak/>
        <w:t>Campus e School</w:t>
      </w:r>
    </w:p>
    <w:p w:rsidR="005C647E" w:rsidRPr="00E47ECF" w:rsidRDefault="005C647E" w:rsidP="00810479">
      <w:pPr>
        <w:ind w:left="720"/>
        <w:rPr>
          <w:lang w:val="pt-BR"/>
        </w:rPr>
      </w:pPr>
      <w:r w:rsidRPr="00E47ECF">
        <w:rPr>
          <w:color w:val="000000"/>
          <w:lang w:val="pt-BR"/>
        </w:rPr>
        <w:t>Se a Instituição se inscrever no Office Professional Plus Subscription, ela deverá adquirir uma licença para cada Usuário Qualificado na organização da Instituição. Se a Instituição se inscrever na opção Student no Office Professional Plus Subscription, ela deverá adquirir uma licença para cada Aluno na Organização.</w:t>
      </w:r>
    </w:p>
    <w:p w:rsidR="005C647E" w:rsidRPr="00E47ECF" w:rsidRDefault="005C647E" w:rsidP="00810479">
      <w:pPr>
        <w:ind w:left="720"/>
        <w:rPr>
          <w:lang w:val="pt-BR"/>
        </w:rPr>
      </w:pPr>
    </w:p>
    <w:p w:rsidR="008368B4" w:rsidRPr="00E47ECF" w:rsidRDefault="008368B4" w:rsidP="008368B4">
      <w:pPr>
        <w:ind w:left="720"/>
        <w:rPr>
          <w:lang w:val="pt-BR"/>
        </w:rPr>
      </w:pPr>
      <w:r w:rsidRPr="00E47ECF">
        <w:rPr>
          <w:rFonts w:cs="Tahoma"/>
          <w:b/>
          <w:bCs/>
          <w:szCs w:val="18"/>
          <w:lang w:val="pt-BR"/>
        </w:rPr>
        <w:t>Uso do Office Professional Plus 2010 ou Office para Mac Standard 2011</w:t>
      </w:r>
    </w:p>
    <w:p w:rsidR="008368B4" w:rsidRPr="00E47ECF" w:rsidRDefault="008368B4" w:rsidP="008368B4">
      <w:pPr>
        <w:ind w:left="720"/>
        <w:rPr>
          <w:lang w:val="pt-BR"/>
        </w:rPr>
      </w:pPr>
      <w:r w:rsidRPr="00E47ECF">
        <w:rPr>
          <w:rFonts w:cs="Tahoma"/>
          <w:bCs/>
          <w:szCs w:val="18"/>
          <w:lang w:val="pt-BR"/>
        </w:rPr>
        <w:t>Com o lançamento do serviço atualizado para Office 365 ProPlus, seu direito de qualificação de mídia de usar o Office Professional Plus 2010 ou Office para Mac Standard 2011 em vez do Office 365 ProPlus de acordo com as assinaturas ativas foi descontinuado. Você tem um ano, até 28 de fevereiro de</w:t>
      </w:r>
      <w:r w:rsidR="00FB5496" w:rsidRPr="00E47ECF">
        <w:rPr>
          <w:rFonts w:cs="Tahoma"/>
          <w:bCs/>
          <w:szCs w:val="18"/>
          <w:lang w:val="pt-BR"/>
        </w:rPr>
        <w:t xml:space="preserve"> </w:t>
      </w:r>
      <w:r w:rsidRPr="00E47ECF">
        <w:rPr>
          <w:rFonts w:cs="Tahoma"/>
          <w:bCs/>
          <w:szCs w:val="18"/>
          <w:lang w:val="pt-BR"/>
        </w:rPr>
        <w:t>2014 para atualizar seus dispositivos para a mídia Office 365 ProPlus.</w:t>
      </w:r>
    </w:p>
    <w:p w:rsidR="008368B4" w:rsidRPr="00E47ECF" w:rsidRDefault="008368B4" w:rsidP="008368B4">
      <w:pPr>
        <w:ind w:left="720"/>
        <w:rPr>
          <w:lang w:val="pt-BR"/>
        </w:rPr>
      </w:pPr>
    </w:p>
    <w:p w:rsidR="008368B4" w:rsidRPr="00E47ECF" w:rsidRDefault="008368B4" w:rsidP="008368B4">
      <w:pPr>
        <w:spacing w:after="60"/>
        <w:ind w:left="720"/>
        <w:rPr>
          <w:lang w:val="pt-BR"/>
        </w:rPr>
      </w:pPr>
      <w:r w:rsidRPr="00E47ECF">
        <w:rPr>
          <w:rFonts w:cs="Tahoma"/>
          <w:b/>
          <w:lang w:val="pt-BR"/>
        </w:rPr>
        <w:t>Qualificação de Mídia com Serviços de Área de Trabalho Remota (RDS)</w:t>
      </w:r>
    </w:p>
    <w:p w:rsidR="008368B4" w:rsidRPr="00E47ECF" w:rsidRDefault="008368B4" w:rsidP="008368B4">
      <w:pPr>
        <w:ind w:left="720"/>
        <w:rPr>
          <w:lang w:val="pt-BR"/>
        </w:rPr>
      </w:pPr>
      <w:r w:rsidRPr="00E47ECF">
        <w:rPr>
          <w:rFonts w:cs="Tahoma"/>
          <w:szCs w:val="18"/>
          <w:lang w:val="pt-BR"/>
        </w:rPr>
        <w:t>Se o usuário para o qual você atribuiu uma licença do Office 365 ProPlus usar o software em um servidor de</w:t>
      </w:r>
      <w:r w:rsidR="00EC03AC" w:rsidRPr="00E47ECF">
        <w:rPr>
          <w:rFonts w:cs="Tahoma"/>
          <w:szCs w:val="18"/>
          <w:lang w:val="pt-BR"/>
        </w:rPr>
        <w:t> </w:t>
      </w:r>
      <w:r w:rsidRPr="00E47ECF">
        <w:rPr>
          <w:rFonts w:cs="Tahoma"/>
          <w:szCs w:val="18"/>
          <w:lang w:val="pt-BR"/>
        </w:rPr>
        <w:t>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FB5496" w:rsidRPr="00E47ECF">
        <w:rPr>
          <w:rFonts w:cs="Tahoma"/>
          <w:szCs w:val="18"/>
          <w:lang w:val="pt-BR"/>
        </w:rPr>
        <w:t xml:space="preserve"> </w:t>
      </w:r>
      <w:r w:rsidRPr="00E47ECF">
        <w:rPr>
          <w:rFonts w:cs="Tahoma"/>
          <w:szCs w:val="18"/>
          <w:lang w:val="pt-BR"/>
        </w:rPr>
        <w:t>Mediante o</w:t>
      </w:r>
      <w:r w:rsidR="00EC03AC" w:rsidRPr="00E47ECF">
        <w:rPr>
          <w:rFonts w:cs="Tahoma"/>
          <w:szCs w:val="18"/>
          <w:lang w:val="pt-BR"/>
        </w:rPr>
        <w:t> </w:t>
      </w:r>
      <w:r w:rsidRPr="00E47ECF">
        <w:rPr>
          <w:rFonts w:cs="Tahoma"/>
          <w:szCs w:val="18"/>
          <w:lang w:val="pt-BR"/>
        </w:rPr>
        <w:t>término da sua assinatura do Office 365 ProPlus, você deverá desinstalar o software Office Professional</w:t>
      </w:r>
      <w:r w:rsidR="007E2720" w:rsidRPr="00E47ECF">
        <w:rPr>
          <w:rFonts w:cs="Tahoma"/>
          <w:szCs w:val="18"/>
          <w:lang w:val="pt-BR"/>
        </w:rPr>
        <w:t xml:space="preserve"> Plus 2013 do servidor de rede.</w:t>
      </w:r>
    </w:p>
    <w:p w:rsidR="00B2182D" w:rsidRPr="00E47ECF" w:rsidRDefault="00B2182D" w:rsidP="00810479">
      <w:pPr>
        <w:ind w:left="720"/>
        <w:rPr>
          <w:lang w:val="pt-BR"/>
        </w:rPr>
      </w:pPr>
    </w:p>
    <w:p w:rsidR="00ED6F81" w:rsidRPr="00E47ECF" w:rsidRDefault="00ED6F81" w:rsidP="00864B8A">
      <w:pPr>
        <w:spacing w:after="60"/>
        <w:ind w:left="720"/>
        <w:rPr>
          <w:lang w:val="pt-BR"/>
        </w:rPr>
      </w:pPr>
      <w:r w:rsidRPr="00E47ECF">
        <w:rPr>
          <w:rFonts w:cs="Tahoma"/>
          <w:b/>
          <w:lang w:val="pt-BR"/>
        </w:rPr>
        <w:t>Qualificação de Mídias com o Windows To Go Rights</w:t>
      </w:r>
    </w:p>
    <w:p w:rsidR="008368B4" w:rsidRPr="00E47ECF" w:rsidRDefault="008368B4" w:rsidP="008368B4">
      <w:pPr>
        <w:ind w:left="720"/>
        <w:rPr>
          <w:lang w:val="pt-BR"/>
        </w:rPr>
      </w:pPr>
      <w:r w:rsidRPr="00E47ECF">
        <w:rPr>
          <w:lang w:val="pt-BR"/>
        </w:rPr>
        <w:t>C</w:t>
      </w:r>
      <w:r w:rsidRPr="00E47ECF">
        <w:rPr>
          <w:rFonts w:cs="Tahoma"/>
          <w:szCs w:val="18"/>
          <w:lang w:val="pt-BR"/>
        </w:rPr>
        <w:t>omo parte da introdução ao Windows To Go Rights, se o usuário ao qual você atribuiu uma licença do</w:t>
      </w:r>
      <w:r w:rsidR="00EC03AC" w:rsidRPr="00E47ECF">
        <w:rPr>
          <w:rFonts w:cs="Tahoma"/>
          <w:szCs w:val="18"/>
          <w:lang w:val="pt-BR"/>
        </w:rPr>
        <w:t> </w:t>
      </w:r>
      <w:r w:rsidRPr="00E47ECF">
        <w:rPr>
          <w:rFonts w:cs="Tahoma"/>
          <w:szCs w:val="18"/>
          <w:lang w:val="pt-BR"/>
        </w:rPr>
        <w:t>Office 365 ProPlus invocar o direito de usar o software sob o Windows to Go Rights, em vez de instalar</w:t>
      </w:r>
      <w:r w:rsidR="00EC03AC" w:rsidRPr="00E47ECF">
        <w:rPr>
          <w:rFonts w:cs="Tahoma"/>
          <w:szCs w:val="18"/>
          <w:lang w:val="pt-BR"/>
        </w:rPr>
        <w:t> </w:t>
      </w:r>
      <w:r w:rsidRPr="00E47ECF">
        <w:rPr>
          <w:rFonts w:cs="Tahoma"/>
          <w:szCs w:val="18"/>
          <w:lang w:val="pt-BR"/>
        </w:rPr>
        <w:t>uma cópia do software fornecido com o Office 365 ProPlus em um dos cinco dispositivos permitidos</w:t>
      </w:r>
      <w:r w:rsidR="00EC03AC" w:rsidRPr="00E47ECF">
        <w:rPr>
          <w:rFonts w:cs="Tahoma"/>
          <w:szCs w:val="18"/>
          <w:lang w:val="pt-BR"/>
        </w:rPr>
        <w:t> </w:t>
      </w:r>
      <w:r w:rsidRPr="00E47ECF">
        <w:rPr>
          <w:rFonts w:cs="Tahoma"/>
          <w:szCs w:val="18"/>
          <w:lang w:val="pt-BR"/>
        </w:rPr>
        <w:t>de acordo com os Direitos de Uso do Produto para Office 365 ProPlus, esse usuário poderá 1)</w:t>
      </w:r>
      <w:r w:rsidR="00EC03AC" w:rsidRPr="00E47ECF">
        <w:rPr>
          <w:rFonts w:cs="Tahoma"/>
          <w:szCs w:val="18"/>
          <w:lang w:val="pt-BR"/>
        </w:rPr>
        <w:t> </w:t>
      </w:r>
      <w:r w:rsidRPr="00E47ECF">
        <w:rPr>
          <w:rFonts w:cs="Tahoma"/>
          <w:szCs w:val="18"/>
          <w:lang w:val="pt-BR"/>
        </w:rPr>
        <w:t xml:space="preserve">instalar uma cópia do software Office Professional </w:t>
      </w:r>
      <w:r w:rsidRPr="00E47ECF">
        <w:rPr>
          <w:rFonts w:cs="Tahoma"/>
          <w:color w:val="000000" w:themeColor="text1"/>
          <w:szCs w:val="18"/>
          <w:lang w:val="pt-BR"/>
        </w:rPr>
        <w:t xml:space="preserve">Plus 2013 na unidade USB usada para o Windows to Go Rights e 2) usar o software Office Professional Plus 2013 </w:t>
      </w:r>
      <w:r w:rsidRPr="00E47ECF">
        <w:rPr>
          <w:rFonts w:cs="Tahoma"/>
          <w:szCs w:val="18"/>
          <w:lang w:val="pt-BR"/>
        </w:rPr>
        <w:t>nessa unidade USB em qualquer dispositivo licenciado. Mediante o término da sua assinatura do Office 365 Plus, você deverá desinstalar o software Office Profess</w:t>
      </w:r>
      <w:r w:rsidR="007E2720" w:rsidRPr="00E47ECF">
        <w:rPr>
          <w:rFonts w:cs="Tahoma"/>
          <w:szCs w:val="18"/>
          <w:lang w:val="pt-BR"/>
        </w:rPr>
        <w:t>ional Plus 2013 da unidade USB.</w:t>
      </w:r>
    </w:p>
    <w:p w:rsidR="00ED6F81" w:rsidRPr="00E47ECF" w:rsidRDefault="00ED6F81" w:rsidP="00810479">
      <w:pPr>
        <w:ind w:left="720"/>
        <w:rPr>
          <w:lang w:val="pt-BR"/>
        </w:rPr>
      </w:pPr>
    </w:p>
    <w:p w:rsidR="00B2182D" w:rsidRPr="00E47ECF" w:rsidRDefault="00B2182D" w:rsidP="00864B8A">
      <w:pPr>
        <w:spacing w:after="60"/>
        <w:ind w:left="720"/>
        <w:rPr>
          <w:lang w:val="pt-BR"/>
        </w:rPr>
      </w:pPr>
      <w:r w:rsidRPr="00E47ECF">
        <w:rPr>
          <w:rFonts w:cs="Tahoma"/>
          <w:b/>
          <w:lang w:val="pt-BR"/>
        </w:rPr>
        <w:t>Direitos de Downgrade</w:t>
      </w:r>
    </w:p>
    <w:p w:rsidR="008368B4" w:rsidRPr="00E47ECF" w:rsidRDefault="008368B4" w:rsidP="008368B4">
      <w:pPr>
        <w:ind w:left="720"/>
        <w:rPr>
          <w:lang w:val="pt-BR"/>
        </w:rPr>
      </w:pPr>
      <w:r w:rsidRPr="00E47ECF">
        <w:rPr>
          <w:rFonts w:cs="Tahoma"/>
          <w:bCs/>
          <w:szCs w:val="18"/>
          <w:lang w:val="pt-BR"/>
        </w:rPr>
        <w:t xml:space="preserve">O serviço Office 365 ProPlus não possui direitos de downgrade. Para obter mais informações sobre os requisitos de atualização dos Serviços Online, consulte os Direitos de Uso de Produto (PUR) no site </w:t>
      </w:r>
      <w:hyperlink r:id="rId42" w:history="1">
        <w:r w:rsidR="0009135C" w:rsidRPr="00E47ECF">
          <w:rPr>
            <w:rStyle w:val="Hyperlink"/>
            <w:rFonts w:cs="Tahoma"/>
            <w:bCs/>
            <w:szCs w:val="18"/>
            <w:lang w:val="pt-BR"/>
          </w:rPr>
          <w:t>www.microsoftvolumelicensing.com/userights/PUR.aspx</w:t>
        </w:r>
      </w:hyperlink>
    </w:p>
    <w:p w:rsidR="00AE5A9F" w:rsidRPr="00E47ECF" w:rsidRDefault="00AE5A9F" w:rsidP="00AE5A9F">
      <w:pPr>
        <w:rPr>
          <w:lang w:val="pt-BR"/>
        </w:rPr>
      </w:pPr>
      <w:bookmarkStart w:id="1054" w:name="Srv_9OutlookMac2011"/>
    </w:p>
    <w:p w:rsidR="00AE5A9F" w:rsidRPr="00E47ECF" w:rsidRDefault="00AE5A9F" w:rsidP="00AE5A9F">
      <w:pPr>
        <w:rPr>
          <w:lang w:val="pt-BR"/>
        </w:rPr>
      </w:pPr>
    </w:p>
    <w:p w:rsidR="00704723" w:rsidRPr="00E47ECF" w:rsidRDefault="00B26237" w:rsidP="00704723">
      <w:pPr>
        <w:pStyle w:val="Heading3"/>
        <w:rPr>
          <w:lang w:val="pt-BR"/>
        </w:rPr>
      </w:pPr>
      <w:bookmarkStart w:id="1055" w:name="_121_Outlook_for"/>
      <w:bookmarkStart w:id="1056" w:name="_Toc336338270"/>
      <w:bookmarkStart w:id="1057" w:name="_Toc352234335"/>
      <w:bookmarkEnd w:id="1055"/>
      <w:r w:rsidRPr="00416070">
        <w:rPr>
          <w:rFonts w:ascii="Tahoma" w:hAnsi="Tahoma"/>
          <w:caps/>
          <w:color w:val="F66400"/>
          <w:sz w:val="22"/>
          <w:vertAlign w:val="superscript"/>
        </w:rPr>
        <w:t>11</w:t>
      </w:r>
      <w:r w:rsidRPr="00416070">
        <w:rPr>
          <w:rFonts w:ascii="Tahoma" w:hAnsi="Tahoma"/>
          <w:color w:val="F66400"/>
          <w:sz w:val="22"/>
        </w:rPr>
        <w:t xml:space="preserve"> Outlook para Mac 2011</w:t>
      </w:r>
      <w:bookmarkEnd w:id="1056"/>
      <w:bookmarkEnd w:id="1057"/>
    </w:p>
    <w:bookmarkEnd w:id="1054"/>
    <w:p w:rsidR="00704723" w:rsidRPr="00E47ECF" w:rsidRDefault="00704723" w:rsidP="00AE5A9F">
      <w:pPr>
        <w:rPr>
          <w:lang w:val="pt-BR"/>
        </w:rPr>
      </w:pPr>
    </w:p>
    <w:p w:rsidR="00704723" w:rsidRPr="00E47ECF" w:rsidRDefault="00704723" w:rsidP="00864B8A">
      <w:pPr>
        <w:spacing w:after="60"/>
        <w:ind w:left="720"/>
        <w:rPr>
          <w:lang w:val="pt-BR"/>
        </w:rPr>
      </w:pPr>
      <w:r w:rsidRPr="00E47ECF">
        <w:rPr>
          <w:rFonts w:cs="Tahoma"/>
          <w:b/>
          <w:lang w:val="pt-BR"/>
        </w:rPr>
        <w:t>Caminho de Migração do Software Assurance para o Entourage para Mac 2008</w:t>
      </w:r>
    </w:p>
    <w:p w:rsidR="00223A77" w:rsidRPr="00E47ECF" w:rsidRDefault="00704723" w:rsidP="00AE5A9F">
      <w:pPr>
        <w:adjustRightInd w:val="0"/>
        <w:ind w:left="720"/>
        <w:textAlignment w:val="baseline"/>
        <w:rPr>
          <w:lang w:val="pt-BR"/>
        </w:rPr>
      </w:pPr>
      <w:r w:rsidRPr="00E47ECF">
        <w:rPr>
          <w:rFonts w:cs="Tahoma"/>
          <w:szCs w:val="20"/>
          <w:lang w:val="pt-BR"/>
        </w:rPr>
        <w:t>A versão substituta do Entourage para Mac</w:t>
      </w:r>
      <w:bookmarkStart w:id="1058" w:name="Srv_8Project2010Pro"/>
      <w:r w:rsidRPr="00E47ECF">
        <w:rPr>
          <w:rFonts w:cs="Tahoma"/>
          <w:szCs w:val="20"/>
          <w:lang w:val="pt-BR"/>
        </w:rPr>
        <w:t xml:space="preserve"> 2008 é o Outlook para Mac 2011.</w:t>
      </w:r>
    </w:p>
    <w:p w:rsidR="00AE5A9F" w:rsidRPr="00E47ECF" w:rsidRDefault="00AE5A9F" w:rsidP="00AE5A9F">
      <w:pPr>
        <w:adjustRightInd w:val="0"/>
        <w:textAlignment w:val="baseline"/>
        <w:rPr>
          <w:lang w:val="pt-BR"/>
        </w:rPr>
      </w:pPr>
    </w:p>
    <w:p w:rsidR="00AE5A9F" w:rsidRPr="00E47ECF" w:rsidRDefault="00AE5A9F" w:rsidP="00AE5A9F">
      <w:pPr>
        <w:adjustRightInd w:val="0"/>
        <w:textAlignment w:val="baseline"/>
        <w:rPr>
          <w:lang w:val="pt-BR"/>
        </w:rPr>
      </w:pPr>
    </w:p>
    <w:p w:rsidR="00223A77" w:rsidRPr="00416070" w:rsidRDefault="00B26237" w:rsidP="00223A77">
      <w:pPr>
        <w:pStyle w:val="Heading3"/>
      </w:pPr>
      <w:bookmarkStart w:id="1059" w:name="_132_Project_2013"/>
      <w:bookmarkStart w:id="1060" w:name="_Toc336338271"/>
      <w:bookmarkStart w:id="1061" w:name="_Toc352234336"/>
      <w:bookmarkStart w:id="1062" w:name="_Toc254806116"/>
      <w:bookmarkStart w:id="1063" w:name="Srv_Project2010Pro"/>
      <w:bookmarkStart w:id="1064" w:name="Aps_8Project2010Pro"/>
      <w:bookmarkEnd w:id="1059"/>
      <w:r w:rsidRPr="00416070">
        <w:rPr>
          <w:rFonts w:ascii="Tahoma" w:hAnsi="Tahoma"/>
          <w:caps/>
          <w:color w:val="F66400"/>
          <w:sz w:val="22"/>
          <w:vertAlign w:val="superscript"/>
        </w:rPr>
        <w:t>12</w:t>
      </w:r>
      <w:r w:rsidRPr="00416070">
        <w:rPr>
          <w:rFonts w:ascii="Tahoma" w:hAnsi="Tahoma"/>
          <w:color w:val="F66400"/>
          <w:sz w:val="22"/>
        </w:rPr>
        <w:t xml:space="preserve"> Project 2013 Professional</w:t>
      </w:r>
      <w:bookmarkEnd w:id="1060"/>
      <w:bookmarkEnd w:id="1061"/>
      <w:r w:rsidRPr="00416070">
        <w:rPr>
          <w:rFonts w:ascii="Tahoma" w:hAnsi="Tahoma"/>
          <w:color w:val="F66400"/>
          <w:sz w:val="22"/>
        </w:rPr>
        <w:t xml:space="preserve"> </w:t>
      </w:r>
      <w:bookmarkEnd w:id="1062"/>
    </w:p>
    <w:bookmarkEnd w:id="1058"/>
    <w:bookmarkEnd w:id="1063"/>
    <w:bookmarkEnd w:id="1064"/>
    <w:p w:rsidR="00223A77" w:rsidRPr="00E47ECF" w:rsidRDefault="00223A77" w:rsidP="00AE5A9F">
      <w:pPr>
        <w:ind w:left="720"/>
        <w:rPr>
          <w:lang w:val="pt-BR"/>
        </w:rPr>
      </w:pPr>
    </w:p>
    <w:p w:rsidR="00223A77" w:rsidRPr="00E47ECF" w:rsidRDefault="00223A77" w:rsidP="00864B8A">
      <w:pPr>
        <w:spacing w:after="60"/>
        <w:ind w:left="720"/>
        <w:rPr>
          <w:lang w:val="pt-BR"/>
        </w:rPr>
      </w:pPr>
      <w:r w:rsidRPr="00E47ECF">
        <w:rPr>
          <w:rFonts w:cs="Tahoma"/>
          <w:b/>
          <w:lang w:val="pt-BR"/>
        </w:rPr>
        <w:t>CAL do Project Server Complementar</w:t>
      </w:r>
    </w:p>
    <w:p w:rsidR="00223A77" w:rsidRPr="00416070" w:rsidRDefault="00223A77" w:rsidP="00AE5A9F">
      <w:pPr>
        <w:pStyle w:val="EndnoteText"/>
        <w:ind w:left="720"/>
      </w:pPr>
      <w:r w:rsidRPr="00416070">
        <w:rPr>
          <w:rStyle w:val="EndnoteTextChar"/>
          <w:rFonts w:ascii="Tahoma" w:hAnsi="Tahoma" w:cs="Tahoma"/>
          <w:sz w:val="18"/>
        </w:rPr>
        <w:t>Os clientes que licenciarem o Project Professional 2013 terão uma CAL do Dispositivo do Project Server 2013. O direito de acesso ao Project Server 2013 sob essa CAL se encerrará no término da Licença do Project Professional correspondente.</w:t>
      </w:r>
    </w:p>
    <w:p w:rsidR="00223A77" w:rsidRPr="00416070" w:rsidRDefault="00223A77" w:rsidP="00AE5A9F">
      <w:pPr>
        <w:pStyle w:val="EndnoteText"/>
        <w:ind w:left="720"/>
        <w:rPr>
          <w:rFonts w:ascii="Tahoma" w:hAnsi="Tahoma" w:cs="Tahoma"/>
          <w:sz w:val="18"/>
          <w:szCs w:val="18"/>
        </w:rPr>
      </w:pPr>
    </w:p>
    <w:p w:rsidR="00223A77" w:rsidRPr="00416070" w:rsidRDefault="00223A77" w:rsidP="00AE5A9F">
      <w:pPr>
        <w:pStyle w:val="EndnoteText"/>
        <w:ind w:left="720"/>
      </w:pPr>
      <w:r w:rsidRPr="00416070">
        <w:rPr>
          <w:rStyle w:val="EndnoteTextChar"/>
          <w:rFonts w:ascii="Tahoma" w:hAnsi="Tahoma" w:cs="Tahoma"/>
          <w:sz w:val="18"/>
        </w:rPr>
        <w:t>Os clientes com Software Assurance ativo para a licença do Project Professional terão a cobertura do Software Assurance para suas CALs do Project Server complementares. Essa cobertura se encerrará no</w:t>
      </w:r>
      <w:r w:rsidR="00EC03AC" w:rsidRPr="00E47ECF">
        <w:rPr>
          <w:rStyle w:val="EndnoteTextChar"/>
          <w:rFonts w:ascii="Tahoma" w:hAnsi="Tahoma" w:cs="Tahoma"/>
          <w:sz w:val="18"/>
          <w:lang w:val="pt-BR"/>
        </w:rPr>
        <w:t> </w:t>
      </w:r>
      <w:r w:rsidRPr="00416070">
        <w:rPr>
          <w:rStyle w:val="EndnoteTextChar"/>
          <w:rFonts w:ascii="Tahoma" w:hAnsi="Tahoma" w:cs="Tahoma"/>
          <w:sz w:val="18"/>
        </w:rPr>
        <w:t>término da cobertura do Project Professional correspondente.</w:t>
      </w:r>
    </w:p>
    <w:p w:rsidR="00223A77" w:rsidRPr="00416070" w:rsidRDefault="00223A77" w:rsidP="00AE5A9F">
      <w:pPr>
        <w:pStyle w:val="EndnoteText"/>
        <w:ind w:left="720"/>
        <w:rPr>
          <w:rFonts w:ascii="Tahoma" w:hAnsi="Tahoma" w:cs="Tahoma"/>
          <w:sz w:val="18"/>
          <w:szCs w:val="18"/>
        </w:rPr>
      </w:pPr>
    </w:p>
    <w:p w:rsidR="00223A77" w:rsidRPr="00416070" w:rsidRDefault="00223A77" w:rsidP="00AE5A9F">
      <w:pPr>
        <w:pStyle w:val="EndnoteText"/>
        <w:ind w:left="720"/>
      </w:pPr>
      <w:r w:rsidRPr="00416070">
        <w:rPr>
          <w:rStyle w:val="EndnoteTextChar"/>
          <w:rFonts w:ascii="Tahoma" w:hAnsi="Tahoma" w:cs="Tahoma"/>
          <w:sz w:val="18"/>
        </w:rPr>
        <w:t>Consulte as notas de condição do produto do Project Server para obter direitos adicionais aplicáveis a</w:t>
      </w:r>
      <w:r w:rsidR="00EC03AC" w:rsidRPr="00E47ECF">
        <w:rPr>
          <w:rStyle w:val="EndnoteTextChar"/>
          <w:rFonts w:ascii="Tahoma" w:hAnsi="Tahoma" w:cs="Tahoma"/>
          <w:sz w:val="18"/>
          <w:lang w:val="pt-BR"/>
        </w:rPr>
        <w:t> </w:t>
      </w:r>
      <w:r w:rsidRPr="00416070">
        <w:rPr>
          <w:rStyle w:val="EndnoteTextChar"/>
          <w:rFonts w:ascii="Tahoma" w:hAnsi="Tahoma" w:cs="Tahoma"/>
          <w:sz w:val="18"/>
        </w:rPr>
        <w:t>essas</w:t>
      </w:r>
      <w:r w:rsidR="00EC03AC" w:rsidRPr="00E47ECF">
        <w:rPr>
          <w:rStyle w:val="EndnoteTextChar"/>
          <w:rFonts w:ascii="Tahoma" w:hAnsi="Tahoma" w:cs="Tahoma"/>
          <w:sz w:val="18"/>
          <w:lang w:val="pt-BR"/>
        </w:rPr>
        <w:t> </w:t>
      </w:r>
      <w:r w:rsidRPr="00416070">
        <w:rPr>
          <w:rStyle w:val="EndnoteTextChar"/>
          <w:rFonts w:ascii="Tahoma" w:hAnsi="Tahoma" w:cs="Tahoma"/>
          <w:sz w:val="18"/>
        </w:rPr>
        <w:t>CALs.</w:t>
      </w:r>
    </w:p>
    <w:p w:rsidR="00AE5A9F" w:rsidRPr="00E47ECF" w:rsidRDefault="00AE5A9F" w:rsidP="00AE5A9F">
      <w:pPr>
        <w:rPr>
          <w:lang w:val="pt-BR"/>
        </w:rPr>
      </w:pPr>
    </w:p>
    <w:p w:rsidR="00AE5A9F" w:rsidRPr="00E47ECF" w:rsidRDefault="00AE5A9F" w:rsidP="00AE5A9F">
      <w:pPr>
        <w:rPr>
          <w:lang w:val="pt-BR"/>
        </w:rPr>
      </w:pPr>
    </w:p>
    <w:p w:rsidR="002202DB" w:rsidRPr="00416070" w:rsidRDefault="006E7166" w:rsidP="002202DB">
      <w:pPr>
        <w:pStyle w:val="Heading3"/>
      </w:pPr>
      <w:bookmarkStart w:id="1065" w:name="_143_Project_Pro"/>
      <w:bookmarkStart w:id="1066" w:name="_Toc352234337"/>
      <w:bookmarkEnd w:id="1065"/>
      <w:r w:rsidRPr="00416070">
        <w:rPr>
          <w:rFonts w:ascii="Tahoma" w:hAnsi="Tahoma"/>
          <w:caps/>
          <w:color w:val="F66400"/>
          <w:sz w:val="22"/>
          <w:vertAlign w:val="superscript"/>
        </w:rPr>
        <w:lastRenderedPageBreak/>
        <w:t>13</w:t>
      </w:r>
      <w:r w:rsidR="00615CB9" w:rsidRPr="00416070">
        <w:rPr>
          <w:rFonts w:ascii="Tahoma" w:hAnsi="Tahoma"/>
          <w:color w:val="F66400"/>
          <w:sz w:val="22"/>
        </w:rPr>
        <w:t xml:space="preserve"> </w:t>
      </w:r>
      <w:r w:rsidRPr="00416070">
        <w:rPr>
          <w:rFonts w:ascii="Tahoma" w:hAnsi="Tahoma"/>
          <w:color w:val="F66400"/>
          <w:sz w:val="22"/>
        </w:rPr>
        <w:t>Project Pro para Office 365</w:t>
      </w:r>
      <w:bookmarkEnd w:id="1066"/>
      <w:r w:rsidRPr="00416070">
        <w:rPr>
          <w:rFonts w:ascii="Tahoma" w:hAnsi="Tahoma"/>
          <w:color w:val="F66400"/>
          <w:sz w:val="22"/>
        </w:rPr>
        <w:t xml:space="preserve"> </w:t>
      </w:r>
    </w:p>
    <w:p w:rsidR="00A32FE7" w:rsidRPr="00E47ECF" w:rsidRDefault="00A32FE7" w:rsidP="00A32FE7">
      <w:pPr>
        <w:rPr>
          <w:lang w:val="pt-BR"/>
        </w:rPr>
      </w:pPr>
    </w:p>
    <w:p w:rsidR="002202DB" w:rsidRPr="00E47ECF" w:rsidRDefault="002202DB" w:rsidP="002202DB">
      <w:pPr>
        <w:spacing w:after="60"/>
        <w:ind w:left="720"/>
        <w:rPr>
          <w:lang w:val="pt-BR"/>
        </w:rPr>
      </w:pPr>
      <w:r w:rsidRPr="00E47ECF">
        <w:rPr>
          <w:rFonts w:cs="Tahoma"/>
          <w:b/>
          <w:lang w:val="pt-BR"/>
        </w:rPr>
        <w:t>Qualificação de Mídia com Serviços de Área de Trabalho Remota (RDS)</w:t>
      </w:r>
    </w:p>
    <w:p w:rsidR="002202DB" w:rsidRPr="00E47ECF" w:rsidRDefault="002202DB" w:rsidP="002202DB">
      <w:pPr>
        <w:ind w:left="720"/>
        <w:rPr>
          <w:lang w:val="pt-BR"/>
        </w:rPr>
      </w:pPr>
      <w:r w:rsidRPr="00E47ECF">
        <w:rPr>
          <w:rFonts w:cs="Tahoma"/>
          <w:szCs w:val="18"/>
          <w:lang w:val="pt-BR"/>
        </w:rPr>
        <w:t>Se o usuário para o qual você atribuiu uma licença do Project Pro para Office 365 usar o software em um servidor de rede com a função RDS ativada, em vez de instalar uma cópia do software fornecido com o Project Pro para Office 365 em um dos cinco dispositivos permitidos de acordo com os Direitos de Uso do Produto para Project Pro para Office 365, esse usuário poderá 1) instalar uma cópia do software Project 2013 Professional em um servidor de rede e 2) acessar o software Project 2013 Professional de qualquer dispositivo.</w:t>
      </w:r>
      <w:r w:rsidR="00FB5496" w:rsidRPr="00E47ECF">
        <w:rPr>
          <w:rFonts w:cs="Tahoma"/>
          <w:szCs w:val="18"/>
          <w:lang w:val="pt-BR"/>
        </w:rPr>
        <w:t xml:space="preserve"> </w:t>
      </w:r>
      <w:r w:rsidRPr="00E47ECF">
        <w:rPr>
          <w:rFonts w:cs="Tahoma"/>
          <w:szCs w:val="18"/>
          <w:lang w:val="pt-BR"/>
        </w:rPr>
        <w:t>Mediante o término da sua assinatura do Project Pro para Office 365, você deverá desinstalar o</w:t>
      </w:r>
      <w:r w:rsidR="00EC03AC" w:rsidRPr="00E47ECF">
        <w:rPr>
          <w:rFonts w:cs="Tahoma"/>
          <w:szCs w:val="18"/>
          <w:lang w:val="pt-BR"/>
        </w:rPr>
        <w:t> </w:t>
      </w:r>
      <w:r w:rsidRPr="00E47ECF">
        <w:rPr>
          <w:rFonts w:cs="Tahoma"/>
          <w:szCs w:val="18"/>
          <w:lang w:val="pt-BR"/>
        </w:rPr>
        <w:t xml:space="preserve">software Project 2013 Professional do servidor de rede. </w:t>
      </w:r>
    </w:p>
    <w:p w:rsidR="002202DB" w:rsidRPr="00E47ECF" w:rsidRDefault="002202DB" w:rsidP="002202DB">
      <w:pPr>
        <w:ind w:left="720"/>
        <w:rPr>
          <w:lang w:val="pt-BR"/>
        </w:rPr>
      </w:pPr>
    </w:p>
    <w:p w:rsidR="002202DB" w:rsidRPr="00E47ECF" w:rsidRDefault="002202DB" w:rsidP="002202DB">
      <w:pPr>
        <w:spacing w:after="60"/>
        <w:ind w:left="720"/>
        <w:rPr>
          <w:lang w:val="pt-BR"/>
        </w:rPr>
      </w:pPr>
      <w:r w:rsidRPr="00E47ECF">
        <w:rPr>
          <w:rFonts w:cs="Tahoma"/>
          <w:b/>
          <w:lang w:val="pt-BR"/>
        </w:rPr>
        <w:t>Direitos de Downgrade</w:t>
      </w:r>
    </w:p>
    <w:p w:rsidR="002202DB" w:rsidRPr="00E47ECF" w:rsidRDefault="002202DB" w:rsidP="002202DB">
      <w:pPr>
        <w:ind w:left="720"/>
        <w:rPr>
          <w:lang w:val="pt-BR"/>
        </w:rPr>
      </w:pPr>
      <w:r w:rsidRPr="00E47ECF">
        <w:rPr>
          <w:rFonts w:cs="Tahoma"/>
          <w:bCs/>
          <w:szCs w:val="18"/>
          <w:lang w:val="pt-BR"/>
        </w:rPr>
        <w:t xml:space="preserve">O serviço Project Pro para Office 365 não possui direitos de downgrade. Para obter mais informações sobre os requisitos de atualização dos Serviços Online, consulte o documento de Direitos de Uso de Produto (PUR) no site </w:t>
      </w:r>
      <w:hyperlink r:id="rId43" w:history="1">
        <w:r w:rsidRPr="00E47ECF">
          <w:rPr>
            <w:rStyle w:val="Hyperlink"/>
            <w:rFonts w:cs="Tahoma"/>
            <w:bCs/>
            <w:szCs w:val="18"/>
            <w:lang w:val="pt-BR"/>
          </w:rPr>
          <w:t>http://www.microsoftvolumelicensing.com/userights/PUR.aspx</w:t>
        </w:r>
      </w:hyperlink>
    </w:p>
    <w:p w:rsidR="002202DB" w:rsidRPr="00E47ECF" w:rsidRDefault="002202DB" w:rsidP="00AE5A9F">
      <w:pPr>
        <w:rPr>
          <w:lang w:val="pt-BR"/>
        </w:rPr>
      </w:pPr>
    </w:p>
    <w:p w:rsidR="002202DB" w:rsidRPr="00E47ECF" w:rsidRDefault="002202DB" w:rsidP="00AE5A9F">
      <w:pPr>
        <w:rPr>
          <w:lang w:val="pt-BR"/>
        </w:rPr>
      </w:pPr>
    </w:p>
    <w:p w:rsidR="00223A77" w:rsidRPr="00416070" w:rsidRDefault="00B26237" w:rsidP="002541AE">
      <w:pPr>
        <w:pStyle w:val="Heading3"/>
      </w:pPr>
      <w:bookmarkStart w:id="1067" w:name="_145_Rental_Rights"/>
      <w:bookmarkStart w:id="1068" w:name="_Toc336338272"/>
      <w:bookmarkStart w:id="1069" w:name="_Toc352234338"/>
      <w:bookmarkStart w:id="1070" w:name="Aps_9RentalRightsOffice"/>
      <w:bookmarkStart w:id="1071" w:name="Srv_RentalRightsOffice"/>
      <w:bookmarkStart w:id="1072" w:name="Srv_9RentalRightsOffice"/>
      <w:bookmarkEnd w:id="1067"/>
      <w:r w:rsidRPr="00416070">
        <w:rPr>
          <w:rFonts w:ascii="Tahoma" w:hAnsi="Tahoma" w:cs="Tahoma"/>
          <w:caps/>
          <w:color w:val="E65D08"/>
          <w:sz w:val="22"/>
          <w:szCs w:val="22"/>
          <w:vertAlign w:val="superscript"/>
        </w:rPr>
        <w:t>14</w:t>
      </w:r>
      <w:r w:rsidRPr="00416070">
        <w:rPr>
          <w:rFonts w:ascii="Tahoma" w:hAnsi="Tahoma" w:cs="Tahoma"/>
          <w:color w:val="E65D08"/>
          <w:sz w:val="22"/>
          <w:szCs w:val="22"/>
        </w:rPr>
        <w:t xml:space="preserve"> Direitos de Locação do Office</w:t>
      </w:r>
      <w:bookmarkEnd w:id="1068"/>
      <w:bookmarkEnd w:id="1069"/>
    </w:p>
    <w:bookmarkEnd w:id="1070"/>
    <w:p w:rsidR="002541AE" w:rsidRPr="00E47ECF" w:rsidRDefault="002541AE" w:rsidP="002541AE">
      <w:pPr>
        <w:rPr>
          <w:lang w:val="pt-BR"/>
        </w:rPr>
      </w:pPr>
    </w:p>
    <w:bookmarkEnd w:id="1071"/>
    <w:bookmarkEnd w:id="1072"/>
    <w:p w:rsidR="000B0A08" w:rsidRPr="00E47ECF" w:rsidRDefault="000B0A08" w:rsidP="005E3B5E">
      <w:pPr>
        <w:pStyle w:val="FootnoteBulletLevel1"/>
        <w:tabs>
          <w:tab w:val="clear" w:pos="900"/>
        </w:tabs>
        <w:spacing w:before="0" w:after="0"/>
        <w:ind w:left="720" w:firstLine="0"/>
        <w:rPr>
          <w:lang w:val="pt-BR"/>
        </w:rPr>
      </w:pPr>
      <w:r w:rsidRPr="00E47ECF">
        <w:rPr>
          <w:rFonts w:ascii="Tahoma" w:hAnsi="Tahoma" w:cs="Tahoma"/>
          <w:color w:val="000000"/>
          <w:sz w:val="18"/>
          <w:szCs w:val="18"/>
          <w:lang w:val="pt-BR"/>
        </w:rPr>
        <w:t>As licenças de direitos de locação concedidas sob esses programas são apenas licenças complementares. Elas não são licenças integrais de produtos. Portanto, cada desktop ao qual um cliente atribuir uma licença</w:t>
      </w:r>
      <w:r w:rsidR="00EC03AC" w:rsidRPr="00E47ECF">
        <w:rPr>
          <w:rFonts w:ascii="Tahoma" w:hAnsi="Tahoma" w:cs="Tahoma"/>
          <w:color w:val="000000"/>
          <w:sz w:val="18"/>
          <w:szCs w:val="18"/>
          <w:lang w:val="pt-BR"/>
        </w:rPr>
        <w:t> </w:t>
      </w:r>
      <w:r w:rsidRPr="00E47ECF">
        <w:rPr>
          <w:rFonts w:ascii="Tahoma" w:hAnsi="Tahoma" w:cs="Tahoma"/>
          <w:color w:val="000000"/>
          <w:sz w:val="18"/>
          <w:szCs w:val="18"/>
          <w:lang w:val="pt-BR"/>
        </w:rPr>
        <w:t>de direitos de locação deverá ser licenciado para executar um dos aplicativos qualificados identificados a seguir.</w:t>
      </w:r>
    </w:p>
    <w:p w:rsidR="00980240" w:rsidRPr="00E47ECF" w:rsidRDefault="00980240" w:rsidP="005E3B5E">
      <w:pPr>
        <w:ind w:left="720"/>
        <w:rPr>
          <w:lang w:val="pt-BR"/>
        </w:rPr>
      </w:pPr>
    </w:p>
    <w:p w:rsidR="00980240" w:rsidRPr="00E47ECF" w:rsidRDefault="000B0A08" w:rsidP="00864B8A">
      <w:pPr>
        <w:spacing w:after="60"/>
        <w:ind w:left="720"/>
        <w:rPr>
          <w:lang w:val="pt-BR"/>
        </w:rPr>
      </w:pPr>
      <w:r w:rsidRPr="00E47ECF">
        <w:rPr>
          <w:rFonts w:cs="Tahoma"/>
          <w:b/>
          <w:lang w:val="pt-BR"/>
        </w:rPr>
        <w:t>Regras de Aplicativos Qualificados</w:t>
      </w:r>
    </w:p>
    <w:p w:rsidR="000B0A08" w:rsidRPr="00E47ECF" w:rsidRDefault="000B0A08" w:rsidP="005E3B5E">
      <w:pPr>
        <w:ind w:left="720"/>
        <w:rPr>
          <w:lang w:val="pt-BR"/>
        </w:rPr>
      </w:pPr>
      <w:r w:rsidRPr="00E47ECF">
        <w:rPr>
          <w:rFonts w:cs="Tahoma"/>
          <w:color w:val="000000"/>
          <w:szCs w:val="18"/>
          <w:lang w:val="pt-BR"/>
        </w:rPr>
        <w:t>Cada uma destas condições deve ser atendida para que a Licença básica o qualifique para a licença de</w:t>
      </w:r>
      <w:r w:rsidR="00EC03AC" w:rsidRPr="00E47ECF">
        <w:rPr>
          <w:rFonts w:cs="Tahoma"/>
          <w:color w:val="000000"/>
          <w:szCs w:val="18"/>
          <w:lang w:val="pt-BR"/>
        </w:rPr>
        <w:t> </w:t>
      </w:r>
      <w:r w:rsidRPr="00E47ECF">
        <w:rPr>
          <w:rFonts w:cs="Tahoma"/>
          <w:color w:val="000000"/>
          <w:szCs w:val="18"/>
          <w:lang w:val="pt-BR"/>
        </w:rPr>
        <w:t>Direitos de Locação:</w:t>
      </w:r>
    </w:p>
    <w:p w:rsidR="005E3B5E" w:rsidRPr="00E47ECF" w:rsidRDefault="005E3B5E" w:rsidP="005E3B5E">
      <w:pPr>
        <w:ind w:left="900"/>
        <w:rPr>
          <w:lang w:val="pt-BR"/>
        </w:rPr>
      </w:pPr>
    </w:p>
    <w:p w:rsidR="000B0A08" w:rsidRPr="00E47ECF" w:rsidRDefault="000B0A08" w:rsidP="005E3B5E">
      <w:pPr>
        <w:numPr>
          <w:ilvl w:val="0"/>
          <w:numId w:val="20"/>
        </w:numPr>
        <w:spacing w:after="60"/>
        <w:ind w:left="1440"/>
        <w:rPr>
          <w:lang w:val="pt-BR"/>
        </w:rPr>
      </w:pPr>
      <w:r w:rsidRPr="00E47ECF">
        <w:rPr>
          <w:rFonts w:cs="Tahoma"/>
          <w:color w:val="000000"/>
          <w:szCs w:val="18"/>
          <w:lang w:val="pt-BR"/>
        </w:rPr>
        <w:t>A licença para o aplicativo qualificado deve ser cedida ao mesmo dispositivo ao qual a licença de</w:t>
      </w:r>
      <w:r w:rsidR="00EC03AC" w:rsidRPr="00E47ECF">
        <w:rPr>
          <w:rFonts w:cs="Tahoma"/>
          <w:color w:val="000000"/>
          <w:szCs w:val="18"/>
          <w:lang w:val="pt-BR"/>
        </w:rPr>
        <w:t> </w:t>
      </w:r>
      <w:r w:rsidRPr="00E47ECF">
        <w:rPr>
          <w:rFonts w:cs="Tahoma"/>
          <w:color w:val="000000"/>
          <w:szCs w:val="18"/>
          <w:lang w:val="pt-BR"/>
        </w:rPr>
        <w:t>Direitos de Locação de VL deverá ser cedida.</w:t>
      </w:r>
    </w:p>
    <w:p w:rsidR="000B0A08" w:rsidRPr="00E47ECF" w:rsidRDefault="000B0A08" w:rsidP="005E3B5E">
      <w:pPr>
        <w:numPr>
          <w:ilvl w:val="0"/>
          <w:numId w:val="20"/>
        </w:numPr>
        <w:tabs>
          <w:tab w:val="left" w:pos="1440"/>
        </w:tabs>
        <w:spacing w:after="60"/>
        <w:ind w:left="1440"/>
        <w:rPr>
          <w:lang w:val="pt-BR"/>
        </w:rPr>
      </w:pPr>
      <w:r w:rsidRPr="00E47ECF">
        <w:rPr>
          <w:rFonts w:cs="Tahoma"/>
          <w:color w:val="000000"/>
          <w:szCs w:val="18"/>
          <w:lang w:val="pt-BR"/>
        </w:rPr>
        <w:t>O aplicativo qualificado deve ser instalado no referido dispositivo.</w:t>
      </w:r>
    </w:p>
    <w:p w:rsidR="000B0A08" w:rsidRPr="00E47ECF" w:rsidRDefault="000B0A08" w:rsidP="005E3B5E">
      <w:pPr>
        <w:pStyle w:val="EndnoteText"/>
        <w:rPr>
          <w:rFonts w:ascii="Tahoma" w:hAnsi="Tahoma" w:cs="Tahoma"/>
          <w:sz w:val="18"/>
          <w:szCs w:val="18"/>
          <w:lang w:val="pt-BR"/>
        </w:rPr>
      </w:pPr>
    </w:p>
    <w:p w:rsidR="000B0A08" w:rsidRPr="00416070" w:rsidRDefault="000B0A08" w:rsidP="005E3B5E">
      <w:pPr>
        <w:pStyle w:val="EndnoteText"/>
        <w:ind w:left="720"/>
      </w:pPr>
      <w:r w:rsidRPr="00416070">
        <w:rPr>
          <w:rFonts w:ascii="Tahoma" w:hAnsi="Tahoma" w:cs="Tahoma"/>
          <w:color w:val="000000"/>
          <w:sz w:val="18"/>
          <w:szCs w:val="18"/>
        </w:rPr>
        <w:t>Os aplicativos qualificados por tipo de Programa são:</w:t>
      </w:r>
    </w:p>
    <w:p w:rsidR="000B0A08" w:rsidRPr="00E47ECF" w:rsidRDefault="000B0A08" w:rsidP="000B0A08">
      <w:pPr>
        <w:rPr>
          <w:lang w:val="pt-BR"/>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2B5F9E"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E47ECF" w:rsidRDefault="000B0A08" w:rsidP="00AD69BD">
            <w:pPr>
              <w:jc w:val="center"/>
              <w:rPr>
                <w:rFonts w:eastAsia="MS PGothic" w:cs="Tahoma"/>
                <w:b/>
                <w:bCs/>
                <w:color w:val="000000"/>
                <w:szCs w:val="18"/>
                <w:lang w:val="pt-BR"/>
              </w:rPr>
            </w:pPr>
            <w:r w:rsidRPr="00E47ECF">
              <w:rPr>
                <w:rFonts w:cs="Tahoma"/>
                <w:b/>
                <w:bCs/>
                <w:color w:val="000000"/>
                <w:szCs w:val="18"/>
                <w:lang w:val="pt-BR"/>
              </w:rPr>
              <w:t>Aplicativos Qualificados para a aquisição de Direitos de Locação do Office Standard</w:t>
            </w:r>
          </w:p>
        </w:tc>
        <w:tc>
          <w:tcPr>
            <w:tcW w:w="1333" w:type="dxa"/>
            <w:gridSpan w:val="2"/>
            <w:tcBorders>
              <w:top w:val="nil"/>
              <w:left w:val="nil"/>
              <w:bottom w:val="single" w:sz="8" w:space="0" w:color="auto"/>
              <w:right w:val="nil"/>
            </w:tcBorders>
          </w:tcPr>
          <w:p w:rsidR="000B0A08" w:rsidRPr="00E47ECF" w:rsidRDefault="000B0A08" w:rsidP="00AD69BD">
            <w:pPr>
              <w:jc w:val="both"/>
              <w:rPr>
                <w:rFonts w:ascii="Arial" w:eastAsia="MS PGothic" w:hAnsi="Arial" w:cs="Arial"/>
                <w:color w:val="000000"/>
                <w:sz w:val="21"/>
                <w:szCs w:val="21"/>
                <w:lang w:val="pt-BR"/>
              </w:rPr>
            </w:pPr>
          </w:p>
        </w:tc>
      </w:tr>
      <w:tr w:rsidR="000B0A08" w:rsidRPr="00416070"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0B0A08" w:rsidRPr="00E47ECF" w:rsidRDefault="000B0A08" w:rsidP="00AD69BD">
            <w:pPr>
              <w:rPr>
                <w:rFonts w:eastAsia="MS PGothic" w:cs="Tahoma"/>
                <w:b/>
                <w:bCs/>
                <w:color w:val="000000"/>
                <w:szCs w:val="18"/>
                <w:lang w:val="pt-BR"/>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416070" w:rsidRDefault="000B0A08" w:rsidP="00AD69BD">
            <w:pPr>
              <w:jc w:val="center"/>
              <w:rPr>
                <w:rFonts w:cs="Tahoma"/>
                <w:b/>
                <w:bCs/>
                <w:color w:val="000000"/>
                <w:szCs w:val="18"/>
              </w:rPr>
            </w:pPr>
            <w:r w:rsidRPr="00416070">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E47ECF" w:rsidRDefault="000B0A08" w:rsidP="00AD69BD">
            <w:pPr>
              <w:jc w:val="center"/>
              <w:rPr>
                <w:lang w:val="pt-BR"/>
              </w:rPr>
            </w:pPr>
            <w:r w:rsidRPr="00E47ECF">
              <w:rPr>
                <w:rFonts w:cs="Tahoma"/>
                <w:b/>
                <w:bCs/>
                <w:color w:val="000000"/>
                <w:szCs w:val="18"/>
                <w:lang w:val="pt-BR"/>
              </w:rPr>
              <w:t>PIPC</w:t>
            </w:r>
          </w:p>
          <w:p w:rsidR="000B0A08" w:rsidRPr="00E47ECF" w:rsidRDefault="000B0A08" w:rsidP="00AD69BD">
            <w:pPr>
              <w:jc w:val="center"/>
              <w:rPr>
                <w:rFonts w:cs="Tahoma"/>
                <w:b/>
                <w:bCs/>
                <w:color w:val="000000"/>
                <w:szCs w:val="18"/>
                <w:lang w:val="pt-BR"/>
              </w:rPr>
            </w:pPr>
            <w:r w:rsidRPr="00E47ECF">
              <w:rPr>
                <w:rFonts w:cs="Tahoma"/>
                <w:b/>
                <w:bCs/>
                <w:color w:val="000000"/>
                <w:szCs w:val="18"/>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416070" w:rsidRDefault="000B0A08" w:rsidP="00AD69BD">
            <w:pPr>
              <w:jc w:val="center"/>
              <w:rPr>
                <w:rFonts w:cs="Tahoma"/>
                <w:b/>
                <w:bCs/>
                <w:color w:val="000000"/>
                <w:szCs w:val="18"/>
              </w:rPr>
            </w:pPr>
            <w:r w:rsidRPr="00416070">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416070" w:rsidRDefault="000B0A08" w:rsidP="00AD69BD">
            <w:pPr>
              <w:jc w:val="center"/>
              <w:rPr>
                <w:rFonts w:cs="Tahoma"/>
                <w:b/>
                <w:bCs/>
                <w:color w:val="000000"/>
                <w:szCs w:val="18"/>
              </w:rPr>
            </w:pPr>
            <w:r w:rsidRPr="00416070">
              <w:rPr>
                <w:rFonts w:cs="Tahoma"/>
                <w:b/>
                <w:bCs/>
                <w:color w:val="000000"/>
                <w:szCs w:val="18"/>
              </w:rPr>
              <w:t>Licença Open</w:t>
            </w:r>
          </w:p>
        </w:tc>
      </w:tr>
      <w:tr w:rsidR="000B0A08" w:rsidRPr="00416070"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070" w:rsidRDefault="000B0A08" w:rsidP="00257298">
            <w:pPr>
              <w:rPr>
                <w:rFonts w:cs="Tahoma"/>
                <w:b/>
                <w:bCs/>
                <w:color w:val="000000"/>
                <w:szCs w:val="18"/>
              </w:rPr>
            </w:pPr>
            <w:r w:rsidRPr="00416070">
              <w:rPr>
                <w:rFonts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416070"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416070" w:rsidRDefault="000B0A08" w:rsidP="00AD69BD">
            <w:pPr>
              <w:jc w:val="center"/>
              <w:rPr>
                <w:rFonts w:ascii="Arial" w:eastAsia="MS PGothic" w:hAnsi="Arial" w:cs="Arial"/>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jc w:val="center"/>
              <w:rPr>
                <w:rFonts w:eastAsia="MS PGothic" w:cs="Tahoma"/>
                <w:color w:val="000000"/>
                <w:sz w:val="21"/>
                <w:szCs w:val="21"/>
              </w:rPr>
            </w:pPr>
            <w:r w:rsidRPr="00416070">
              <w:rPr>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jc w:val="center"/>
              <w:rPr>
                <w:rFonts w:eastAsia="MS PGothic" w:cs="Tahoma"/>
                <w:color w:val="000000"/>
                <w:sz w:val="21"/>
                <w:szCs w:val="21"/>
              </w:rPr>
            </w:pPr>
            <w:r w:rsidRPr="00416070">
              <w:rPr>
                <w:color w:val="000000"/>
              </w:rPr>
              <w:t>x</w:t>
            </w:r>
          </w:p>
        </w:tc>
      </w:tr>
      <w:tr w:rsidR="000B0A08" w:rsidRPr="00416070"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070" w:rsidRDefault="000B0A08" w:rsidP="00257298">
            <w:pPr>
              <w:rPr>
                <w:rFonts w:cs="Tahoma"/>
                <w:b/>
                <w:bCs/>
                <w:color w:val="000000"/>
                <w:szCs w:val="18"/>
              </w:rPr>
            </w:pPr>
            <w:r w:rsidRPr="00416070">
              <w:rPr>
                <w:rFonts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jc w:val="center"/>
              <w:rPr>
                <w:rFonts w:eastAsia="MS PGothic" w:cs="Tahoma"/>
                <w:color w:val="000000"/>
                <w:sz w:val="21"/>
                <w:szCs w:val="21"/>
              </w:rPr>
            </w:pPr>
            <w:r w:rsidRPr="00416070">
              <w:rPr>
                <w:color w:val="000000"/>
              </w:rPr>
              <w:t>x</w:t>
            </w:r>
          </w:p>
        </w:tc>
        <w:tc>
          <w:tcPr>
            <w:tcW w:w="1185" w:type="dxa"/>
            <w:gridSpan w:val="2"/>
            <w:tcBorders>
              <w:top w:val="nil"/>
              <w:left w:val="nil"/>
              <w:bottom w:val="single" w:sz="8" w:space="0" w:color="auto"/>
              <w:right w:val="single" w:sz="8" w:space="0" w:color="auto"/>
            </w:tcBorders>
          </w:tcPr>
          <w:p w:rsidR="000B0A08" w:rsidRPr="00416070" w:rsidRDefault="000B0A08" w:rsidP="00AD69BD">
            <w:pPr>
              <w:jc w:val="center"/>
              <w:rPr>
                <w:rFonts w:ascii="Arial" w:eastAsia="MS PGothic" w:hAnsi="Arial" w:cs="Arial"/>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jc w:val="center"/>
              <w:rPr>
                <w:rFonts w:eastAsia="MS PGothic" w:cs="Tahoma"/>
                <w:color w:val="000000"/>
                <w:sz w:val="21"/>
                <w:szCs w:val="21"/>
              </w:rPr>
            </w:pPr>
            <w:r w:rsidRPr="00416070">
              <w:rPr>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jc w:val="center"/>
              <w:rPr>
                <w:rFonts w:eastAsia="MS PGothic" w:cs="Tahoma"/>
                <w:color w:val="000000"/>
                <w:sz w:val="21"/>
                <w:szCs w:val="21"/>
              </w:rPr>
            </w:pPr>
            <w:r w:rsidRPr="00416070">
              <w:rPr>
                <w:color w:val="000000"/>
              </w:rPr>
              <w:t>x</w:t>
            </w:r>
          </w:p>
        </w:tc>
      </w:tr>
    </w:tbl>
    <w:p w:rsidR="00980240" w:rsidRPr="00416070" w:rsidRDefault="00980240" w:rsidP="000B0A08"/>
    <w:p w:rsidR="001C1727" w:rsidRPr="00416070" w:rsidRDefault="001C1727"/>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2B5F9E"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E47ECF" w:rsidRDefault="000B0A08" w:rsidP="00AD69BD">
            <w:pPr>
              <w:jc w:val="center"/>
              <w:rPr>
                <w:rFonts w:eastAsia="MS PGothic" w:cs="Tahoma"/>
                <w:b/>
                <w:bCs/>
                <w:szCs w:val="18"/>
                <w:lang w:val="pt-BR"/>
              </w:rPr>
            </w:pPr>
            <w:r w:rsidRPr="00E47ECF">
              <w:rPr>
                <w:rFonts w:cs="Tahoma"/>
                <w:b/>
                <w:bCs/>
                <w:szCs w:val="18"/>
                <w:lang w:val="pt-BR"/>
              </w:rPr>
              <w:t>Aplicativos Qualificados para a aquisição de Direitos de Locação do Office Professional Plus</w:t>
            </w:r>
          </w:p>
        </w:tc>
        <w:tc>
          <w:tcPr>
            <w:tcW w:w="1333" w:type="dxa"/>
            <w:gridSpan w:val="2"/>
            <w:tcBorders>
              <w:top w:val="nil"/>
              <w:left w:val="nil"/>
              <w:bottom w:val="single" w:sz="8" w:space="0" w:color="auto"/>
              <w:right w:val="nil"/>
            </w:tcBorders>
          </w:tcPr>
          <w:p w:rsidR="000B0A08" w:rsidRPr="00E47ECF" w:rsidRDefault="000B0A08" w:rsidP="00AD69BD">
            <w:pPr>
              <w:jc w:val="both"/>
              <w:rPr>
                <w:rFonts w:ascii="Arial" w:eastAsia="MS PGothic" w:hAnsi="Arial" w:cs="Arial"/>
                <w:szCs w:val="21"/>
                <w:lang w:val="pt-BR"/>
              </w:rPr>
            </w:pPr>
          </w:p>
        </w:tc>
      </w:tr>
      <w:tr w:rsidR="000B0A08" w:rsidRPr="00416070"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E47ECF" w:rsidRDefault="000B0A08" w:rsidP="00AD69BD">
            <w:pPr>
              <w:rPr>
                <w:rFonts w:eastAsia="MS PGothic" w:cs="Tahoma"/>
                <w:b/>
                <w:bCs/>
                <w:szCs w:val="18"/>
                <w:lang w:val="pt-BR"/>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416070" w:rsidRDefault="000B0A08" w:rsidP="00AD69BD">
            <w:pPr>
              <w:jc w:val="center"/>
              <w:rPr>
                <w:rFonts w:cs="Tahoma"/>
                <w:b/>
                <w:bCs/>
                <w:szCs w:val="18"/>
              </w:rPr>
            </w:pPr>
            <w:r w:rsidRPr="00416070">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E47ECF" w:rsidRDefault="000B0A08" w:rsidP="00AD69BD">
            <w:pPr>
              <w:jc w:val="center"/>
              <w:rPr>
                <w:lang w:val="pt-BR"/>
              </w:rPr>
            </w:pPr>
            <w:r w:rsidRPr="00E47ECF">
              <w:rPr>
                <w:rFonts w:cs="Tahoma"/>
                <w:b/>
                <w:bCs/>
                <w:szCs w:val="18"/>
                <w:lang w:val="pt-BR"/>
              </w:rPr>
              <w:t>PIPC</w:t>
            </w:r>
          </w:p>
          <w:p w:rsidR="000B0A08" w:rsidRPr="00E47ECF" w:rsidRDefault="000B0A08" w:rsidP="00AD69BD">
            <w:pPr>
              <w:jc w:val="center"/>
              <w:rPr>
                <w:rFonts w:cs="Tahoma"/>
                <w:b/>
                <w:bCs/>
                <w:szCs w:val="16"/>
                <w:lang w:val="pt-BR" w:eastAsia="ja-JP"/>
              </w:rPr>
            </w:pPr>
            <w:r w:rsidRPr="00E47ECF">
              <w:rPr>
                <w:rFonts w:cs="Tahoma"/>
                <w:b/>
                <w:bCs/>
                <w:szCs w:val="18"/>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416070" w:rsidRDefault="000B0A08" w:rsidP="00AD69BD">
            <w:pPr>
              <w:jc w:val="center"/>
              <w:rPr>
                <w:rFonts w:cs="Tahoma"/>
                <w:b/>
                <w:bCs/>
                <w:szCs w:val="18"/>
              </w:rPr>
            </w:pPr>
            <w:r w:rsidRPr="00416070">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416070" w:rsidRDefault="000B0A08" w:rsidP="00AD69BD">
            <w:pPr>
              <w:jc w:val="center"/>
              <w:rPr>
                <w:rFonts w:cs="Tahoma"/>
                <w:b/>
                <w:bCs/>
                <w:szCs w:val="18"/>
              </w:rPr>
            </w:pPr>
            <w:r w:rsidRPr="00416070">
              <w:rPr>
                <w:rFonts w:cs="Tahoma"/>
                <w:b/>
                <w:bCs/>
                <w:szCs w:val="18"/>
              </w:rPr>
              <w:t>Licença Open</w:t>
            </w:r>
          </w:p>
        </w:tc>
      </w:tr>
      <w:tr w:rsidR="000B0A08" w:rsidRPr="00416070"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416070" w:rsidRDefault="000B0A08" w:rsidP="00257298">
            <w:pPr>
              <w:rPr>
                <w:rFonts w:cs="Tahoma"/>
                <w:b/>
                <w:bCs/>
                <w:szCs w:val="18"/>
                <w:lang w:eastAsia="ja-JP"/>
              </w:rPr>
            </w:pPr>
            <w:r w:rsidRPr="00416070">
              <w:rPr>
                <w:rFonts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C45359" w:rsidP="00AD69BD">
            <w:pPr>
              <w:jc w:val="center"/>
              <w:rPr>
                <w:rFonts w:eastAsia="MS PGothic" w:cs="Tahoma"/>
                <w:szCs w:val="18"/>
              </w:rPr>
            </w:pPr>
            <w:r w:rsidRPr="00416070">
              <w:rPr>
                <w:rFonts w:cs="Tahoma"/>
                <w:szCs w:val="18"/>
              </w:rPr>
              <w:t xml:space="preserve"> </w:t>
            </w:r>
          </w:p>
        </w:tc>
        <w:tc>
          <w:tcPr>
            <w:tcW w:w="1185" w:type="dxa"/>
            <w:gridSpan w:val="2"/>
            <w:tcBorders>
              <w:top w:val="nil"/>
              <w:left w:val="nil"/>
              <w:bottom w:val="single" w:sz="8" w:space="0" w:color="auto"/>
              <w:right w:val="single" w:sz="8" w:space="0" w:color="auto"/>
            </w:tcBorders>
          </w:tcPr>
          <w:p w:rsidR="000B0A08" w:rsidRPr="00416070"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jc w:val="center"/>
              <w:rPr>
                <w:rFonts w:eastAsia="MS PGothic" w:cs="Tahoma"/>
                <w:szCs w:val="18"/>
              </w:rPr>
            </w:pPr>
            <w:r w:rsidRPr="00416070">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jc w:val="center"/>
              <w:rPr>
                <w:rFonts w:eastAsia="MS PGothic" w:cs="Tahoma"/>
                <w:szCs w:val="18"/>
              </w:rPr>
            </w:pPr>
            <w:r w:rsidRPr="00416070">
              <w:rPr>
                <w:rFonts w:cs="Tahoma"/>
                <w:szCs w:val="18"/>
              </w:rPr>
              <w:t>x</w:t>
            </w:r>
          </w:p>
        </w:tc>
      </w:tr>
      <w:tr w:rsidR="000B0A08" w:rsidRPr="00416070"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070" w:rsidRDefault="000B0A08" w:rsidP="00257298">
            <w:pPr>
              <w:rPr>
                <w:rFonts w:cs="Tahoma"/>
                <w:b/>
                <w:bCs/>
                <w:szCs w:val="18"/>
                <w:lang w:eastAsia="ja-JP"/>
              </w:rPr>
            </w:pPr>
            <w:r w:rsidRPr="00416070">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C45359" w:rsidP="00AD69BD">
            <w:pPr>
              <w:jc w:val="center"/>
              <w:rPr>
                <w:rFonts w:eastAsia="MS PGothic" w:cs="Tahoma"/>
                <w:szCs w:val="18"/>
              </w:rPr>
            </w:pPr>
            <w:r w:rsidRPr="00416070">
              <w:rPr>
                <w:rFonts w:cs="Tahoma"/>
                <w:szCs w:val="18"/>
              </w:rPr>
              <w:t xml:space="preserve"> </w:t>
            </w:r>
          </w:p>
        </w:tc>
        <w:tc>
          <w:tcPr>
            <w:tcW w:w="1185" w:type="dxa"/>
            <w:gridSpan w:val="2"/>
            <w:tcBorders>
              <w:top w:val="nil"/>
              <w:left w:val="nil"/>
              <w:bottom w:val="single" w:sz="8" w:space="0" w:color="auto"/>
              <w:right w:val="single" w:sz="8" w:space="0" w:color="auto"/>
            </w:tcBorders>
          </w:tcPr>
          <w:p w:rsidR="000B0A08" w:rsidRPr="00416070"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jc w:val="center"/>
              <w:rPr>
                <w:rFonts w:eastAsia="MS PGothic" w:cs="Tahoma"/>
                <w:szCs w:val="18"/>
              </w:rPr>
            </w:pPr>
            <w:r w:rsidRPr="00416070">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jc w:val="center"/>
              <w:rPr>
                <w:rFonts w:eastAsia="MS PGothic" w:cs="Tahoma"/>
                <w:szCs w:val="18"/>
              </w:rPr>
            </w:pPr>
            <w:r w:rsidRPr="00416070">
              <w:rPr>
                <w:rFonts w:cs="Tahoma"/>
                <w:szCs w:val="18"/>
              </w:rPr>
              <w:t>x</w:t>
            </w:r>
          </w:p>
        </w:tc>
      </w:tr>
      <w:tr w:rsidR="000B0A08" w:rsidRPr="00416070"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070" w:rsidRDefault="000B0A08" w:rsidP="00257298">
            <w:pPr>
              <w:rPr>
                <w:rFonts w:cs="Tahoma"/>
                <w:b/>
                <w:bCs/>
                <w:szCs w:val="18"/>
              </w:rPr>
            </w:pPr>
            <w:r w:rsidRPr="00416070">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416070" w:rsidRDefault="000B0A08" w:rsidP="00AD69BD">
            <w:pPr>
              <w:jc w:val="center"/>
              <w:rPr>
                <w:rFonts w:eastAsia="MS PGothic" w:cs="Tahoma"/>
                <w:color w:val="000000"/>
                <w:szCs w:val="18"/>
              </w:rPr>
            </w:pPr>
            <w:r w:rsidRPr="00416070">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rPr>
                <w:rFonts w:eastAsia="Times New Roman" w:cs="Tahoma"/>
                <w:szCs w:val="18"/>
              </w:rPr>
            </w:pPr>
          </w:p>
        </w:tc>
      </w:tr>
      <w:tr w:rsidR="000B0A08" w:rsidRPr="00416070"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070" w:rsidRDefault="000B0A08" w:rsidP="00257298">
            <w:pPr>
              <w:rPr>
                <w:rFonts w:cs="Tahoma"/>
                <w:b/>
                <w:bCs/>
                <w:szCs w:val="18"/>
              </w:rPr>
            </w:pPr>
            <w:r w:rsidRPr="00416070">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416070" w:rsidRDefault="000B0A08" w:rsidP="00AD69BD">
            <w:pPr>
              <w:jc w:val="center"/>
              <w:rPr>
                <w:rFonts w:eastAsia="MS PGothic" w:cs="Tahoma"/>
                <w:color w:val="000000"/>
                <w:szCs w:val="18"/>
              </w:rPr>
            </w:pPr>
            <w:r w:rsidRPr="00416070">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rPr>
                <w:rFonts w:eastAsia="Times New Roman" w:cs="Tahoma"/>
                <w:szCs w:val="18"/>
              </w:rPr>
            </w:pPr>
          </w:p>
        </w:tc>
      </w:tr>
      <w:tr w:rsidR="000B0A08" w:rsidRPr="00416070"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070" w:rsidRDefault="000B0A08" w:rsidP="00257298">
            <w:pPr>
              <w:rPr>
                <w:rFonts w:cs="Tahoma"/>
                <w:b/>
                <w:bCs/>
                <w:szCs w:val="18"/>
              </w:rPr>
            </w:pPr>
            <w:r w:rsidRPr="00416070">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416070" w:rsidRDefault="000B0A08" w:rsidP="00AD69BD">
            <w:pPr>
              <w:jc w:val="center"/>
              <w:rPr>
                <w:rFonts w:eastAsia="MS PGothic" w:cs="Tahoma"/>
                <w:color w:val="FF0000"/>
                <w:szCs w:val="18"/>
              </w:rPr>
            </w:pPr>
            <w:r w:rsidRPr="00416070">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070" w:rsidRDefault="000B0A08" w:rsidP="00AD69BD">
            <w:pPr>
              <w:rPr>
                <w:rFonts w:eastAsia="Times New Roman" w:cs="Tahoma"/>
                <w:szCs w:val="18"/>
              </w:rPr>
            </w:pPr>
          </w:p>
        </w:tc>
      </w:tr>
    </w:tbl>
    <w:p w:rsidR="000B0A08" w:rsidRPr="00E47ECF" w:rsidRDefault="000B0A08" w:rsidP="005C382A">
      <w:pPr>
        <w:ind w:left="720"/>
        <w:rPr>
          <w:lang w:val="pt-BR"/>
        </w:rPr>
      </w:pPr>
      <w:r w:rsidRPr="00E47ECF">
        <w:rPr>
          <w:rFonts w:cs="Tahoma"/>
          <w:color w:val="000000"/>
          <w:szCs w:val="18"/>
          <w:lang w:val="pt-BR"/>
        </w:rPr>
        <w:lastRenderedPageBreak/>
        <w:t>Os clientes que adquirirem a licença de direitos de locação sobre uma licença de aplicativo qualificado terá seus direitos sob a licença desse aplicativo qualificado estendidos a fim de permitir que terceiros usem o mesmo software. A licença de locação não é uma licença step-up para uma edição superior do produto.</w:t>
      </w:r>
    </w:p>
    <w:p w:rsidR="00223A77" w:rsidRPr="00E47ECF" w:rsidRDefault="00223A77" w:rsidP="005C382A">
      <w:pPr>
        <w:ind w:left="720"/>
        <w:rPr>
          <w:lang w:val="pt-BR"/>
        </w:rPr>
      </w:pPr>
    </w:p>
    <w:p w:rsidR="00223A77" w:rsidRPr="00E47ECF" w:rsidRDefault="00223A77" w:rsidP="00864B8A">
      <w:pPr>
        <w:spacing w:after="60"/>
        <w:ind w:left="720"/>
        <w:rPr>
          <w:lang w:val="pt-BR"/>
        </w:rPr>
      </w:pPr>
      <w:r w:rsidRPr="00E47ECF">
        <w:rPr>
          <w:rFonts w:cs="Tahoma"/>
          <w:b/>
          <w:lang w:val="pt-BR"/>
        </w:rPr>
        <w:t>Exceção do Software Assurance</w:t>
      </w:r>
    </w:p>
    <w:p w:rsidR="009504CA" w:rsidRPr="00E47ECF" w:rsidRDefault="00223A77" w:rsidP="005C382A">
      <w:pPr>
        <w:ind w:left="720"/>
        <w:rPr>
          <w:lang w:val="pt-BR"/>
        </w:rPr>
      </w:pPr>
      <w:r w:rsidRPr="00E47ECF">
        <w:rPr>
          <w:rFonts w:cs="Tahoma"/>
          <w:color w:val="000000"/>
          <w:szCs w:val="18"/>
          <w:lang w:val="pt-BR"/>
        </w:rPr>
        <w:t>Os clientes que estiverem adquirindo licenças de direitos de locação não estarão qualificados a obter o Software Assurance para as licenças de direitos de locação nem para as licenças básicas de software qualificado.</w:t>
      </w:r>
    </w:p>
    <w:p w:rsidR="00980240" w:rsidRPr="00E47ECF" w:rsidRDefault="00980240" w:rsidP="00980240">
      <w:pPr>
        <w:rPr>
          <w:lang w:val="pt-BR"/>
        </w:rPr>
      </w:pPr>
    </w:p>
    <w:p w:rsidR="00980240" w:rsidRPr="00E47ECF" w:rsidRDefault="00980240" w:rsidP="00980240">
      <w:pPr>
        <w:rPr>
          <w:lang w:val="pt-BR"/>
        </w:rPr>
      </w:pPr>
    </w:p>
    <w:p w:rsidR="005F584F" w:rsidRPr="00416070" w:rsidRDefault="005F584F" w:rsidP="005F584F">
      <w:pPr>
        <w:pStyle w:val="Heading3"/>
      </w:pPr>
      <w:bookmarkStart w:id="1073" w:name="_15_Visio_Professional"/>
      <w:bookmarkStart w:id="1074" w:name="_Toc352234339"/>
      <w:bookmarkEnd w:id="1073"/>
      <w:r w:rsidRPr="00416070">
        <w:rPr>
          <w:rFonts w:ascii="Tahoma" w:hAnsi="Tahoma" w:cs="Tahoma"/>
          <w:caps/>
          <w:color w:val="EE6000"/>
          <w:sz w:val="22"/>
          <w:szCs w:val="18"/>
          <w:vertAlign w:val="superscript"/>
        </w:rPr>
        <w:t>15</w:t>
      </w:r>
      <w:r w:rsidR="007D10DB" w:rsidRPr="00416070">
        <w:rPr>
          <w:rFonts w:ascii="Tahoma" w:hAnsi="Tahoma"/>
          <w:color w:val="F66400"/>
          <w:sz w:val="22"/>
        </w:rPr>
        <w:t xml:space="preserve"> </w:t>
      </w:r>
      <w:r w:rsidRPr="00416070">
        <w:rPr>
          <w:rFonts w:ascii="Tahoma" w:hAnsi="Tahoma"/>
          <w:color w:val="F66400"/>
          <w:sz w:val="22"/>
        </w:rPr>
        <w:t>Vexcel Desktop com Pacote de Conteúdo Aprimorado</w:t>
      </w:r>
      <w:bookmarkEnd w:id="1074"/>
    </w:p>
    <w:p w:rsidR="005F584F" w:rsidRPr="00E47ECF" w:rsidRDefault="005F584F" w:rsidP="005F584F">
      <w:pPr>
        <w:rPr>
          <w:lang w:val="pt-BR"/>
        </w:rPr>
      </w:pPr>
    </w:p>
    <w:p w:rsidR="005F584F" w:rsidRPr="00E47ECF" w:rsidRDefault="005F584F" w:rsidP="007F574F">
      <w:pPr>
        <w:spacing w:after="60"/>
        <w:ind w:left="720"/>
        <w:rPr>
          <w:lang w:val="pt-BR"/>
        </w:rPr>
      </w:pPr>
      <w:r w:rsidRPr="00E47ECF">
        <w:rPr>
          <w:b/>
          <w:lang w:val="pt-BR"/>
        </w:rPr>
        <w:t>Serviços de Criação Requeridos</w:t>
      </w:r>
      <w:r w:rsidR="00FB5496" w:rsidRPr="00E47ECF">
        <w:rPr>
          <w:b/>
          <w:lang w:val="pt-BR"/>
        </w:rPr>
        <w:t xml:space="preserve"> </w:t>
      </w:r>
    </w:p>
    <w:p w:rsidR="005F584F" w:rsidRPr="00E47ECF" w:rsidRDefault="005F584F" w:rsidP="007F574F">
      <w:pPr>
        <w:ind w:left="720"/>
        <w:rPr>
          <w:lang w:val="pt-BR"/>
        </w:rPr>
      </w:pPr>
      <w:r w:rsidRPr="00E47ECF">
        <w:rPr>
          <w:szCs w:val="18"/>
          <w:lang w:val="pt-BR"/>
        </w:rPr>
        <w:t>O Vexcel Desktop com Pacote de Conteúdo Aprimorado requer os serviços de criação de sistemas da Vexcel, subsidiária geoespacial da Microsoft.</w:t>
      </w:r>
      <w:r w:rsidR="00FB5496" w:rsidRPr="00E47ECF">
        <w:rPr>
          <w:szCs w:val="18"/>
          <w:lang w:val="pt-BR"/>
        </w:rPr>
        <w:t xml:space="preserve"> </w:t>
      </w:r>
      <w:r w:rsidRPr="00E47ECF">
        <w:rPr>
          <w:szCs w:val="18"/>
          <w:lang w:val="pt-BR"/>
        </w:rPr>
        <w:t>Também estão disponíveis treinamento, suporte e serviços de manutenção adicionais, mas não são necessários.</w:t>
      </w:r>
      <w:r w:rsidR="00FB5496" w:rsidRPr="00E47ECF">
        <w:rPr>
          <w:szCs w:val="18"/>
          <w:lang w:val="pt-BR"/>
        </w:rPr>
        <w:t xml:space="preserve"> </w:t>
      </w:r>
      <w:r w:rsidRPr="00E47ECF">
        <w:rPr>
          <w:szCs w:val="18"/>
          <w:lang w:val="pt-BR"/>
        </w:rPr>
        <w:t xml:space="preserve">Para obter mais informações, visite o site </w:t>
      </w:r>
      <w:hyperlink r:id="rId44" w:history="1">
        <w:r w:rsidRPr="00E47ECF">
          <w:rPr>
            <w:rStyle w:val="Hyperlink"/>
            <w:rFonts w:cs="Tahoma"/>
            <w:szCs w:val="18"/>
            <w:lang w:val="pt-BR"/>
          </w:rPr>
          <w:t>http://www.vexcel.com/geospatial/bingmapsserver/index.asp</w:t>
        </w:r>
      </w:hyperlink>
    </w:p>
    <w:p w:rsidR="005F584F" w:rsidRPr="00E47ECF" w:rsidRDefault="005F584F" w:rsidP="007F574F">
      <w:pPr>
        <w:ind w:left="720"/>
        <w:rPr>
          <w:lang w:val="pt-BR"/>
        </w:rPr>
      </w:pPr>
    </w:p>
    <w:p w:rsidR="005F584F" w:rsidRPr="00E47ECF" w:rsidRDefault="005F584F" w:rsidP="007E466C">
      <w:pPr>
        <w:rPr>
          <w:lang w:val="pt-BR"/>
        </w:rPr>
      </w:pPr>
    </w:p>
    <w:p w:rsidR="00257298" w:rsidRPr="00416070" w:rsidRDefault="00257298" w:rsidP="005C382A">
      <w:pPr>
        <w:pStyle w:val="Heading3"/>
      </w:pPr>
      <w:bookmarkStart w:id="1075" w:name="_16_Visio_Professional"/>
      <w:bookmarkStart w:id="1076" w:name="_Toc352234340"/>
      <w:bookmarkEnd w:id="1075"/>
      <w:r w:rsidRPr="00416070">
        <w:rPr>
          <w:rFonts w:ascii="Tahoma" w:hAnsi="Tahoma"/>
          <w:caps/>
          <w:color w:val="F66400"/>
          <w:sz w:val="22"/>
          <w:vertAlign w:val="superscript"/>
        </w:rPr>
        <w:t>16</w:t>
      </w:r>
      <w:r w:rsidRPr="00416070">
        <w:rPr>
          <w:rFonts w:ascii="Tahoma" w:hAnsi="Tahoma"/>
          <w:color w:val="F66400"/>
          <w:sz w:val="22"/>
        </w:rPr>
        <w:t xml:space="preserve"> Visio Professional 2013</w:t>
      </w:r>
      <w:bookmarkEnd w:id="1076"/>
    </w:p>
    <w:p w:rsidR="005C382A" w:rsidRPr="00E47ECF" w:rsidRDefault="005C382A" w:rsidP="005C382A">
      <w:pPr>
        <w:rPr>
          <w:lang w:val="pt-BR"/>
        </w:rPr>
      </w:pPr>
    </w:p>
    <w:p w:rsidR="00257298" w:rsidRPr="00E47ECF" w:rsidRDefault="00257298" w:rsidP="00864B8A">
      <w:pPr>
        <w:spacing w:after="60"/>
        <w:ind w:left="720"/>
        <w:rPr>
          <w:lang w:val="pt-BR"/>
        </w:rPr>
      </w:pPr>
      <w:r w:rsidRPr="00E47ECF">
        <w:rPr>
          <w:rFonts w:cs="Tahoma"/>
          <w:b/>
          <w:lang w:val="pt-BR"/>
        </w:rPr>
        <w:t xml:space="preserve">Caminho de Migração do Software Assurance para </w:t>
      </w:r>
      <w:bookmarkStart w:id="1077" w:name="Srv_11VisioPremium2010"/>
      <w:bookmarkStart w:id="1078" w:name="Aps_11VisioPremium2010"/>
      <w:bookmarkStart w:id="1079" w:name="_Toc336338274"/>
      <w:bookmarkStart w:id="1080" w:name="Srv_VisioPremium2010"/>
      <w:r w:rsidRPr="00E47ECF">
        <w:rPr>
          <w:rFonts w:cs="Tahoma"/>
          <w:b/>
          <w:lang w:val="pt-BR"/>
        </w:rPr>
        <w:t>Visio Premium 2010</w:t>
      </w:r>
      <w:bookmarkEnd w:id="1077"/>
      <w:bookmarkEnd w:id="1078"/>
      <w:bookmarkEnd w:id="1079"/>
    </w:p>
    <w:bookmarkEnd w:id="1080"/>
    <w:p w:rsidR="00257298" w:rsidRPr="00E47ECF" w:rsidRDefault="00257298" w:rsidP="005C382A">
      <w:pPr>
        <w:pStyle w:val="FootnoteBulletLevel1"/>
        <w:spacing w:before="0" w:after="0"/>
        <w:ind w:left="720" w:firstLine="0"/>
        <w:rPr>
          <w:lang w:val="pt-BR"/>
        </w:rPr>
      </w:pPr>
      <w:r w:rsidRPr="00E47ECF">
        <w:rPr>
          <w:rFonts w:ascii="Tahoma" w:hAnsi="Tahoma" w:cs="Tahoma"/>
          <w:sz w:val="18"/>
          <w:lang w:val="pt-BR"/>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Visio Premium 2010 sob as licenças qualificadas correspondentes expirar.</w:t>
      </w:r>
      <w:r w:rsidR="00FB5496" w:rsidRPr="00E47ECF">
        <w:rPr>
          <w:rFonts w:ascii="Tahoma" w:hAnsi="Tahoma" w:cs="Tahoma"/>
          <w:sz w:val="18"/>
          <w:lang w:val="pt-BR"/>
        </w:rPr>
        <w:t xml:space="preserve"> </w:t>
      </w:r>
      <w:r w:rsidRPr="00E47ECF">
        <w:rPr>
          <w:rFonts w:ascii="Tahoma" w:hAnsi="Tahoma" w:cs="Tahoma"/>
          <w:sz w:val="18"/>
          <w:lang w:val="pt-BR"/>
        </w:rPr>
        <w:t>O</w:t>
      </w:r>
      <w:r w:rsidR="007D10DB" w:rsidRPr="00E47ECF">
        <w:rPr>
          <w:rFonts w:ascii="Tahoma" w:hAnsi="Tahoma" w:cs="Tahoma"/>
          <w:sz w:val="18"/>
          <w:lang w:val="pt-BR"/>
        </w:rPr>
        <w:t> </w:t>
      </w:r>
      <w:r w:rsidRPr="00E47ECF">
        <w:rPr>
          <w:rFonts w:ascii="Tahoma" w:hAnsi="Tahoma" w:cs="Tahoma"/>
          <w:sz w:val="18"/>
          <w:lang w:val="pt-BR"/>
        </w:rPr>
        <w:t>uso</w:t>
      </w:r>
      <w:r w:rsidR="007D10DB" w:rsidRPr="00E47ECF">
        <w:rPr>
          <w:rFonts w:ascii="Tahoma" w:hAnsi="Tahoma" w:cs="Tahoma"/>
          <w:sz w:val="18"/>
          <w:lang w:val="pt-BR"/>
        </w:rPr>
        <w:t> </w:t>
      </w:r>
      <w:r w:rsidRPr="00E47ECF">
        <w:rPr>
          <w:rFonts w:ascii="Tahoma" w:hAnsi="Tahoma" w:cs="Tahoma"/>
          <w:sz w:val="18"/>
          <w:lang w:val="pt-BR"/>
        </w:rPr>
        <w:t>do Visio Professional 2013 é regido pelos direitos de uso do Visio Professional 2013 e pelos termos e</w:t>
      </w:r>
      <w:r w:rsidR="007D10DB" w:rsidRPr="00E47ECF">
        <w:rPr>
          <w:rFonts w:ascii="Tahoma" w:hAnsi="Tahoma" w:cs="Tahoma"/>
          <w:sz w:val="18"/>
          <w:lang w:val="pt-BR"/>
        </w:rPr>
        <w:t> </w:t>
      </w:r>
      <w:r w:rsidRPr="00E47ECF">
        <w:rPr>
          <w:rFonts w:ascii="Tahoma" w:hAnsi="Tahoma" w:cs="Tahoma"/>
          <w:sz w:val="18"/>
          <w:lang w:val="pt-BR"/>
        </w:rPr>
        <w:t>condições do contrato de licenciamento por volume do cliente.</w:t>
      </w:r>
      <w:r w:rsidR="00FB5496" w:rsidRPr="00E47ECF">
        <w:rPr>
          <w:rFonts w:ascii="Tahoma" w:hAnsi="Tahoma" w:cs="Tahoma"/>
          <w:sz w:val="18"/>
          <w:lang w:val="pt-BR"/>
        </w:rPr>
        <w:t xml:space="preserve"> </w:t>
      </w:r>
      <w:r w:rsidRPr="00E47ECF">
        <w:rPr>
          <w:rFonts w:ascii="Tahoma" w:hAnsi="Tahoma" w:cs="Tahoma"/>
          <w:sz w:val="18"/>
          <w:lang w:val="pt-BR"/>
        </w:rPr>
        <w:t>Esta nota de condição do produto e a evidência do cliente quanto à licença qualificada correspondente comprovam o direito de uso do Visio Professional 2013 sob esta oferta.</w:t>
      </w:r>
      <w:r w:rsidR="00FB5496" w:rsidRPr="00E47ECF">
        <w:rPr>
          <w:rFonts w:ascii="Tahoma" w:hAnsi="Tahoma" w:cs="Tahoma"/>
          <w:sz w:val="18"/>
          <w:lang w:val="pt-BR"/>
        </w:rPr>
        <w:t xml:space="preserve"> </w:t>
      </w:r>
      <w:r w:rsidRPr="00E47ECF">
        <w:rPr>
          <w:rFonts w:ascii="Tahoma" w:hAnsi="Tahoma" w:cs="Tahoma"/>
          <w:sz w:val="18"/>
          <w:lang w:val="pt-BR"/>
        </w:rPr>
        <w:t>No término da cobertura do Software Assurance para o Visio Premium 2010, o cliente poderá adquirir o Software Assurance para o Visio Professional 2013 sem precisar adquirir uma nova licença separadamente.</w:t>
      </w:r>
    </w:p>
    <w:p w:rsidR="007009C5" w:rsidRPr="00E47ECF" w:rsidRDefault="007009C5" w:rsidP="00864B8A">
      <w:pPr>
        <w:spacing w:after="60"/>
        <w:ind w:left="720"/>
        <w:rPr>
          <w:rFonts w:cs="Tahoma"/>
          <w:bCs/>
          <w:lang w:val="pt-BR"/>
        </w:rPr>
      </w:pPr>
    </w:p>
    <w:p w:rsidR="00DF3CEE" w:rsidRPr="00E47ECF" w:rsidRDefault="00DF3CEE" w:rsidP="00864B8A">
      <w:pPr>
        <w:spacing w:after="60"/>
        <w:ind w:left="720"/>
        <w:rPr>
          <w:lang w:val="pt-BR"/>
        </w:rPr>
      </w:pPr>
      <w:r w:rsidRPr="00E47ECF">
        <w:rPr>
          <w:rFonts w:cs="Tahoma"/>
          <w:b/>
          <w:lang w:val="pt-BR"/>
        </w:rPr>
        <w:t>Direitos de Downgrade para o Visio Professional 2013</w:t>
      </w:r>
    </w:p>
    <w:p w:rsidR="00DF3CEE" w:rsidRPr="00E47ECF" w:rsidRDefault="00DF3CEE" w:rsidP="005C382A">
      <w:pPr>
        <w:pStyle w:val="FootnoteBulletLevel1"/>
        <w:spacing w:before="0" w:after="0"/>
        <w:ind w:left="720" w:firstLine="0"/>
        <w:rPr>
          <w:lang w:val="pt-BR"/>
        </w:rPr>
      </w:pPr>
      <w:r w:rsidRPr="00E47ECF">
        <w:rPr>
          <w:rFonts w:ascii="Tahoma" w:hAnsi="Tahoma" w:cs="Tahoma"/>
          <w:sz w:val="18"/>
          <w:lang w:val="pt-BR"/>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w:t>
      </w:r>
      <w:r w:rsidR="00EC03AC" w:rsidRPr="00E47ECF">
        <w:rPr>
          <w:rFonts w:ascii="Tahoma" w:hAnsi="Tahoma" w:cs="Tahoma"/>
          <w:sz w:val="18"/>
          <w:lang w:val="pt-BR"/>
        </w:rPr>
        <w:t> </w:t>
      </w:r>
      <w:r w:rsidRPr="00E47ECF">
        <w:rPr>
          <w:rFonts w:ascii="Tahoma" w:hAnsi="Tahoma" w:cs="Tahoma"/>
          <w:sz w:val="18"/>
          <w:lang w:val="pt-BR"/>
        </w:rPr>
        <w:t>2010.</w:t>
      </w:r>
    </w:p>
    <w:p w:rsidR="005C382A" w:rsidRPr="00E47ECF" w:rsidRDefault="005C382A" w:rsidP="005C382A">
      <w:pPr>
        <w:rPr>
          <w:lang w:val="pt-BR"/>
        </w:rPr>
      </w:pPr>
    </w:p>
    <w:p w:rsidR="00BE4D27" w:rsidRPr="007E2720" w:rsidRDefault="00BE4D27" w:rsidP="00BE4D27">
      <w:pPr>
        <w:pStyle w:val="Heading3"/>
        <w:rPr>
          <w:rFonts w:ascii="Tahoma" w:hAnsi="Tahoma" w:cs="Tahoma"/>
        </w:rPr>
      </w:pPr>
      <w:bookmarkStart w:id="1081" w:name="_17_Visio_Pro"/>
      <w:bookmarkStart w:id="1082" w:name="_Toc352234341"/>
      <w:bookmarkEnd w:id="1081"/>
      <w:r w:rsidRPr="007E2720">
        <w:rPr>
          <w:rFonts w:ascii="Tahoma" w:hAnsi="Tahoma" w:cs="Tahoma"/>
          <w:caps/>
          <w:color w:val="F66400"/>
          <w:sz w:val="22"/>
          <w:vertAlign w:val="superscript"/>
        </w:rPr>
        <w:t>17</w:t>
      </w:r>
      <w:r w:rsidRPr="007E2720">
        <w:rPr>
          <w:rFonts w:ascii="Tahoma" w:hAnsi="Tahoma" w:cs="Tahoma"/>
          <w:color w:val="F66400"/>
          <w:sz w:val="22"/>
        </w:rPr>
        <w:t xml:space="preserve"> Visio Pro para Office 365</w:t>
      </w:r>
      <w:bookmarkEnd w:id="1082"/>
      <w:r w:rsidRPr="007E2720">
        <w:rPr>
          <w:rFonts w:ascii="Tahoma" w:hAnsi="Tahoma" w:cs="Tahoma"/>
          <w:color w:val="F66400"/>
          <w:sz w:val="22"/>
        </w:rPr>
        <w:t xml:space="preserve"> </w:t>
      </w:r>
    </w:p>
    <w:p w:rsidR="007009C5" w:rsidRPr="00E47ECF" w:rsidRDefault="007009C5" w:rsidP="00BE4D27">
      <w:pPr>
        <w:spacing w:after="60"/>
        <w:ind w:left="720"/>
        <w:rPr>
          <w:rFonts w:cs="Tahoma"/>
          <w:b/>
          <w:lang w:val="pt-BR"/>
        </w:rPr>
      </w:pPr>
    </w:p>
    <w:p w:rsidR="00BE4D27" w:rsidRPr="00E47ECF" w:rsidRDefault="00BE4D27" w:rsidP="00BE4D27">
      <w:pPr>
        <w:spacing w:after="60"/>
        <w:ind w:left="720"/>
        <w:rPr>
          <w:lang w:val="pt-BR"/>
        </w:rPr>
      </w:pPr>
      <w:r w:rsidRPr="00E47ECF">
        <w:rPr>
          <w:rFonts w:cs="Tahoma"/>
          <w:b/>
          <w:lang w:val="pt-BR"/>
        </w:rPr>
        <w:t>Qualificação de Mídia com Serviços de Área de Trabalho Remota (RDS)</w:t>
      </w:r>
    </w:p>
    <w:p w:rsidR="00BE4D27" w:rsidRPr="00E47ECF" w:rsidRDefault="00BE4D27" w:rsidP="00BE4D27">
      <w:pPr>
        <w:ind w:left="720"/>
        <w:rPr>
          <w:lang w:val="pt-BR"/>
        </w:rPr>
      </w:pPr>
      <w:r w:rsidRPr="00E47ECF">
        <w:rPr>
          <w:rFonts w:cs="Tahoma"/>
          <w:szCs w:val="18"/>
          <w:lang w:val="pt-BR"/>
        </w:rPr>
        <w:t>Se o usuário para o qual você atribuiu uma licença do Visio Pro para Office 365 usar o software em um servidor de rede com a função RDS ativada, em vez de instalar uma cópia do software fornecido com o Visio</w:t>
      </w:r>
      <w:r w:rsidR="00EC03AC" w:rsidRPr="00E47ECF">
        <w:rPr>
          <w:rFonts w:cs="Tahoma"/>
          <w:szCs w:val="18"/>
          <w:lang w:val="pt-BR"/>
        </w:rPr>
        <w:t> </w:t>
      </w:r>
      <w:r w:rsidRPr="00E47ECF">
        <w:rPr>
          <w:rFonts w:cs="Tahoma"/>
          <w:szCs w:val="18"/>
          <w:lang w:val="pt-BR"/>
        </w:rPr>
        <w:t>Pro para Office 365 em um dos cinco dispositivos permitidos de acordo com os Direitos de Uso do Produto para Visio Pro para Office 365, esse usuário poderá 1) instalar uma cópia do software Visio 2013 Professional em um servidor de rede e 2) acessar o software Visio 2013 Professional de qualquer dispositivo.</w:t>
      </w:r>
      <w:r w:rsidR="00FB5496" w:rsidRPr="00E47ECF">
        <w:rPr>
          <w:rFonts w:cs="Tahoma"/>
          <w:szCs w:val="18"/>
          <w:lang w:val="pt-BR"/>
        </w:rPr>
        <w:t xml:space="preserve"> </w:t>
      </w:r>
      <w:r w:rsidRPr="00E47ECF">
        <w:rPr>
          <w:rFonts w:cs="Tahoma"/>
          <w:szCs w:val="18"/>
          <w:lang w:val="pt-BR"/>
        </w:rPr>
        <w:t>Mediante o término da sua assinatura do Visio Pro para Office 365, você deverá desinstalar o</w:t>
      </w:r>
      <w:r w:rsidR="00F435F1" w:rsidRPr="00E47ECF">
        <w:rPr>
          <w:rFonts w:cs="Tahoma"/>
          <w:szCs w:val="18"/>
          <w:lang w:val="pt-BR"/>
        </w:rPr>
        <w:t> </w:t>
      </w:r>
      <w:r w:rsidRPr="00E47ECF">
        <w:rPr>
          <w:rFonts w:cs="Tahoma"/>
          <w:szCs w:val="18"/>
          <w:lang w:val="pt-BR"/>
        </w:rPr>
        <w:t>software Visio 2013 Pr</w:t>
      </w:r>
      <w:r w:rsidR="007E2720" w:rsidRPr="00E47ECF">
        <w:rPr>
          <w:rFonts w:cs="Tahoma"/>
          <w:szCs w:val="18"/>
          <w:lang w:val="pt-BR"/>
        </w:rPr>
        <w:t>ofessional do servidor de rede.</w:t>
      </w:r>
    </w:p>
    <w:p w:rsidR="00BE4D27" w:rsidRPr="00E47ECF" w:rsidRDefault="00BE4D27" w:rsidP="00BE4D27">
      <w:pPr>
        <w:ind w:left="720"/>
        <w:rPr>
          <w:lang w:val="pt-BR"/>
        </w:rPr>
      </w:pPr>
    </w:p>
    <w:p w:rsidR="00BE4D27" w:rsidRPr="00E47ECF" w:rsidRDefault="00BE4D27" w:rsidP="00BE4D27">
      <w:pPr>
        <w:spacing w:after="60"/>
        <w:ind w:left="720"/>
        <w:rPr>
          <w:lang w:val="pt-BR"/>
        </w:rPr>
      </w:pPr>
      <w:r w:rsidRPr="00E47ECF">
        <w:rPr>
          <w:rFonts w:cs="Tahoma"/>
          <w:b/>
          <w:lang w:val="pt-BR"/>
        </w:rPr>
        <w:t>Direitos de Downgrade</w:t>
      </w:r>
    </w:p>
    <w:p w:rsidR="00BE4D27" w:rsidRPr="00E47ECF" w:rsidRDefault="00BE4D27" w:rsidP="00BE4D27">
      <w:pPr>
        <w:ind w:left="720"/>
        <w:rPr>
          <w:rStyle w:val="Hyperlink"/>
          <w:rFonts w:cs="Tahoma"/>
          <w:bCs/>
          <w:szCs w:val="18"/>
          <w:lang w:val="pt-BR"/>
        </w:rPr>
      </w:pPr>
      <w:r w:rsidRPr="00E47ECF">
        <w:rPr>
          <w:rFonts w:cs="Tahoma"/>
          <w:bCs/>
          <w:szCs w:val="18"/>
          <w:lang w:val="pt-BR"/>
        </w:rPr>
        <w:t>O serviço Visio Pro para Office 365 não possui direitos de downgrade. Para obter mais informações sobre os</w:t>
      </w:r>
      <w:r w:rsidR="00F435F1" w:rsidRPr="00E47ECF">
        <w:rPr>
          <w:rFonts w:cs="Tahoma"/>
          <w:bCs/>
          <w:szCs w:val="18"/>
          <w:lang w:val="pt-BR"/>
        </w:rPr>
        <w:t> </w:t>
      </w:r>
      <w:r w:rsidRPr="00E47ECF">
        <w:rPr>
          <w:rFonts w:cs="Tahoma"/>
          <w:bCs/>
          <w:szCs w:val="18"/>
          <w:lang w:val="pt-BR"/>
        </w:rPr>
        <w:t xml:space="preserve">requisitos de atualização dos Serviços Online, consulte o documento de Direitos de Uso de Produto (PUR) no site </w:t>
      </w:r>
      <w:hyperlink r:id="rId45" w:history="1">
        <w:r w:rsidRPr="00E47ECF">
          <w:rPr>
            <w:rStyle w:val="Hyperlink"/>
            <w:rFonts w:cs="Tahoma"/>
            <w:bCs/>
            <w:szCs w:val="18"/>
            <w:lang w:val="pt-BR"/>
          </w:rPr>
          <w:t>http://www.microsoftvolumelicensing.com/userights/PUR.aspx</w:t>
        </w:r>
      </w:hyperlink>
    </w:p>
    <w:p w:rsidR="007E2720" w:rsidRPr="00E47ECF" w:rsidRDefault="007E2720" w:rsidP="00BE4D27">
      <w:pPr>
        <w:ind w:left="720"/>
        <w:rPr>
          <w:lang w:val="pt-BR"/>
        </w:rPr>
      </w:pPr>
    </w:p>
    <w:p w:rsidR="00223A77" w:rsidRPr="00416070" w:rsidRDefault="00B26237" w:rsidP="00223A77">
      <w:pPr>
        <w:pStyle w:val="Heading3"/>
      </w:pPr>
      <w:bookmarkStart w:id="1083" w:name="_Toc336338275"/>
      <w:bookmarkStart w:id="1084" w:name="_Toc352234342"/>
      <w:bookmarkStart w:id="1085" w:name="Aps_12VS2010Professional"/>
      <w:bookmarkStart w:id="1086" w:name="_Toc252341836"/>
      <w:r w:rsidRPr="00416070">
        <w:rPr>
          <w:rFonts w:ascii="Tahoma" w:hAnsi="Tahoma"/>
          <w:caps/>
          <w:color w:val="F66400"/>
          <w:sz w:val="22"/>
          <w:vertAlign w:val="superscript"/>
        </w:rPr>
        <w:lastRenderedPageBreak/>
        <w:t>18</w:t>
      </w:r>
      <w:r w:rsidRPr="00416070">
        <w:rPr>
          <w:rFonts w:ascii="Tahoma" w:hAnsi="Tahoma"/>
          <w:color w:val="F66400"/>
          <w:sz w:val="22"/>
        </w:rPr>
        <w:t xml:space="preserve"> Visual Studio Professional 2012</w:t>
      </w:r>
      <w:bookmarkEnd w:id="1083"/>
      <w:bookmarkEnd w:id="1084"/>
    </w:p>
    <w:bookmarkEnd w:id="1085"/>
    <w:p w:rsidR="009275A3" w:rsidRPr="00E47ECF" w:rsidRDefault="009275A3" w:rsidP="009275A3">
      <w:pPr>
        <w:pStyle w:val="FootnoteBulletLevel1"/>
        <w:tabs>
          <w:tab w:val="clear" w:pos="900"/>
        </w:tabs>
        <w:spacing w:before="0" w:after="0"/>
        <w:ind w:left="0" w:firstLine="0"/>
        <w:rPr>
          <w:rFonts w:ascii="Tahoma" w:hAnsi="Tahoma" w:cs="Tahoma"/>
          <w:sz w:val="18"/>
          <w:szCs w:val="18"/>
          <w:lang w:val="pt-BR"/>
        </w:rPr>
      </w:pPr>
    </w:p>
    <w:p w:rsidR="006D58DB" w:rsidRPr="00E47ECF" w:rsidRDefault="006D58DB" w:rsidP="00864B8A">
      <w:pPr>
        <w:spacing w:after="60"/>
        <w:ind w:left="720"/>
        <w:rPr>
          <w:lang w:val="pt-BR"/>
        </w:rPr>
      </w:pPr>
      <w:r w:rsidRPr="00E47ECF">
        <w:rPr>
          <w:rFonts w:cs="Tahoma"/>
          <w:b/>
          <w:lang w:val="pt-BR"/>
        </w:rPr>
        <w:t>Caminho de Migração do Software Assurance para o Visual Studio LightSwitch 2011</w:t>
      </w:r>
    </w:p>
    <w:p w:rsidR="006D58DB" w:rsidRPr="00E47ECF" w:rsidRDefault="006D58DB" w:rsidP="007E2720">
      <w:pPr>
        <w:pStyle w:val="FootnoteBulletLevel1"/>
        <w:tabs>
          <w:tab w:val="clear" w:pos="900"/>
        </w:tabs>
        <w:spacing w:before="0" w:after="0"/>
        <w:ind w:left="720" w:firstLine="0"/>
        <w:rPr>
          <w:lang w:val="pt-BR"/>
        </w:rPr>
      </w:pPr>
      <w:r w:rsidRPr="00E47ECF">
        <w:rPr>
          <w:rFonts w:ascii="Tahoma" w:hAnsi="Tahoma" w:cs="Tahoma"/>
          <w:sz w:val="18"/>
          <w:lang w:val="pt-BR"/>
        </w:rPr>
        <w:t>Os clientes com cobertura ativa do Software Assurance para Visual Studio LightSwitch 2011 desde a data</w:t>
      </w:r>
      <w:r w:rsidR="007E2720" w:rsidRPr="00E47ECF">
        <w:rPr>
          <w:rFonts w:ascii="Tahoma" w:hAnsi="Tahoma" w:cs="Tahoma"/>
          <w:sz w:val="18"/>
          <w:lang w:val="pt-BR"/>
        </w:rPr>
        <w:t> </w:t>
      </w:r>
      <w:r w:rsidRPr="00E47ECF">
        <w:rPr>
          <w:rFonts w:ascii="Tahoma" w:hAnsi="Tahoma" w:cs="Tahoma"/>
          <w:sz w:val="18"/>
          <w:lang w:val="pt-BR"/>
        </w:rPr>
        <w:t>de</w:t>
      </w:r>
      <w:r w:rsidR="007009C5" w:rsidRPr="00E47ECF">
        <w:rPr>
          <w:rFonts w:ascii="Tahoma" w:hAnsi="Tahoma" w:cs="Tahoma"/>
          <w:sz w:val="18"/>
          <w:lang w:val="pt-BR"/>
        </w:rPr>
        <w:t> </w:t>
      </w:r>
      <w:r w:rsidRPr="00E47ECF">
        <w:rPr>
          <w:rFonts w:ascii="Tahoma" w:hAnsi="Tahoma" w:cs="Tahoma"/>
          <w:sz w:val="18"/>
          <w:lang w:val="pt-BR"/>
        </w:rPr>
        <w:t>disponibilização para Visual Studio Professional 2012 estão qualificados a usar o Visual Studio Professional 2012. O direito de uso do Visual Studio Professional 2012 sob essa oferta se encerra no término</w:t>
      </w:r>
      <w:r w:rsidR="007009C5" w:rsidRPr="00E47ECF">
        <w:rPr>
          <w:rFonts w:ascii="Tahoma" w:hAnsi="Tahoma" w:cs="Tahoma"/>
          <w:sz w:val="18"/>
          <w:lang w:val="pt-BR"/>
        </w:rPr>
        <w:t> </w:t>
      </w:r>
      <w:r w:rsidRPr="00E47ECF">
        <w:rPr>
          <w:rFonts w:ascii="Tahoma" w:hAnsi="Tahoma" w:cs="Tahoma"/>
          <w:sz w:val="18"/>
          <w:lang w:val="pt-BR"/>
        </w:rPr>
        <w:t>do direito de uso do Visual Studio LightSwitch 2011 sob as licenças qualificadas correspondentes.</w:t>
      </w:r>
      <w:r w:rsidR="00FB5496" w:rsidRPr="00E47ECF">
        <w:rPr>
          <w:rFonts w:ascii="Tahoma" w:hAnsi="Tahoma" w:cs="Tahoma"/>
          <w:sz w:val="18"/>
          <w:lang w:val="pt-BR"/>
        </w:rPr>
        <w:t xml:space="preserve"> </w:t>
      </w:r>
      <w:r w:rsidRPr="00E47ECF">
        <w:rPr>
          <w:rFonts w:ascii="Tahoma" w:hAnsi="Tahoma" w:cs="Tahoma"/>
          <w:sz w:val="18"/>
          <w:lang w:val="pt-BR"/>
        </w:rPr>
        <w:t>O</w:t>
      </w:r>
      <w:r w:rsidR="007009C5" w:rsidRPr="00E47ECF">
        <w:rPr>
          <w:rFonts w:ascii="Tahoma" w:hAnsi="Tahoma" w:cs="Tahoma"/>
          <w:sz w:val="18"/>
          <w:lang w:val="pt-BR"/>
        </w:rPr>
        <w:t> </w:t>
      </w:r>
      <w:r w:rsidRPr="00E47ECF">
        <w:rPr>
          <w:rFonts w:ascii="Tahoma" w:hAnsi="Tahoma" w:cs="Tahoma"/>
          <w:sz w:val="18"/>
          <w:lang w:val="pt-BR"/>
        </w:rPr>
        <w:t>uso do Visual Studio Professional 2012 é regido pelos direitos de uso do Visual Studio Professional 2012 e</w:t>
      </w:r>
      <w:r w:rsidR="007009C5" w:rsidRPr="00E47ECF">
        <w:rPr>
          <w:rFonts w:ascii="Tahoma" w:hAnsi="Tahoma" w:cs="Tahoma"/>
          <w:sz w:val="18"/>
          <w:lang w:val="pt-BR"/>
        </w:rPr>
        <w:t> </w:t>
      </w:r>
      <w:r w:rsidRPr="00E47ECF">
        <w:rPr>
          <w:rFonts w:ascii="Tahoma" w:hAnsi="Tahoma" w:cs="Tahoma"/>
          <w:sz w:val="18"/>
          <w:lang w:val="pt-BR"/>
        </w:rPr>
        <w:t>pelos termos e</w:t>
      </w:r>
      <w:r w:rsidR="00F435F1" w:rsidRPr="00E47ECF">
        <w:rPr>
          <w:rFonts w:ascii="Tahoma" w:hAnsi="Tahoma" w:cs="Tahoma"/>
          <w:sz w:val="18"/>
          <w:lang w:val="pt-BR"/>
        </w:rPr>
        <w:t> </w:t>
      </w:r>
      <w:r w:rsidRPr="00E47ECF">
        <w:rPr>
          <w:rFonts w:ascii="Tahoma" w:hAnsi="Tahoma" w:cs="Tahoma"/>
          <w:sz w:val="18"/>
          <w:lang w:val="pt-BR"/>
        </w:rPr>
        <w:t>pelas condições do contrato de licenciamento por volume do cliente.</w:t>
      </w:r>
      <w:r w:rsidR="00FB5496" w:rsidRPr="00E47ECF">
        <w:rPr>
          <w:rFonts w:ascii="Tahoma" w:hAnsi="Tahoma" w:cs="Tahoma"/>
          <w:sz w:val="18"/>
          <w:lang w:val="pt-BR"/>
        </w:rPr>
        <w:t xml:space="preserve"> </w:t>
      </w:r>
      <w:r w:rsidRPr="00E47ECF">
        <w:rPr>
          <w:rFonts w:ascii="Tahoma" w:hAnsi="Tahoma" w:cs="Tahoma"/>
          <w:sz w:val="18"/>
          <w:lang w:val="pt-BR"/>
        </w:rPr>
        <w:t>Esta nota de condição</w:t>
      </w:r>
      <w:r w:rsidR="007009C5" w:rsidRPr="00E47ECF">
        <w:rPr>
          <w:rFonts w:ascii="Tahoma" w:hAnsi="Tahoma" w:cs="Tahoma"/>
          <w:sz w:val="18"/>
          <w:lang w:val="pt-BR"/>
        </w:rPr>
        <w:t> </w:t>
      </w:r>
      <w:r w:rsidRPr="00E47ECF">
        <w:rPr>
          <w:rFonts w:ascii="Tahoma" w:hAnsi="Tahoma" w:cs="Tahoma"/>
          <w:sz w:val="18"/>
          <w:lang w:val="pt-BR"/>
        </w:rPr>
        <w:t>do produto e</w:t>
      </w:r>
      <w:r w:rsidR="00F435F1" w:rsidRPr="00E47ECF">
        <w:rPr>
          <w:rFonts w:ascii="Tahoma" w:hAnsi="Tahoma" w:cs="Tahoma"/>
          <w:sz w:val="18"/>
          <w:lang w:val="pt-BR"/>
        </w:rPr>
        <w:t> </w:t>
      </w:r>
      <w:r w:rsidRPr="00E47ECF">
        <w:rPr>
          <w:rFonts w:ascii="Tahoma" w:hAnsi="Tahoma" w:cs="Tahoma"/>
          <w:sz w:val="18"/>
          <w:lang w:val="pt-BR"/>
        </w:rPr>
        <w:t>a</w:t>
      </w:r>
      <w:r w:rsidR="00F435F1" w:rsidRPr="00E47ECF">
        <w:rPr>
          <w:rFonts w:ascii="Tahoma" w:hAnsi="Tahoma" w:cs="Tahoma"/>
          <w:sz w:val="18"/>
          <w:lang w:val="pt-BR"/>
        </w:rPr>
        <w:t> </w:t>
      </w:r>
      <w:r w:rsidRPr="00E47ECF">
        <w:rPr>
          <w:rFonts w:ascii="Tahoma" w:hAnsi="Tahoma" w:cs="Tahoma"/>
          <w:sz w:val="18"/>
          <w:lang w:val="pt-BR"/>
        </w:rPr>
        <w:t>evidência do cliente quanto à licença qualificada correspondente comprovam o</w:t>
      </w:r>
      <w:r w:rsidR="007E2720" w:rsidRPr="00E47ECF">
        <w:rPr>
          <w:rFonts w:ascii="Tahoma" w:hAnsi="Tahoma" w:cs="Tahoma"/>
          <w:sz w:val="18"/>
          <w:lang w:val="pt-BR"/>
        </w:rPr>
        <w:t> </w:t>
      </w:r>
      <w:r w:rsidRPr="00E47ECF">
        <w:rPr>
          <w:rFonts w:ascii="Tahoma" w:hAnsi="Tahoma" w:cs="Tahoma"/>
          <w:sz w:val="18"/>
          <w:lang w:val="pt-BR"/>
        </w:rPr>
        <w:t>direito de uso do Visual</w:t>
      </w:r>
      <w:r w:rsidR="007009C5" w:rsidRPr="00E47ECF">
        <w:rPr>
          <w:rFonts w:ascii="Tahoma" w:hAnsi="Tahoma" w:cs="Tahoma"/>
          <w:sz w:val="18"/>
          <w:lang w:val="pt-BR"/>
        </w:rPr>
        <w:t> </w:t>
      </w:r>
      <w:r w:rsidRPr="00E47ECF">
        <w:rPr>
          <w:rFonts w:ascii="Tahoma" w:hAnsi="Tahoma" w:cs="Tahoma"/>
          <w:sz w:val="18"/>
          <w:lang w:val="pt-BR"/>
        </w:rPr>
        <w:t>Studio Professional 2012 sob esta oferta.</w:t>
      </w:r>
    </w:p>
    <w:p w:rsidR="00223A77" w:rsidRPr="00E47ECF" w:rsidRDefault="00223A77" w:rsidP="009275A3">
      <w:pPr>
        <w:rPr>
          <w:lang w:val="pt-BR"/>
        </w:rPr>
      </w:pPr>
    </w:p>
    <w:p w:rsidR="00691648" w:rsidRPr="00E47ECF" w:rsidRDefault="00691648" w:rsidP="00691648">
      <w:pPr>
        <w:spacing w:after="60"/>
        <w:ind w:left="720"/>
        <w:rPr>
          <w:lang w:val="pt-BR"/>
        </w:rPr>
      </w:pPr>
      <w:r w:rsidRPr="00E47ECF">
        <w:rPr>
          <w:b/>
          <w:bCs/>
          <w:lang w:val="pt-BR"/>
        </w:rPr>
        <w:t>Caminho de Migração do Software Assurance para o Expression Studio Ultimate 4</w:t>
      </w:r>
    </w:p>
    <w:p w:rsidR="00691648" w:rsidRPr="00E47ECF" w:rsidRDefault="00691648" w:rsidP="00691648">
      <w:pPr>
        <w:ind w:left="720"/>
        <w:rPr>
          <w:spacing w:val="-1"/>
          <w:lang w:val="pt-BR"/>
        </w:rPr>
      </w:pPr>
      <w:r w:rsidRPr="00E47ECF">
        <w:rPr>
          <w:spacing w:val="-1"/>
          <w:lang w:val="pt-BR"/>
        </w:rPr>
        <w:t xml:space="preserve">Os clientes com cobertura ativa do Software Assurance para Expression Studio Ultimate 4 desde </w:t>
      </w:r>
      <w:r w:rsidR="00557CB6" w:rsidRPr="00E47ECF">
        <w:rPr>
          <w:spacing w:val="-1"/>
          <w:lang w:val="pt-BR"/>
        </w:rPr>
        <w:br/>
      </w:r>
      <w:r w:rsidRPr="00E47ECF">
        <w:rPr>
          <w:spacing w:val="-1"/>
          <w:lang w:val="pt-BR"/>
        </w:rPr>
        <w:t>1</w:t>
      </w:r>
      <w:r w:rsidR="00557CB6" w:rsidRPr="00E47ECF">
        <w:rPr>
          <w:rFonts w:eastAsia="Calibri" w:cs="Tahoma"/>
          <w:spacing w:val="-1"/>
          <w:szCs w:val="18"/>
          <w:vertAlign w:val="superscript"/>
          <w:lang w:val="pt-BR"/>
        </w:rPr>
        <w:t>º</w:t>
      </w:r>
      <w:r w:rsidR="00557CB6" w:rsidRPr="00E47ECF">
        <w:rPr>
          <w:spacing w:val="-1"/>
          <w:lang w:val="pt-BR"/>
        </w:rPr>
        <w:t xml:space="preserve"> </w:t>
      </w:r>
      <w:r w:rsidRPr="00E47ECF">
        <w:rPr>
          <w:spacing w:val="-1"/>
          <w:lang w:val="pt-BR"/>
        </w:rPr>
        <w:t>de</w:t>
      </w:r>
      <w:r w:rsidR="00F435F1" w:rsidRPr="00E47ECF">
        <w:rPr>
          <w:spacing w:val="-1"/>
          <w:lang w:val="pt-BR"/>
        </w:rPr>
        <w:t> </w:t>
      </w:r>
      <w:r w:rsidRPr="00E47ECF">
        <w:rPr>
          <w:spacing w:val="-1"/>
          <w:lang w:val="pt-BR"/>
        </w:rPr>
        <w:t>março de 2013 estão qualificados a usar o Visual Studio Professional 2012. O direito de uso do Visual</w:t>
      </w:r>
      <w:r w:rsidR="00557CB6" w:rsidRPr="00E47ECF">
        <w:rPr>
          <w:spacing w:val="-1"/>
          <w:lang w:val="pt-BR"/>
        </w:rPr>
        <w:t> </w:t>
      </w:r>
      <w:r w:rsidRPr="00E47ECF">
        <w:rPr>
          <w:spacing w:val="-1"/>
          <w:lang w:val="pt-BR"/>
        </w:rPr>
        <w:t>Studio Professional 2012 se encerra no término do direito de uso do Expression Studio Ultimate 4 sob</w:t>
      </w:r>
      <w:r w:rsidR="007009C5" w:rsidRPr="00E47ECF">
        <w:rPr>
          <w:spacing w:val="-1"/>
          <w:lang w:val="pt-BR"/>
        </w:rPr>
        <w:t> </w:t>
      </w:r>
      <w:r w:rsidRPr="00E47ECF">
        <w:rPr>
          <w:spacing w:val="-1"/>
          <w:lang w:val="pt-BR"/>
        </w:rPr>
        <w:t>as licenças qualificadas correspondentes.</w:t>
      </w:r>
      <w:r w:rsidR="00FB5496" w:rsidRPr="00E47ECF">
        <w:rPr>
          <w:spacing w:val="-1"/>
          <w:lang w:val="pt-BR"/>
        </w:rPr>
        <w:t xml:space="preserve"> </w:t>
      </w:r>
      <w:r w:rsidRPr="00E47ECF">
        <w:rPr>
          <w:spacing w:val="-1"/>
          <w:lang w:val="pt-BR"/>
        </w:rPr>
        <w:t>O uso do Visual Studio Professional 2012 é regido pelos direitos de uso do Visual Studio Professional 2012 e pelos termos e pelas condições do contrato de licenciamento por volume do cliente.</w:t>
      </w:r>
      <w:r w:rsidR="00FB5496" w:rsidRPr="00E47ECF">
        <w:rPr>
          <w:spacing w:val="-1"/>
          <w:lang w:val="pt-BR"/>
        </w:rPr>
        <w:t xml:space="preserve"> </w:t>
      </w:r>
      <w:r w:rsidRPr="00E47ECF">
        <w:rPr>
          <w:spacing w:val="-1"/>
          <w:lang w:val="pt-BR"/>
        </w:rPr>
        <w:t>Esta nota de condição do produto e a evidência do cliente quanto à licença qualificada correspondente comprovam o direito de uso do Visual Studio Professional 2012 sob esta oferta.</w:t>
      </w:r>
    </w:p>
    <w:p w:rsidR="009275A3" w:rsidRPr="00E47ECF" w:rsidRDefault="009275A3" w:rsidP="009275A3">
      <w:pPr>
        <w:rPr>
          <w:lang w:val="pt-BR"/>
        </w:rPr>
      </w:pPr>
    </w:p>
    <w:p w:rsidR="00F73587" w:rsidRPr="00E47ECF" w:rsidRDefault="00F73587" w:rsidP="009275A3">
      <w:pPr>
        <w:rPr>
          <w:lang w:val="pt-BR"/>
        </w:rPr>
      </w:pPr>
    </w:p>
    <w:p w:rsidR="00223A77" w:rsidRPr="00416070" w:rsidRDefault="0095763C" w:rsidP="00223A77">
      <w:pPr>
        <w:pStyle w:val="Heading3"/>
      </w:pPr>
      <w:bookmarkStart w:id="1087" w:name="_Toc336338276"/>
      <w:bookmarkStart w:id="1088" w:name="_Toc352234343"/>
      <w:bookmarkStart w:id="1089" w:name="Aps_13VS2010ProfessionalMSDN"/>
      <w:r w:rsidRPr="00416070">
        <w:rPr>
          <w:rFonts w:ascii="Tahoma" w:hAnsi="Tahoma"/>
          <w:caps/>
          <w:color w:val="F66400"/>
          <w:sz w:val="22"/>
          <w:vertAlign w:val="superscript"/>
        </w:rPr>
        <w:t>19</w:t>
      </w:r>
      <w:r w:rsidRPr="00416070">
        <w:rPr>
          <w:rFonts w:ascii="Tahoma" w:hAnsi="Tahoma"/>
          <w:color w:val="F66400"/>
          <w:sz w:val="22"/>
        </w:rPr>
        <w:t xml:space="preserve"> Visual Studio Professional 2012 com MSDN</w:t>
      </w:r>
      <w:bookmarkEnd w:id="1087"/>
      <w:bookmarkEnd w:id="1088"/>
      <w:r w:rsidRPr="00416070">
        <w:rPr>
          <w:rFonts w:ascii="Tahoma" w:hAnsi="Tahoma"/>
          <w:color w:val="F66400"/>
          <w:sz w:val="22"/>
        </w:rPr>
        <w:t xml:space="preserve"> </w:t>
      </w:r>
      <w:bookmarkEnd w:id="1086"/>
    </w:p>
    <w:p w:rsidR="00F6352F" w:rsidRPr="00416070" w:rsidRDefault="00F6352F" w:rsidP="005B0791">
      <w:pPr>
        <w:ind w:left="720"/>
      </w:pPr>
    </w:p>
    <w:bookmarkEnd w:id="1089"/>
    <w:p w:rsidR="001026FD" w:rsidRPr="00416070" w:rsidRDefault="001026FD" w:rsidP="00864B8A">
      <w:pPr>
        <w:spacing w:after="60"/>
        <w:ind w:left="720"/>
      </w:pPr>
      <w:r w:rsidRPr="00416070">
        <w:rPr>
          <w:rFonts w:cs="Tahoma"/>
          <w:b/>
        </w:rPr>
        <w:t>Visual Studio Team Foundation Server 2012</w:t>
      </w:r>
    </w:p>
    <w:p w:rsidR="001026FD" w:rsidRPr="00416070" w:rsidRDefault="001026FD" w:rsidP="005B0791">
      <w:pPr>
        <w:pStyle w:val="EndnoteText"/>
        <w:tabs>
          <w:tab w:val="num" w:pos="1350"/>
        </w:tabs>
        <w:ind w:left="720"/>
      </w:pPr>
      <w:r w:rsidRPr="00416070">
        <w:rPr>
          <w:rFonts w:ascii="Tahoma" w:hAnsi="Tahoma" w:cs="Tahoma"/>
          <w:sz w:val="18"/>
        </w:rPr>
        <w:t>O assinante está qualificado para uma licença de servidor para o Visual Studio Team Foundation Server</w:t>
      </w:r>
      <w:r w:rsidR="007009C5" w:rsidRPr="00E47ECF">
        <w:rPr>
          <w:rFonts w:ascii="Tahoma" w:hAnsi="Tahoma" w:cs="Tahoma"/>
          <w:sz w:val="18"/>
          <w:lang w:val="pt-BR"/>
        </w:rPr>
        <w:t> </w:t>
      </w:r>
      <w:r w:rsidRPr="00416070">
        <w:rPr>
          <w:rFonts w:ascii="Tahoma" w:hAnsi="Tahoma" w:cs="Tahoma"/>
          <w:sz w:val="18"/>
        </w:rPr>
        <w:t>2012 e uma CAL de Usuário do Team Foundation Server.</w:t>
      </w:r>
      <w:r w:rsidR="00FB5496" w:rsidRPr="00416070">
        <w:rPr>
          <w:rFonts w:ascii="Tahoma" w:hAnsi="Tahoma" w:cs="Tahoma"/>
          <w:sz w:val="18"/>
        </w:rPr>
        <w:t xml:space="preserve"> </w:t>
      </w:r>
      <w:r w:rsidRPr="00416070">
        <w:rPr>
          <w:rFonts w:ascii="Tahoma" w:hAnsi="Tahoma" w:cs="Tahoma"/>
          <w:sz w:val="18"/>
        </w:rPr>
        <w:t xml:space="preserve">A CAL é reservada unicamente </w:t>
      </w:r>
      <w:r w:rsidR="007009C5" w:rsidRPr="00E47ECF">
        <w:rPr>
          <w:rFonts w:ascii="Tahoma" w:hAnsi="Tahoma" w:cs="Tahoma"/>
          <w:sz w:val="18"/>
          <w:lang w:val="pt-BR"/>
        </w:rPr>
        <w:br/>
      </w:r>
      <w:r w:rsidRPr="00416070">
        <w:rPr>
          <w:rFonts w:ascii="Tahoma" w:hAnsi="Tahoma" w:cs="Tahoma"/>
          <w:sz w:val="18"/>
        </w:rPr>
        <w:t>para uso do</w:t>
      </w:r>
      <w:r w:rsidR="007009C5" w:rsidRPr="00E47ECF">
        <w:rPr>
          <w:rFonts w:ascii="Tahoma" w:hAnsi="Tahoma" w:cs="Tahoma"/>
          <w:sz w:val="18"/>
          <w:lang w:val="pt-BR"/>
        </w:rPr>
        <w:t> </w:t>
      </w:r>
      <w:r w:rsidRPr="00416070">
        <w:rPr>
          <w:rFonts w:ascii="Tahoma" w:hAnsi="Tahoma" w:cs="Tahoma"/>
          <w:sz w:val="18"/>
        </w:rPr>
        <w:t>assinante.</w:t>
      </w:r>
    </w:p>
    <w:p w:rsidR="001026FD" w:rsidRPr="00416070" w:rsidRDefault="001026FD" w:rsidP="005B0791">
      <w:pPr>
        <w:pStyle w:val="EndnoteText"/>
        <w:tabs>
          <w:tab w:val="num" w:pos="1350"/>
        </w:tabs>
        <w:ind w:left="720"/>
        <w:rPr>
          <w:rFonts w:ascii="Tahoma" w:hAnsi="Tahoma" w:cs="Tahoma"/>
          <w:sz w:val="18"/>
          <w:szCs w:val="18"/>
        </w:rPr>
      </w:pPr>
    </w:p>
    <w:p w:rsidR="001026FD" w:rsidRPr="00E47ECF" w:rsidRDefault="001026FD" w:rsidP="00864B8A">
      <w:pPr>
        <w:spacing w:after="60"/>
        <w:ind w:left="720"/>
        <w:rPr>
          <w:lang w:val="pt-BR"/>
        </w:rPr>
      </w:pPr>
      <w:r w:rsidRPr="00E47ECF">
        <w:rPr>
          <w:rFonts w:cs="Tahoma"/>
          <w:b/>
          <w:lang w:val="pt-BR"/>
        </w:rPr>
        <w:t>SQL Server Parallel Data Warehouse Developer</w:t>
      </w:r>
    </w:p>
    <w:p w:rsidR="001026FD" w:rsidRPr="00416070" w:rsidRDefault="001026FD" w:rsidP="005B0791">
      <w:pPr>
        <w:pStyle w:val="EndnoteText"/>
        <w:tabs>
          <w:tab w:val="num" w:pos="1350"/>
        </w:tabs>
        <w:ind w:left="720"/>
      </w:pPr>
      <w:r w:rsidRPr="00416070">
        <w:rPr>
          <w:rFonts w:ascii="Tahoma" w:hAnsi="Tahoma" w:cs="Tahoma"/>
          <w:sz w:val="18"/>
        </w:rPr>
        <w:t>O assinante é qualificado para uma licença do SQL Server 2008 R2 Parallel Data Warehouse Developer.</w:t>
      </w:r>
    </w:p>
    <w:p w:rsidR="005B0791" w:rsidRPr="00E47ECF" w:rsidRDefault="005B0791" w:rsidP="005B0791">
      <w:pPr>
        <w:pStyle w:val="FootnoteBulletLevel1"/>
        <w:tabs>
          <w:tab w:val="clear" w:pos="900"/>
          <w:tab w:val="num" w:pos="1350"/>
        </w:tabs>
        <w:spacing w:before="0" w:after="0"/>
        <w:ind w:left="720" w:firstLine="0"/>
        <w:rPr>
          <w:rFonts w:ascii="Tahoma" w:hAnsi="Tahoma" w:cs="Tahoma"/>
          <w:sz w:val="18"/>
          <w:szCs w:val="18"/>
          <w:lang w:val="pt-BR"/>
        </w:rPr>
      </w:pPr>
    </w:p>
    <w:p w:rsidR="00223A77" w:rsidRPr="00E47ECF" w:rsidRDefault="00223A77" w:rsidP="00864B8A">
      <w:pPr>
        <w:spacing w:after="60"/>
        <w:ind w:left="720"/>
        <w:rPr>
          <w:lang w:val="pt-BR"/>
        </w:rPr>
      </w:pPr>
      <w:r w:rsidRPr="00E47ECF">
        <w:rPr>
          <w:rFonts w:cs="Tahoma"/>
          <w:b/>
          <w:lang w:val="pt-BR"/>
        </w:rPr>
        <w:t>Caminho de Migração do Software Assurance para o Visual Studio 2010 Professional com MSDN Embedded</w:t>
      </w:r>
    </w:p>
    <w:p w:rsidR="00223A77" w:rsidRPr="00E47ECF" w:rsidRDefault="00223A77" w:rsidP="005B0791">
      <w:pPr>
        <w:pStyle w:val="FootnoteBulletLevel1"/>
        <w:tabs>
          <w:tab w:val="clear" w:pos="900"/>
          <w:tab w:val="num" w:pos="1350"/>
        </w:tabs>
        <w:spacing w:before="0" w:after="0"/>
        <w:ind w:left="720" w:firstLine="0"/>
        <w:rPr>
          <w:lang w:val="pt-BR"/>
        </w:rPr>
      </w:pPr>
      <w:r w:rsidRPr="00E47ECF">
        <w:rPr>
          <w:rFonts w:ascii="Tahoma" w:hAnsi="Tahoma" w:cs="Tahoma"/>
          <w:sz w:val="18"/>
          <w:lang w:val="pt-BR"/>
        </w:rPr>
        <w:t>A versão sucessora do Visual Studio 2010 Professional com MSDN Embedded é o Visual Studio Professional</w:t>
      </w:r>
      <w:r w:rsidR="007D10DB" w:rsidRPr="00E47ECF">
        <w:rPr>
          <w:rFonts w:ascii="Tahoma" w:hAnsi="Tahoma" w:cs="Tahoma"/>
          <w:sz w:val="18"/>
          <w:lang w:val="pt-BR"/>
        </w:rPr>
        <w:t> </w:t>
      </w:r>
      <w:r w:rsidR="007E2720" w:rsidRPr="00E47ECF">
        <w:rPr>
          <w:rFonts w:ascii="Tahoma" w:hAnsi="Tahoma" w:cs="Tahoma"/>
          <w:sz w:val="18"/>
          <w:lang w:val="pt-BR"/>
        </w:rPr>
        <w:t>2012 com MSDN.</w:t>
      </w:r>
    </w:p>
    <w:p w:rsidR="005B0791" w:rsidRPr="00E47ECF" w:rsidRDefault="005B0791" w:rsidP="005B0791">
      <w:pPr>
        <w:pStyle w:val="FootnoteBulletLevel1"/>
        <w:tabs>
          <w:tab w:val="clear" w:pos="900"/>
          <w:tab w:val="num" w:pos="1350"/>
        </w:tabs>
        <w:spacing w:before="0" w:after="0"/>
        <w:ind w:left="720" w:firstLine="0"/>
        <w:rPr>
          <w:rFonts w:ascii="Tahoma" w:hAnsi="Tahoma" w:cs="Tahoma"/>
          <w:sz w:val="18"/>
          <w:szCs w:val="18"/>
          <w:lang w:val="pt-BR"/>
        </w:rPr>
      </w:pPr>
    </w:p>
    <w:p w:rsidR="00223A77" w:rsidRPr="00E47ECF" w:rsidRDefault="00223A77" w:rsidP="00864B8A">
      <w:pPr>
        <w:spacing w:after="60"/>
        <w:ind w:left="720"/>
        <w:rPr>
          <w:lang w:val="pt-BR"/>
        </w:rPr>
      </w:pPr>
      <w:r w:rsidRPr="00E47ECF">
        <w:rPr>
          <w:rFonts w:cs="Tahoma"/>
          <w:b/>
          <w:lang w:val="pt-BR"/>
        </w:rPr>
        <w:t>Qualificação do Software Assurance</w:t>
      </w:r>
    </w:p>
    <w:p w:rsidR="00BE4D27" w:rsidRPr="00416070" w:rsidRDefault="00223A77" w:rsidP="00BE4D27">
      <w:pPr>
        <w:pStyle w:val="EndnoteText"/>
      </w:pPr>
      <w:r w:rsidRPr="00416070">
        <w:rPr>
          <w:rFonts w:ascii="Tahoma" w:hAnsi="Tahoma" w:cs="Tahoma"/>
          <w:sz w:val="18"/>
        </w:rPr>
        <w:t>Os clientes com Software Assurance próximo à data de término referente às licenças dos produtos a</w:t>
      </w:r>
      <w:r w:rsidR="00F435F1" w:rsidRPr="00E47ECF">
        <w:rPr>
          <w:rFonts w:ascii="Tahoma" w:hAnsi="Tahoma" w:cs="Tahoma"/>
          <w:sz w:val="18"/>
          <w:lang w:val="pt-BR"/>
        </w:rPr>
        <w:t> </w:t>
      </w:r>
      <w:r w:rsidRPr="00416070">
        <w:rPr>
          <w:rFonts w:ascii="Tahoma" w:hAnsi="Tahoma" w:cs="Tahoma"/>
          <w:sz w:val="18"/>
        </w:rPr>
        <w:t>seguir estão qualificados a renovar suas coberturas como Visual Studio Professional 2012 com MSDN.</w:t>
      </w:r>
      <w:r w:rsidRPr="00416070">
        <w:rPr>
          <w:rFonts w:cs="Tahoma"/>
        </w:rPr>
        <w:t xml:space="preserve"> </w:t>
      </w:r>
      <w:r w:rsidRPr="00416070">
        <w:rPr>
          <w:rFonts w:ascii="Tahoma" w:hAnsi="Tahoma" w:cs="Tahoma"/>
          <w:sz w:val="18"/>
        </w:rPr>
        <w:t>Ao renovar uma nível de assinatura MSDN diferente, os novos termos de uso substituirão os termos de uso anteriores, e qualquer software não incluído na nova assinatura MSDN deverá ser removido.</w:t>
      </w:r>
    </w:p>
    <w:p w:rsidR="00223A77" w:rsidRPr="00416070" w:rsidRDefault="00223A77" w:rsidP="005B0791">
      <w:pPr>
        <w:pStyle w:val="EndnoteText"/>
        <w:ind w:left="720"/>
        <w:rPr>
          <w:rFonts w:ascii="Tahoma" w:hAnsi="Tahoma" w:cs="Tahoma"/>
          <w:sz w:val="18"/>
          <w:szCs w:val="18"/>
        </w:rPr>
      </w:pPr>
    </w:p>
    <w:p w:rsidR="00223A77" w:rsidRPr="00416070" w:rsidRDefault="00223A77" w:rsidP="005B0791">
      <w:pPr>
        <w:pStyle w:val="FootnoteBulletLevel2"/>
        <w:numPr>
          <w:ilvl w:val="0"/>
          <w:numId w:val="4"/>
        </w:numPr>
        <w:spacing w:before="0" w:after="60"/>
        <w:ind w:left="1440"/>
      </w:pPr>
      <w:r w:rsidRPr="00416070">
        <w:rPr>
          <w:rFonts w:ascii="Tahoma" w:hAnsi="Tahoma" w:cs="Tahoma"/>
          <w:sz w:val="18"/>
        </w:rPr>
        <w:t>Visual Studio Ultimate com MSDN</w:t>
      </w:r>
    </w:p>
    <w:p w:rsidR="00223A77" w:rsidRPr="00416070" w:rsidRDefault="00223A77" w:rsidP="005B0791">
      <w:pPr>
        <w:pStyle w:val="FootnoteBulletLevel2"/>
        <w:numPr>
          <w:ilvl w:val="0"/>
          <w:numId w:val="4"/>
        </w:numPr>
        <w:spacing w:before="0" w:after="60"/>
        <w:ind w:left="1440"/>
      </w:pPr>
      <w:r w:rsidRPr="00416070">
        <w:rPr>
          <w:rFonts w:ascii="Tahoma" w:hAnsi="Tahoma" w:cs="Tahoma"/>
          <w:sz w:val="18"/>
        </w:rPr>
        <w:t>Visual Studio Premium com MSDN</w:t>
      </w:r>
    </w:p>
    <w:p w:rsidR="00223A77" w:rsidRPr="00416070" w:rsidRDefault="00223A77" w:rsidP="005B0791">
      <w:pPr>
        <w:pStyle w:val="FootnoteBulletLevel2"/>
        <w:numPr>
          <w:ilvl w:val="0"/>
          <w:numId w:val="4"/>
        </w:numPr>
        <w:spacing w:before="0" w:after="60"/>
        <w:ind w:left="1440"/>
      </w:pPr>
      <w:r w:rsidRPr="00416070">
        <w:rPr>
          <w:rFonts w:ascii="Tahoma" w:hAnsi="Tahoma" w:cs="Tahoma"/>
          <w:sz w:val="18"/>
        </w:rPr>
        <w:t>Visual Studio Professional com MSDN</w:t>
      </w:r>
    </w:p>
    <w:p w:rsidR="00223A77" w:rsidRPr="00E47ECF" w:rsidRDefault="00223A77" w:rsidP="005B0791">
      <w:pPr>
        <w:pStyle w:val="FootnoteBulletLevel2"/>
        <w:numPr>
          <w:ilvl w:val="0"/>
          <w:numId w:val="4"/>
        </w:numPr>
        <w:spacing w:before="0" w:after="60"/>
        <w:ind w:left="1440"/>
        <w:rPr>
          <w:lang w:val="pt-BR"/>
        </w:rPr>
      </w:pPr>
      <w:r w:rsidRPr="00E47ECF">
        <w:rPr>
          <w:rFonts w:ascii="Tahoma" w:hAnsi="Tahoma" w:cs="Tahoma"/>
          <w:sz w:val="18"/>
          <w:lang w:val="pt-BR"/>
        </w:rPr>
        <w:t>Visual Studio Professional com MSDN Embedded</w:t>
      </w:r>
    </w:p>
    <w:p w:rsidR="00223A77" w:rsidRPr="00416070" w:rsidRDefault="00223A77" w:rsidP="005B0791">
      <w:pPr>
        <w:pStyle w:val="FootnoteBulletLevel2"/>
        <w:numPr>
          <w:ilvl w:val="0"/>
          <w:numId w:val="4"/>
        </w:numPr>
        <w:spacing w:before="0" w:after="60"/>
        <w:ind w:left="1440"/>
      </w:pPr>
      <w:r w:rsidRPr="00416070">
        <w:rPr>
          <w:rFonts w:ascii="Tahoma" w:hAnsi="Tahoma" w:cs="Tahoma"/>
          <w:sz w:val="18"/>
        </w:rPr>
        <w:t>Visual Studio Professional com MSDN Professional</w:t>
      </w:r>
    </w:p>
    <w:p w:rsidR="00223A77" w:rsidRPr="00E47ECF" w:rsidRDefault="00223A77" w:rsidP="005B0791">
      <w:pPr>
        <w:pStyle w:val="FootnoteBulletLevel2"/>
        <w:numPr>
          <w:ilvl w:val="0"/>
          <w:numId w:val="4"/>
        </w:numPr>
        <w:spacing w:before="0" w:after="60"/>
        <w:ind w:left="1440"/>
        <w:rPr>
          <w:lang w:val="pt-BR"/>
        </w:rPr>
      </w:pPr>
      <w:r w:rsidRPr="00E47ECF">
        <w:rPr>
          <w:rFonts w:ascii="Tahoma" w:hAnsi="Tahoma" w:cs="Tahoma"/>
          <w:sz w:val="18"/>
          <w:lang w:val="pt-BR"/>
        </w:rPr>
        <w:t>Visual Studio Professional com MSDN Premium</w:t>
      </w:r>
    </w:p>
    <w:p w:rsidR="00223A77" w:rsidRPr="00416070" w:rsidRDefault="00223A77" w:rsidP="005B0791">
      <w:pPr>
        <w:pStyle w:val="FootnoteBulletLevel2"/>
        <w:numPr>
          <w:ilvl w:val="0"/>
          <w:numId w:val="4"/>
        </w:numPr>
        <w:spacing w:before="0" w:after="60"/>
        <w:ind w:left="1440"/>
      </w:pPr>
      <w:r w:rsidRPr="00416070">
        <w:rPr>
          <w:rFonts w:ascii="Tahoma" w:hAnsi="Tahoma" w:cs="Tahoma"/>
          <w:sz w:val="18"/>
        </w:rPr>
        <w:t>Visual Studio Team System Team Suite com MSDN Premium</w:t>
      </w:r>
    </w:p>
    <w:p w:rsidR="00223A77" w:rsidRPr="00416070" w:rsidRDefault="00223A77" w:rsidP="005B0791">
      <w:pPr>
        <w:pStyle w:val="FootnoteBulletLevel2"/>
        <w:numPr>
          <w:ilvl w:val="0"/>
          <w:numId w:val="4"/>
        </w:numPr>
        <w:spacing w:before="0" w:after="60"/>
        <w:ind w:left="1440"/>
      </w:pPr>
      <w:r w:rsidRPr="00416070">
        <w:rPr>
          <w:rFonts w:ascii="Tahoma" w:hAnsi="Tahoma" w:cs="Tahoma"/>
          <w:sz w:val="18"/>
        </w:rPr>
        <w:t>Visual Studio Team System Test Edition com MSDN Premium</w:t>
      </w:r>
    </w:p>
    <w:p w:rsidR="00223A77" w:rsidRPr="00416070" w:rsidRDefault="00223A77" w:rsidP="005B0791">
      <w:pPr>
        <w:pStyle w:val="FootnoteBulletLevel2"/>
        <w:numPr>
          <w:ilvl w:val="0"/>
          <w:numId w:val="4"/>
        </w:numPr>
        <w:spacing w:before="0" w:after="60"/>
        <w:ind w:left="1440"/>
      </w:pPr>
      <w:r w:rsidRPr="00416070">
        <w:rPr>
          <w:rFonts w:ascii="Tahoma" w:hAnsi="Tahoma" w:cs="Tahoma"/>
          <w:sz w:val="18"/>
        </w:rPr>
        <w:t>Visual Studio Team System Development Edition com MSDN Premium</w:t>
      </w:r>
    </w:p>
    <w:p w:rsidR="00223A77" w:rsidRPr="007009C5" w:rsidRDefault="00223A77" w:rsidP="005B0791">
      <w:pPr>
        <w:pStyle w:val="FootnoteBulletLevel2"/>
        <w:numPr>
          <w:ilvl w:val="0"/>
          <w:numId w:val="4"/>
        </w:numPr>
        <w:spacing w:before="0" w:after="60"/>
        <w:ind w:left="1440"/>
      </w:pPr>
      <w:r w:rsidRPr="00416070">
        <w:rPr>
          <w:rFonts w:ascii="Tahoma" w:hAnsi="Tahoma" w:cs="Tahoma"/>
          <w:sz w:val="18"/>
        </w:rPr>
        <w:t xml:space="preserve">Visual Studio Team System Architecture Edition com MSDN Premium </w:t>
      </w:r>
    </w:p>
    <w:p w:rsidR="007009C5" w:rsidRPr="00416070" w:rsidRDefault="007009C5" w:rsidP="007009C5">
      <w:pPr>
        <w:pStyle w:val="FootnoteBulletLevel2"/>
        <w:tabs>
          <w:tab w:val="clear" w:pos="1260"/>
        </w:tabs>
        <w:spacing w:before="0" w:after="60"/>
        <w:ind w:left="1440" w:firstLine="0"/>
      </w:pPr>
    </w:p>
    <w:p w:rsidR="00223A77" w:rsidRPr="00416070" w:rsidRDefault="00223A77" w:rsidP="005B0791">
      <w:pPr>
        <w:pStyle w:val="FootnoteBulletLevel2"/>
        <w:numPr>
          <w:ilvl w:val="0"/>
          <w:numId w:val="4"/>
        </w:numPr>
        <w:spacing w:before="0" w:after="60"/>
        <w:ind w:left="1440"/>
      </w:pPr>
      <w:r w:rsidRPr="00416070">
        <w:rPr>
          <w:rFonts w:ascii="Tahoma" w:hAnsi="Tahoma" w:cs="Tahoma"/>
          <w:sz w:val="18"/>
        </w:rPr>
        <w:lastRenderedPageBreak/>
        <w:t>Visual Studio Team System Database Edition com MSDN Premium</w:t>
      </w:r>
    </w:p>
    <w:p w:rsidR="00223A77" w:rsidRPr="00E47ECF" w:rsidRDefault="00223A77" w:rsidP="005B0791">
      <w:pPr>
        <w:pStyle w:val="FootnoteBulletLevel2"/>
        <w:numPr>
          <w:ilvl w:val="0"/>
          <w:numId w:val="4"/>
        </w:numPr>
        <w:spacing w:before="0" w:after="60"/>
        <w:ind w:left="1440"/>
        <w:rPr>
          <w:lang w:val="pt-BR"/>
        </w:rPr>
      </w:pPr>
      <w:r w:rsidRPr="00E47ECF">
        <w:rPr>
          <w:rFonts w:ascii="Tahoma" w:hAnsi="Tahoma" w:cs="Tahoma"/>
          <w:sz w:val="18"/>
          <w:lang w:val="pt-BR"/>
        </w:rPr>
        <w:t>Clientes com uma assinatura de varejo ativa para qualquer um dos softwares acima</w:t>
      </w:r>
    </w:p>
    <w:p w:rsidR="00223A77" w:rsidRPr="00E47ECF" w:rsidRDefault="00223A77" w:rsidP="005B0791">
      <w:pPr>
        <w:pStyle w:val="FootnoteBulletLevel2"/>
        <w:numPr>
          <w:ilvl w:val="0"/>
          <w:numId w:val="4"/>
        </w:numPr>
        <w:spacing w:before="0" w:after="60"/>
        <w:ind w:left="1440"/>
        <w:rPr>
          <w:lang w:val="pt-BR"/>
        </w:rPr>
      </w:pPr>
      <w:r w:rsidRPr="00E47ECF">
        <w:rPr>
          <w:rFonts w:ascii="Tahoma" w:hAnsi="Tahoma" w:cs="Tahoma"/>
          <w:sz w:val="18"/>
          <w:lang w:val="pt-BR"/>
        </w:rPr>
        <w:t>MSDN Essentials (adquirido com a licença de varejo do Visual Studio 2010 Professional)</w:t>
      </w:r>
    </w:p>
    <w:p w:rsidR="00223A77" w:rsidRPr="00E47ECF" w:rsidRDefault="00223A77" w:rsidP="005B0791">
      <w:pPr>
        <w:pStyle w:val="FootnoteBulletLevel1"/>
        <w:spacing w:before="0" w:after="0"/>
        <w:ind w:left="0" w:firstLine="0"/>
        <w:rPr>
          <w:rFonts w:ascii="Tahoma" w:hAnsi="Tahoma" w:cs="Tahoma"/>
          <w:sz w:val="18"/>
          <w:szCs w:val="18"/>
          <w:lang w:val="pt-BR"/>
        </w:rPr>
      </w:pPr>
    </w:p>
    <w:p w:rsidR="00223A77" w:rsidRPr="00E47ECF" w:rsidRDefault="00223A77" w:rsidP="005B0791">
      <w:pPr>
        <w:pStyle w:val="FootnoteBulletLevel1"/>
        <w:tabs>
          <w:tab w:val="clear" w:pos="900"/>
        </w:tabs>
        <w:spacing w:before="0" w:after="0"/>
        <w:ind w:left="720" w:firstLine="0"/>
        <w:rPr>
          <w:lang w:val="pt-BR"/>
        </w:rPr>
      </w:pPr>
      <w:r w:rsidRPr="00E47ECF">
        <w:rPr>
          <w:rFonts w:ascii="Tahoma" w:hAnsi="Tahoma" w:cs="Tahoma"/>
          <w:sz w:val="18"/>
          <w:lang w:val="pt-BR"/>
        </w:rPr>
        <w:t xml:space="preserve">Os clientes do Enterprise, Select ou Open Value com cobertura ativa do Software Assurance para o Visual Studio Professional 2012 com MSDN também podem fazer step-up para o Visual Studio Premium 2012 com MSDN ou o Visual Studio Ultimate 2012 com MSDN por meio da aquisição de </w:t>
      </w:r>
      <w:hyperlink w:anchor="Step_Up" w:history="1">
        <w:r w:rsidRPr="00E47ECF">
          <w:rPr>
            <w:rFonts w:ascii="Tahoma" w:hAnsi="Tahoma" w:cs="Tahoma"/>
            <w:sz w:val="18"/>
            <w:lang w:val="pt-BR"/>
          </w:rPr>
          <w:t>SKUs de Step-up</w:t>
        </w:r>
      </w:hyperlink>
      <w:r w:rsidRPr="00E47ECF">
        <w:rPr>
          <w:rFonts w:ascii="Tahoma" w:hAnsi="Tahoma" w:cs="Tahoma"/>
          <w:sz w:val="18"/>
          <w:lang w:val="pt-BR"/>
        </w:rPr>
        <w:t xml:space="preserve"> apropriadas.</w:t>
      </w:r>
    </w:p>
    <w:p w:rsidR="005B0791" w:rsidRPr="00E47ECF" w:rsidRDefault="005B0791" w:rsidP="005B0791">
      <w:pPr>
        <w:pStyle w:val="FootnoteBulletLevel2"/>
        <w:tabs>
          <w:tab w:val="clear" w:pos="1260"/>
        </w:tabs>
        <w:spacing w:before="0"/>
        <w:ind w:left="720" w:firstLine="0"/>
        <w:rPr>
          <w:rFonts w:ascii="Tahoma" w:hAnsi="Tahoma" w:cs="Tahoma"/>
          <w:sz w:val="18"/>
          <w:szCs w:val="18"/>
          <w:lang w:val="pt-BR"/>
        </w:rPr>
      </w:pPr>
    </w:p>
    <w:p w:rsidR="0055611F" w:rsidRPr="00E47ECF" w:rsidRDefault="009B2474" w:rsidP="00864B8A">
      <w:pPr>
        <w:spacing w:after="60"/>
        <w:ind w:left="720"/>
        <w:rPr>
          <w:lang w:val="pt-BR"/>
        </w:rPr>
      </w:pPr>
      <w:r w:rsidRPr="00E47ECF">
        <w:rPr>
          <w:rFonts w:cs="Tahoma"/>
          <w:b/>
          <w:lang w:val="pt-BR"/>
        </w:rPr>
        <w:t>Serviços de Assinatura</w:t>
      </w:r>
    </w:p>
    <w:p w:rsidR="0055611F" w:rsidRPr="00E47ECF" w:rsidRDefault="0055611F" w:rsidP="005B0791">
      <w:pPr>
        <w:pStyle w:val="FootnoteBulletLevel2"/>
        <w:tabs>
          <w:tab w:val="clear" w:pos="1260"/>
        </w:tabs>
        <w:spacing w:before="0"/>
        <w:ind w:left="720" w:firstLine="0"/>
        <w:rPr>
          <w:lang w:val="pt-BR"/>
        </w:rPr>
      </w:pPr>
      <w:r w:rsidRPr="00E47ECF">
        <w:rPr>
          <w:rFonts w:ascii="Tahoma" w:hAnsi="Tahoma" w:cs="Tahoma"/>
          <w:sz w:val="18"/>
          <w:lang w:val="pt-BR"/>
        </w:rPr>
        <w:t>Os serviços de assinatura MSDN, que podem incluir downloads, chaves de produto, benefícios do Windows</w:t>
      </w:r>
      <w:r w:rsidR="00F435F1" w:rsidRPr="00E47ECF">
        <w:rPr>
          <w:rFonts w:ascii="Tahoma" w:hAnsi="Tahoma" w:cs="Tahoma"/>
          <w:sz w:val="18"/>
          <w:lang w:val="pt-BR"/>
        </w:rPr>
        <w:t> </w:t>
      </w:r>
      <w:r w:rsidRPr="00E47ECF">
        <w:rPr>
          <w:rFonts w:ascii="Tahoma" w:hAnsi="Tahoma" w:cs="Tahoma"/>
          <w:sz w:val="18"/>
          <w:lang w:val="pt-BR"/>
        </w:rPr>
        <w:t>Azure, benefícios do Office 365 Developer, e-learning, suporte técnico, benefícios do Windows</w:t>
      </w:r>
      <w:r w:rsidR="00F435F1" w:rsidRPr="00E47ECF">
        <w:rPr>
          <w:rFonts w:ascii="Tahoma" w:hAnsi="Tahoma" w:cs="Tahoma"/>
          <w:sz w:val="18"/>
          <w:lang w:val="pt-BR"/>
        </w:rPr>
        <w:t> </w:t>
      </w:r>
      <w:r w:rsidRPr="00E47ECF">
        <w:rPr>
          <w:rFonts w:ascii="Tahoma" w:hAnsi="Tahoma" w:cs="Tahoma"/>
          <w:sz w:val="18"/>
          <w:lang w:val="pt-BR"/>
        </w:rPr>
        <w:t>Store e outros serviços, só estarão disponíveis enquanto a assinatura estiver ativa.</w:t>
      </w:r>
    </w:p>
    <w:p w:rsidR="0055611F" w:rsidRPr="00E47ECF" w:rsidRDefault="0055611F" w:rsidP="005B0791">
      <w:pPr>
        <w:pStyle w:val="FootnoteBulletLevel1"/>
        <w:tabs>
          <w:tab w:val="clear" w:pos="900"/>
        </w:tabs>
        <w:spacing w:before="0" w:after="0"/>
        <w:ind w:left="720" w:firstLine="0"/>
        <w:rPr>
          <w:rFonts w:ascii="Tahoma" w:hAnsi="Tahoma" w:cs="Tahoma"/>
          <w:sz w:val="18"/>
          <w:szCs w:val="18"/>
          <w:lang w:val="pt-BR"/>
        </w:rPr>
      </w:pPr>
    </w:p>
    <w:p w:rsidR="0055611F" w:rsidRPr="00E47ECF" w:rsidRDefault="009B2474" w:rsidP="00864B8A">
      <w:pPr>
        <w:spacing w:after="60"/>
        <w:ind w:left="720"/>
        <w:rPr>
          <w:lang w:val="pt-BR"/>
        </w:rPr>
      </w:pPr>
      <w:r w:rsidRPr="00E47ECF">
        <w:rPr>
          <w:rFonts w:cs="Tahoma"/>
          <w:b/>
          <w:lang w:val="pt-BR"/>
        </w:rPr>
        <w:t>Serviços da Plataforma do Windows Azure</w:t>
      </w:r>
    </w:p>
    <w:p w:rsidR="0055611F" w:rsidRPr="00E47ECF" w:rsidRDefault="0055611F" w:rsidP="005B0791">
      <w:pPr>
        <w:pStyle w:val="FootnoteBulletLevel2"/>
        <w:tabs>
          <w:tab w:val="clear" w:pos="1260"/>
        </w:tabs>
        <w:spacing w:before="0"/>
        <w:ind w:left="720" w:firstLine="0"/>
        <w:rPr>
          <w:lang w:val="pt-BR"/>
        </w:rPr>
      </w:pPr>
      <w:r w:rsidRPr="00E47ECF">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rsidR="005B0791" w:rsidRPr="00E47ECF" w:rsidRDefault="005B0791" w:rsidP="005B0791">
      <w:pPr>
        <w:pStyle w:val="FootnoteBulletLevel2"/>
        <w:tabs>
          <w:tab w:val="clear" w:pos="1260"/>
        </w:tabs>
        <w:spacing w:before="0"/>
        <w:ind w:left="0" w:firstLine="0"/>
        <w:rPr>
          <w:rFonts w:ascii="Tahoma" w:hAnsi="Tahoma" w:cs="Tahoma"/>
          <w:sz w:val="18"/>
          <w:szCs w:val="18"/>
          <w:lang w:val="pt-BR"/>
        </w:rPr>
      </w:pPr>
    </w:p>
    <w:p w:rsidR="005B0791" w:rsidRPr="00E47ECF" w:rsidRDefault="005B0791" w:rsidP="005B0791">
      <w:pPr>
        <w:pStyle w:val="FootnoteBulletLevel2"/>
        <w:tabs>
          <w:tab w:val="clear" w:pos="1260"/>
        </w:tabs>
        <w:spacing w:before="0"/>
        <w:ind w:left="0" w:firstLine="0"/>
        <w:rPr>
          <w:rFonts w:ascii="Tahoma" w:hAnsi="Tahoma" w:cs="Tahoma"/>
          <w:sz w:val="18"/>
          <w:szCs w:val="18"/>
          <w:lang w:val="pt-BR"/>
        </w:rPr>
      </w:pPr>
    </w:p>
    <w:p w:rsidR="00223A77" w:rsidRPr="00416070" w:rsidRDefault="00F73587" w:rsidP="00223A77">
      <w:pPr>
        <w:pStyle w:val="Heading3"/>
      </w:pPr>
      <w:bookmarkStart w:id="1090" w:name="_Toc336338277"/>
      <w:bookmarkStart w:id="1091" w:name="_Toc352234344"/>
      <w:bookmarkStart w:id="1092" w:name="_Toc252341837"/>
      <w:bookmarkStart w:id="1093" w:name="Aps_16VS2010PremiumMSDN"/>
      <w:r w:rsidRPr="00416070">
        <w:rPr>
          <w:rFonts w:ascii="Tahoma" w:hAnsi="Tahoma"/>
          <w:caps/>
          <w:color w:val="F66400"/>
          <w:sz w:val="22"/>
          <w:vertAlign w:val="superscript"/>
        </w:rPr>
        <w:t>20</w:t>
      </w:r>
      <w:r w:rsidRPr="00416070">
        <w:rPr>
          <w:rFonts w:ascii="Tahoma" w:hAnsi="Tahoma"/>
          <w:color w:val="F66400"/>
          <w:sz w:val="22"/>
        </w:rPr>
        <w:t xml:space="preserve"> Visual Studio Premium 2012 com MSDN</w:t>
      </w:r>
      <w:bookmarkEnd w:id="1090"/>
      <w:bookmarkEnd w:id="1091"/>
      <w:r w:rsidRPr="00416070">
        <w:rPr>
          <w:rFonts w:ascii="Tahoma" w:hAnsi="Tahoma"/>
          <w:color w:val="F66400"/>
          <w:sz w:val="22"/>
        </w:rPr>
        <w:t xml:space="preserve"> </w:t>
      </w:r>
      <w:bookmarkEnd w:id="1092"/>
    </w:p>
    <w:bookmarkEnd w:id="1093"/>
    <w:p w:rsidR="00CB436E" w:rsidRPr="00416070" w:rsidRDefault="00CB436E" w:rsidP="00CB436E">
      <w:pPr>
        <w:pStyle w:val="FootnoteBulletLevel1"/>
        <w:tabs>
          <w:tab w:val="clear" w:pos="900"/>
        </w:tabs>
        <w:spacing w:before="0" w:after="0"/>
        <w:ind w:left="720" w:firstLine="0"/>
        <w:rPr>
          <w:rFonts w:ascii="Tahoma" w:hAnsi="Tahoma" w:cs="Tahoma"/>
          <w:sz w:val="18"/>
          <w:szCs w:val="18"/>
        </w:rPr>
      </w:pPr>
    </w:p>
    <w:p w:rsidR="001026FD" w:rsidRPr="00416070" w:rsidRDefault="001026FD" w:rsidP="00864B8A">
      <w:pPr>
        <w:spacing w:after="60"/>
        <w:ind w:left="720"/>
      </w:pPr>
      <w:r w:rsidRPr="00416070">
        <w:rPr>
          <w:rFonts w:cs="Tahoma"/>
          <w:b/>
        </w:rPr>
        <w:t>Visual Studio Team Foundation Server 2012</w:t>
      </w:r>
    </w:p>
    <w:p w:rsidR="001026FD" w:rsidRPr="00416070" w:rsidRDefault="001026FD" w:rsidP="00CB436E">
      <w:pPr>
        <w:pStyle w:val="EndnoteText"/>
        <w:ind w:left="720"/>
        <w:rPr>
          <w:rFonts w:ascii="Tahoma" w:hAnsi="Tahoma" w:cs="Tahoma"/>
          <w:sz w:val="18"/>
          <w:szCs w:val="18"/>
        </w:rPr>
      </w:pPr>
      <w:r w:rsidRPr="00416070">
        <w:rPr>
          <w:rFonts w:ascii="Tahoma" w:hAnsi="Tahoma" w:cs="Tahoma"/>
          <w:sz w:val="18"/>
        </w:rPr>
        <w:t>O assinante está qualificado para uma licença de servidor para o Visual Studio Team Foundation Server 2012 e uma CAL de Usuário do Team Foundation Server.</w:t>
      </w:r>
      <w:r w:rsidR="00FB5496" w:rsidRPr="00416070">
        <w:rPr>
          <w:rFonts w:ascii="Tahoma" w:hAnsi="Tahoma" w:cs="Tahoma"/>
          <w:sz w:val="18"/>
        </w:rPr>
        <w:t xml:space="preserve"> </w:t>
      </w:r>
      <w:r w:rsidRPr="00416070">
        <w:rPr>
          <w:rFonts w:ascii="Tahoma" w:hAnsi="Tahoma" w:cs="Tahoma"/>
          <w:sz w:val="18"/>
        </w:rPr>
        <w:t>A CAL é reservada unicamente para uso do assinante.</w:t>
      </w:r>
    </w:p>
    <w:p w:rsidR="001026FD" w:rsidRPr="00416070" w:rsidRDefault="001026FD" w:rsidP="00CB436E">
      <w:pPr>
        <w:pStyle w:val="EndnoteText"/>
        <w:ind w:left="720"/>
        <w:rPr>
          <w:rFonts w:ascii="Tahoma" w:hAnsi="Tahoma" w:cs="Tahoma"/>
          <w:sz w:val="18"/>
          <w:szCs w:val="18"/>
        </w:rPr>
      </w:pPr>
    </w:p>
    <w:p w:rsidR="001026FD" w:rsidRPr="00E47ECF" w:rsidRDefault="001026FD" w:rsidP="00864B8A">
      <w:pPr>
        <w:spacing w:after="60"/>
        <w:ind w:left="720"/>
        <w:rPr>
          <w:lang w:val="pt-BR"/>
        </w:rPr>
      </w:pPr>
      <w:r w:rsidRPr="00E47ECF">
        <w:rPr>
          <w:rFonts w:cs="Tahoma"/>
          <w:b/>
          <w:lang w:val="pt-BR"/>
        </w:rPr>
        <w:t>SQL Server Parallel Data Warehouse Developer</w:t>
      </w:r>
    </w:p>
    <w:p w:rsidR="001026FD" w:rsidRPr="00416070" w:rsidRDefault="001026FD" w:rsidP="00CB436E">
      <w:pPr>
        <w:pStyle w:val="EndnoteText"/>
        <w:ind w:left="720"/>
      </w:pPr>
      <w:r w:rsidRPr="00416070">
        <w:rPr>
          <w:rFonts w:ascii="Tahoma" w:hAnsi="Tahoma" w:cs="Tahoma"/>
          <w:sz w:val="18"/>
        </w:rPr>
        <w:t>O assinante é qualificado para uma licença do SQL Server 2008 R2 Parallel Data Warehouse Developer.</w:t>
      </w:r>
    </w:p>
    <w:p w:rsidR="00CB436E" w:rsidRPr="00E47ECF" w:rsidRDefault="00CB436E" w:rsidP="00CB436E">
      <w:pPr>
        <w:pStyle w:val="FootnoteBulletLevel1"/>
        <w:tabs>
          <w:tab w:val="clear" w:pos="900"/>
        </w:tabs>
        <w:spacing w:before="0" w:after="0"/>
        <w:ind w:left="720" w:firstLine="0"/>
        <w:rPr>
          <w:rFonts w:ascii="Tahoma" w:hAnsi="Tahoma" w:cs="Tahoma"/>
          <w:sz w:val="18"/>
          <w:szCs w:val="18"/>
          <w:lang w:val="pt-BR"/>
        </w:rPr>
      </w:pPr>
    </w:p>
    <w:p w:rsidR="00223A77" w:rsidRPr="00E47ECF" w:rsidRDefault="009B2474" w:rsidP="00864B8A">
      <w:pPr>
        <w:spacing w:after="60"/>
        <w:ind w:left="720"/>
        <w:rPr>
          <w:lang w:val="pt-BR"/>
        </w:rPr>
      </w:pPr>
      <w:r w:rsidRPr="00E47ECF">
        <w:rPr>
          <w:rFonts w:cs="Tahoma"/>
          <w:b/>
          <w:lang w:val="pt-BR"/>
        </w:rPr>
        <w:t>Qualificação do Software Assurance</w:t>
      </w:r>
    </w:p>
    <w:p w:rsidR="00BE4D27" w:rsidRPr="00416070" w:rsidRDefault="00223A77" w:rsidP="00BE4D27">
      <w:pPr>
        <w:pStyle w:val="EndnoteText"/>
      </w:pPr>
      <w:r w:rsidRPr="00416070">
        <w:rPr>
          <w:rFonts w:ascii="Tahoma" w:hAnsi="Tahoma" w:cs="Tahoma"/>
          <w:sz w:val="18"/>
        </w:rPr>
        <w:t>Os clientes com Software Assurance próximo à data de término referente aos produtos a seguir estão qualificados a renovar suas coberturas como Visual Studio Premium 2012 com MSDN. Ao renovar uma nível de assinatura MSDN diferente, os novos termos de uso substituirão os termos de uso anteriores, e</w:t>
      </w:r>
      <w:r w:rsidR="00F435F1" w:rsidRPr="00E47ECF">
        <w:rPr>
          <w:rFonts w:ascii="Tahoma" w:hAnsi="Tahoma" w:cs="Tahoma"/>
          <w:sz w:val="18"/>
          <w:lang w:val="pt-BR"/>
        </w:rPr>
        <w:t> </w:t>
      </w:r>
      <w:r w:rsidRPr="00416070">
        <w:rPr>
          <w:rFonts w:ascii="Tahoma" w:hAnsi="Tahoma" w:cs="Tahoma"/>
          <w:sz w:val="18"/>
        </w:rPr>
        <w:t>qualquer software não incluído na nova assinatura MSDN deverá ser removido.</w:t>
      </w:r>
    </w:p>
    <w:p w:rsidR="00223A77" w:rsidRPr="00416070" w:rsidRDefault="00223A77" w:rsidP="007E466C">
      <w:pPr>
        <w:pStyle w:val="EndnoteText"/>
        <w:ind w:left="720"/>
        <w:rPr>
          <w:rFonts w:ascii="Tahoma" w:hAnsi="Tahoma" w:cs="Tahoma"/>
          <w:sz w:val="18"/>
          <w:szCs w:val="18"/>
        </w:rPr>
      </w:pPr>
    </w:p>
    <w:p w:rsidR="00223A77" w:rsidRPr="00416070" w:rsidRDefault="00223A77" w:rsidP="00CB436E">
      <w:pPr>
        <w:pStyle w:val="FootnoteBulletLevel2"/>
        <w:numPr>
          <w:ilvl w:val="0"/>
          <w:numId w:val="6"/>
        </w:numPr>
        <w:spacing w:before="0" w:after="60"/>
        <w:ind w:left="1440"/>
      </w:pPr>
      <w:r w:rsidRPr="00416070">
        <w:rPr>
          <w:rFonts w:ascii="Tahoma" w:hAnsi="Tahoma" w:cs="Tahoma"/>
          <w:sz w:val="18"/>
        </w:rPr>
        <w:t>Visual Studio Ultimate com MSDN</w:t>
      </w:r>
    </w:p>
    <w:p w:rsidR="00223A77" w:rsidRPr="00416070" w:rsidRDefault="00223A77" w:rsidP="00CB436E">
      <w:pPr>
        <w:pStyle w:val="FootnoteBulletLevel2"/>
        <w:numPr>
          <w:ilvl w:val="0"/>
          <w:numId w:val="6"/>
        </w:numPr>
        <w:spacing w:before="0" w:after="60"/>
        <w:ind w:left="1440"/>
      </w:pPr>
      <w:r w:rsidRPr="00416070">
        <w:rPr>
          <w:rFonts w:ascii="Tahoma" w:hAnsi="Tahoma" w:cs="Tahoma"/>
          <w:sz w:val="18"/>
        </w:rPr>
        <w:t>Visual Studio Premium com MSDN</w:t>
      </w:r>
    </w:p>
    <w:p w:rsidR="00223A77" w:rsidRPr="00E47ECF" w:rsidRDefault="00223A77" w:rsidP="00CB436E">
      <w:pPr>
        <w:pStyle w:val="FootnoteBulletLevel2"/>
        <w:numPr>
          <w:ilvl w:val="0"/>
          <w:numId w:val="6"/>
        </w:numPr>
        <w:spacing w:before="0" w:after="60"/>
        <w:ind w:left="1440"/>
        <w:rPr>
          <w:lang w:val="pt-BR"/>
        </w:rPr>
      </w:pPr>
      <w:r w:rsidRPr="00E47ECF">
        <w:rPr>
          <w:rFonts w:ascii="Tahoma" w:hAnsi="Tahoma" w:cs="Tahoma"/>
          <w:sz w:val="18"/>
          <w:lang w:val="pt-BR"/>
        </w:rPr>
        <w:t>Visual Studio Professional com MSDN Premium</w:t>
      </w:r>
    </w:p>
    <w:p w:rsidR="00223A77" w:rsidRPr="00416070" w:rsidRDefault="00223A77" w:rsidP="00CB436E">
      <w:pPr>
        <w:pStyle w:val="FootnoteBulletLevel2"/>
        <w:numPr>
          <w:ilvl w:val="0"/>
          <w:numId w:val="6"/>
        </w:numPr>
        <w:spacing w:before="0" w:after="60"/>
        <w:ind w:left="1440"/>
      </w:pPr>
      <w:r w:rsidRPr="00416070">
        <w:rPr>
          <w:rFonts w:ascii="Tahoma" w:hAnsi="Tahoma" w:cs="Tahoma"/>
          <w:sz w:val="18"/>
        </w:rPr>
        <w:t>Visual Studio Team System Team Suite com MSDN Premium</w:t>
      </w:r>
    </w:p>
    <w:p w:rsidR="00223A77" w:rsidRPr="00416070" w:rsidRDefault="00223A77" w:rsidP="00CB436E">
      <w:pPr>
        <w:pStyle w:val="FootnoteBulletLevel2"/>
        <w:numPr>
          <w:ilvl w:val="0"/>
          <w:numId w:val="6"/>
        </w:numPr>
        <w:spacing w:before="0" w:after="60"/>
        <w:ind w:left="1440"/>
      </w:pPr>
      <w:r w:rsidRPr="00416070">
        <w:rPr>
          <w:rFonts w:ascii="Tahoma" w:hAnsi="Tahoma" w:cs="Tahoma"/>
          <w:sz w:val="18"/>
        </w:rPr>
        <w:t>Visual Studio Team System Test Edition com MSDN Premium</w:t>
      </w:r>
    </w:p>
    <w:p w:rsidR="00223A77" w:rsidRPr="00416070" w:rsidRDefault="00223A77" w:rsidP="00CB436E">
      <w:pPr>
        <w:pStyle w:val="FootnoteBulletLevel2"/>
        <w:numPr>
          <w:ilvl w:val="0"/>
          <w:numId w:val="6"/>
        </w:numPr>
        <w:spacing w:before="0" w:after="60"/>
        <w:ind w:left="1440"/>
      </w:pPr>
      <w:r w:rsidRPr="00416070">
        <w:rPr>
          <w:rFonts w:ascii="Tahoma" w:hAnsi="Tahoma" w:cs="Tahoma"/>
          <w:sz w:val="18"/>
        </w:rPr>
        <w:t>Visual Studio Team System Development Edition com MSDN Premium</w:t>
      </w:r>
    </w:p>
    <w:p w:rsidR="00223A77" w:rsidRPr="00416070" w:rsidRDefault="00223A77" w:rsidP="00CB436E">
      <w:pPr>
        <w:pStyle w:val="FootnoteBulletLevel2"/>
        <w:numPr>
          <w:ilvl w:val="0"/>
          <w:numId w:val="6"/>
        </w:numPr>
        <w:spacing w:before="0" w:after="60"/>
        <w:ind w:left="1440"/>
      </w:pPr>
      <w:r w:rsidRPr="00416070">
        <w:rPr>
          <w:rFonts w:ascii="Tahoma" w:hAnsi="Tahoma" w:cs="Tahoma"/>
          <w:sz w:val="18"/>
        </w:rPr>
        <w:t xml:space="preserve">Visual Studio Team System Architecture Edition com MSDN Premium </w:t>
      </w:r>
    </w:p>
    <w:p w:rsidR="00223A77" w:rsidRPr="00416070" w:rsidRDefault="00223A77" w:rsidP="00CB436E">
      <w:pPr>
        <w:pStyle w:val="FootnoteBulletLevel2"/>
        <w:numPr>
          <w:ilvl w:val="0"/>
          <w:numId w:val="6"/>
        </w:numPr>
        <w:spacing w:before="0" w:after="60"/>
        <w:ind w:left="1440"/>
      </w:pPr>
      <w:r w:rsidRPr="00416070">
        <w:rPr>
          <w:rFonts w:ascii="Tahoma" w:hAnsi="Tahoma" w:cs="Tahoma"/>
          <w:sz w:val="18"/>
        </w:rPr>
        <w:t>Visual Studio Team System Database Edition com MSDN Premium</w:t>
      </w:r>
    </w:p>
    <w:p w:rsidR="00223A77" w:rsidRPr="00E47ECF" w:rsidRDefault="00223A77" w:rsidP="00CB436E">
      <w:pPr>
        <w:pStyle w:val="FootnoteBulletLevel2"/>
        <w:numPr>
          <w:ilvl w:val="0"/>
          <w:numId w:val="6"/>
        </w:numPr>
        <w:spacing w:before="0" w:after="60"/>
        <w:ind w:left="1440"/>
        <w:rPr>
          <w:lang w:val="pt-BR"/>
        </w:rPr>
      </w:pPr>
      <w:r w:rsidRPr="00E47ECF">
        <w:rPr>
          <w:rFonts w:ascii="Tahoma" w:hAnsi="Tahoma" w:cs="Tahoma"/>
          <w:sz w:val="18"/>
          <w:lang w:val="pt-BR"/>
        </w:rPr>
        <w:t>Clientes com uma assinatura de varejo ativa para qualquer um dos softwares acima</w:t>
      </w:r>
    </w:p>
    <w:p w:rsidR="00223A77" w:rsidRPr="00E47ECF" w:rsidRDefault="00223A77" w:rsidP="00CB436E">
      <w:pPr>
        <w:pStyle w:val="FootnoteBulletLevel1"/>
        <w:spacing w:before="0" w:after="0"/>
        <w:ind w:left="907" w:firstLine="0"/>
        <w:rPr>
          <w:rFonts w:ascii="Tahoma" w:hAnsi="Tahoma" w:cs="Tahoma"/>
          <w:sz w:val="18"/>
          <w:szCs w:val="18"/>
          <w:lang w:val="pt-BR"/>
        </w:rPr>
      </w:pPr>
    </w:p>
    <w:p w:rsidR="00223A77" w:rsidRPr="00E47ECF" w:rsidRDefault="00223A77" w:rsidP="00076CB4">
      <w:pPr>
        <w:pStyle w:val="FootnoteBulletLevel1"/>
        <w:tabs>
          <w:tab w:val="clear" w:pos="900"/>
        </w:tabs>
        <w:spacing w:before="0" w:after="0"/>
        <w:ind w:left="720" w:firstLine="0"/>
        <w:rPr>
          <w:lang w:val="pt-BR"/>
        </w:rPr>
      </w:pPr>
      <w:r w:rsidRPr="00E47ECF">
        <w:rPr>
          <w:rFonts w:ascii="Tahoma" w:hAnsi="Tahoma" w:cs="Tahoma"/>
          <w:sz w:val="18"/>
          <w:lang w:val="pt-BR"/>
        </w:rPr>
        <w:t xml:space="preserve">Os clientes com Software Assurance próximo à data de término referente ao Visual Studio Premium 2012 com MSDN estão qualificados a renovar suas coberturas como: </w:t>
      </w:r>
    </w:p>
    <w:p w:rsidR="00CB436E" w:rsidRPr="00E47ECF" w:rsidRDefault="00CB436E" w:rsidP="00CB436E">
      <w:pPr>
        <w:pStyle w:val="FootnoteBulletLevel1"/>
        <w:spacing w:before="0" w:after="0"/>
        <w:ind w:left="907" w:firstLine="0"/>
        <w:rPr>
          <w:rFonts w:ascii="Tahoma" w:hAnsi="Tahoma" w:cs="Tahoma"/>
          <w:sz w:val="18"/>
          <w:szCs w:val="18"/>
          <w:lang w:val="pt-BR"/>
        </w:rPr>
      </w:pPr>
    </w:p>
    <w:p w:rsidR="00223A77" w:rsidRPr="00416070" w:rsidRDefault="00223A77" w:rsidP="00CB436E">
      <w:pPr>
        <w:pStyle w:val="FootnoteBulletLevel2"/>
        <w:numPr>
          <w:ilvl w:val="0"/>
          <w:numId w:val="6"/>
        </w:numPr>
        <w:spacing w:before="0" w:after="60"/>
        <w:ind w:left="1440"/>
      </w:pPr>
      <w:r w:rsidRPr="00416070">
        <w:rPr>
          <w:rFonts w:ascii="Tahoma" w:hAnsi="Tahoma" w:cs="Tahoma"/>
          <w:sz w:val="18"/>
        </w:rPr>
        <w:t>Visual Studio Professional com MSDN</w:t>
      </w:r>
    </w:p>
    <w:p w:rsidR="006771C8" w:rsidRPr="00416070" w:rsidRDefault="006771C8" w:rsidP="00CB436E">
      <w:pPr>
        <w:pStyle w:val="FootnoteBulletLevel2"/>
        <w:numPr>
          <w:ilvl w:val="0"/>
          <w:numId w:val="6"/>
        </w:numPr>
        <w:spacing w:before="0" w:after="60"/>
        <w:ind w:left="1440"/>
      </w:pPr>
      <w:r w:rsidRPr="00416070">
        <w:rPr>
          <w:rFonts w:ascii="Tahoma" w:hAnsi="Tahoma" w:cs="Tahoma"/>
          <w:sz w:val="18"/>
        </w:rPr>
        <w:t>Visual Studio Test Professional com MSDN</w:t>
      </w:r>
    </w:p>
    <w:p w:rsidR="00223A77" w:rsidRPr="00416070" w:rsidRDefault="00223A77" w:rsidP="00CB436E">
      <w:pPr>
        <w:pStyle w:val="FootnoteBulletLevel2"/>
        <w:numPr>
          <w:ilvl w:val="0"/>
          <w:numId w:val="6"/>
        </w:numPr>
        <w:spacing w:before="0" w:after="60"/>
        <w:ind w:left="1440"/>
      </w:pPr>
      <w:r w:rsidRPr="00416070">
        <w:rPr>
          <w:rFonts w:ascii="Tahoma" w:hAnsi="Tahoma" w:cs="Tahoma"/>
          <w:sz w:val="18"/>
        </w:rPr>
        <w:t>MSDN Operating Systems</w:t>
      </w:r>
    </w:p>
    <w:p w:rsidR="00223A77" w:rsidRPr="00416070" w:rsidRDefault="00223A77" w:rsidP="00CB436E">
      <w:pPr>
        <w:pStyle w:val="FootnoteBulletLevel1"/>
        <w:spacing w:before="0" w:after="0"/>
        <w:ind w:left="907" w:firstLine="0"/>
        <w:rPr>
          <w:rFonts w:ascii="Tahoma" w:hAnsi="Tahoma" w:cs="Tahoma"/>
          <w:sz w:val="18"/>
          <w:szCs w:val="18"/>
        </w:rPr>
      </w:pPr>
    </w:p>
    <w:p w:rsidR="0055611F" w:rsidRPr="00E47ECF" w:rsidRDefault="00223A77" w:rsidP="00076CB4">
      <w:pPr>
        <w:pStyle w:val="FootnoteBulletLevel1"/>
        <w:tabs>
          <w:tab w:val="clear" w:pos="900"/>
        </w:tabs>
        <w:spacing w:before="0" w:after="0"/>
        <w:ind w:left="720" w:firstLine="0"/>
        <w:rPr>
          <w:lang w:val="pt-BR"/>
        </w:rPr>
      </w:pPr>
      <w:r w:rsidRPr="00E47ECF">
        <w:rPr>
          <w:rFonts w:ascii="Tahoma" w:hAnsi="Tahoma" w:cs="Tahoma"/>
          <w:sz w:val="18"/>
          <w:lang w:val="pt-BR"/>
        </w:rPr>
        <w:lastRenderedPageBreak/>
        <w:t xml:space="preserve">Os clientes do Enterprise, Select ou Open Value com cobertura do Software Assurance ativa para o Visual Studio Premium 2012 com MSDN também podem fazer step-up para o Visual Studio Ultimate 2012 com MSDN por meio da aquisição de </w:t>
      </w:r>
      <w:r w:rsidRPr="00E47ECF">
        <w:rPr>
          <w:rFonts w:ascii="Tahoma" w:hAnsi="Tahoma" w:cs="Tahoma"/>
          <w:sz w:val="18"/>
          <w:szCs w:val="24"/>
          <w:lang w:val="pt-BR"/>
        </w:rPr>
        <w:t>SKUs</w:t>
      </w:r>
      <w:hyperlink w:anchor="Step_Up" w:history="1">
        <w:r w:rsidRPr="00E47ECF">
          <w:rPr>
            <w:rFonts w:ascii="Tahoma" w:hAnsi="Tahoma" w:cs="Tahoma"/>
            <w:sz w:val="18"/>
            <w:szCs w:val="24"/>
            <w:lang w:val="pt-BR"/>
          </w:rPr>
          <w:t xml:space="preserve"> de Step-Up apropriadas</w:t>
        </w:r>
      </w:hyperlink>
      <w:r w:rsidRPr="00E47ECF">
        <w:rPr>
          <w:rFonts w:ascii="Tahoma" w:hAnsi="Tahoma" w:cs="Tahoma"/>
          <w:sz w:val="18"/>
          <w:lang w:val="pt-BR"/>
        </w:rPr>
        <w:t>.</w:t>
      </w:r>
    </w:p>
    <w:p w:rsidR="00CB436E" w:rsidRPr="00E47ECF" w:rsidRDefault="00CB436E" w:rsidP="00076CB4">
      <w:pPr>
        <w:pStyle w:val="FootnoteBulletLevel2"/>
        <w:tabs>
          <w:tab w:val="clear" w:pos="1260"/>
        </w:tabs>
        <w:spacing w:before="0"/>
        <w:ind w:left="720" w:firstLine="0"/>
        <w:rPr>
          <w:rFonts w:ascii="Tahoma" w:hAnsi="Tahoma" w:cs="Tahoma"/>
          <w:sz w:val="18"/>
          <w:szCs w:val="18"/>
          <w:lang w:val="pt-BR"/>
        </w:rPr>
      </w:pPr>
    </w:p>
    <w:p w:rsidR="0055611F" w:rsidRPr="00E47ECF" w:rsidRDefault="0055611F" w:rsidP="00864B8A">
      <w:pPr>
        <w:spacing w:after="60"/>
        <w:ind w:left="720"/>
        <w:rPr>
          <w:lang w:val="pt-BR"/>
        </w:rPr>
      </w:pPr>
      <w:r w:rsidRPr="00E47ECF">
        <w:rPr>
          <w:rFonts w:cs="Tahoma"/>
          <w:b/>
          <w:lang w:val="pt-BR"/>
        </w:rPr>
        <w:t>Serviços de Assinatura</w:t>
      </w:r>
    </w:p>
    <w:p w:rsidR="0055611F" w:rsidRPr="00E47ECF" w:rsidRDefault="0055611F" w:rsidP="00076CB4">
      <w:pPr>
        <w:pStyle w:val="FootnoteBulletLevel2"/>
        <w:tabs>
          <w:tab w:val="clear" w:pos="1260"/>
        </w:tabs>
        <w:spacing w:before="0"/>
        <w:ind w:left="720" w:firstLine="0"/>
        <w:rPr>
          <w:lang w:val="pt-BR"/>
        </w:rPr>
      </w:pPr>
      <w:r w:rsidRPr="00E47ECF">
        <w:rPr>
          <w:rFonts w:ascii="Tahoma" w:hAnsi="Tahoma" w:cs="Tahoma"/>
          <w:sz w:val="18"/>
          <w:lang w:val="pt-BR"/>
        </w:rPr>
        <w:t>Os serviços de assinatura MSDN, que podem incluir downloads, chaves de produto, benefícios do Windows</w:t>
      </w:r>
      <w:r w:rsidR="00F435F1" w:rsidRPr="00E47ECF">
        <w:rPr>
          <w:rFonts w:ascii="Tahoma" w:hAnsi="Tahoma" w:cs="Tahoma"/>
          <w:sz w:val="18"/>
          <w:lang w:val="pt-BR"/>
        </w:rPr>
        <w:t> </w:t>
      </w:r>
      <w:r w:rsidRPr="00E47ECF">
        <w:rPr>
          <w:rFonts w:ascii="Tahoma" w:hAnsi="Tahoma" w:cs="Tahoma"/>
          <w:sz w:val="18"/>
          <w:lang w:val="pt-BR"/>
        </w:rPr>
        <w:t>Azure, benefícios do Office 365 Developer, e-learning, suporte técnico, benefícios do Windows</w:t>
      </w:r>
      <w:r w:rsidR="00F435F1" w:rsidRPr="00E47ECF">
        <w:rPr>
          <w:rFonts w:ascii="Tahoma" w:hAnsi="Tahoma" w:cs="Tahoma"/>
          <w:sz w:val="18"/>
          <w:lang w:val="pt-BR"/>
        </w:rPr>
        <w:t> </w:t>
      </w:r>
      <w:r w:rsidRPr="00E47ECF">
        <w:rPr>
          <w:rFonts w:ascii="Tahoma" w:hAnsi="Tahoma" w:cs="Tahoma"/>
          <w:sz w:val="18"/>
          <w:lang w:val="pt-BR"/>
        </w:rPr>
        <w:t>Store e outros serviços, só estarão disponíveis enquanto a assinatura estiver ativa.</w:t>
      </w:r>
    </w:p>
    <w:p w:rsidR="0055611F" w:rsidRPr="00E47ECF" w:rsidRDefault="0055611F" w:rsidP="00076CB4">
      <w:pPr>
        <w:pStyle w:val="FootnoteBulletLevel1"/>
        <w:tabs>
          <w:tab w:val="clear" w:pos="900"/>
        </w:tabs>
        <w:spacing w:before="0" w:after="0"/>
        <w:ind w:left="720" w:firstLine="0"/>
        <w:rPr>
          <w:rFonts w:ascii="Tahoma" w:hAnsi="Tahoma" w:cs="Tahoma"/>
          <w:sz w:val="18"/>
          <w:szCs w:val="18"/>
          <w:lang w:val="pt-BR"/>
        </w:rPr>
      </w:pPr>
    </w:p>
    <w:p w:rsidR="0055611F" w:rsidRPr="00E47ECF" w:rsidRDefault="009B2474" w:rsidP="00864B8A">
      <w:pPr>
        <w:spacing w:after="60"/>
        <w:ind w:left="720"/>
        <w:rPr>
          <w:lang w:val="pt-BR"/>
        </w:rPr>
      </w:pPr>
      <w:r w:rsidRPr="00E47ECF">
        <w:rPr>
          <w:rFonts w:cs="Tahoma"/>
          <w:b/>
          <w:lang w:val="pt-BR"/>
        </w:rPr>
        <w:t>Serviços da Plataforma do Windows Azure</w:t>
      </w:r>
    </w:p>
    <w:p w:rsidR="0055611F" w:rsidRPr="00E47ECF" w:rsidRDefault="0055611F" w:rsidP="00076CB4">
      <w:pPr>
        <w:pStyle w:val="FootnoteBulletLevel2"/>
        <w:tabs>
          <w:tab w:val="clear" w:pos="1260"/>
        </w:tabs>
        <w:spacing w:before="0"/>
        <w:ind w:left="720" w:firstLine="0"/>
        <w:rPr>
          <w:lang w:val="pt-BR"/>
        </w:rPr>
      </w:pPr>
      <w:r w:rsidRPr="00E47ECF">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rsidR="0055611F" w:rsidRPr="00E47ECF" w:rsidRDefault="0055611F" w:rsidP="00CB436E">
      <w:pPr>
        <w:pStyle w:val="FootnoteBulletLevel2"/>
        <w:tabs>
          <w:tab w:val="clear" w:pos="1260"/>
        </w:tabs>
        <w:spacing w:before="0"/>
        <w:ind w:left="0" w:firstLine="0"/>
        <w:rPr>
          <w:rFonts w:ascii="Tahoma" w:hAnsi="Tahoma" w:cs="Tahoma"/>
          <w:sz w:val="18"/>
          <w:szCs w:val="18"/>
          <w:lang w:val="pt-BR"/>
        </w:rPr>
      </w:pPr>
    </w:p>
    <w:p w:rsidR="00E03856" w:rsidRPr="00E47ECF" w:rsidRDefault="00E03856" w:rsidP="00CB436E">
      <w:pPr>
        <w:pStyle w:val="FootnoteBulletLevel2"/>
        <w:tabs>
          <w:tab w:val="clear" w:pos="1260"/>
        </w:tabs>
        <w:spacing w:before="0"/>
        <w:ind w:left="0" w:firstLine="0"/>
        <w:rPr>
          <w:rFonts w:ascii="Tahoma" w:hAnsi="Tahoma" w:cs="Tahoma"/>
          <w:sz w:val="18"/>
          <w:szCs w:val="18"/>
          <w:lang w:val="pt-BR"/>
        </w:rPr>
      </w:pPr>
    </w:p>
    <w:p w:rsidR="00223A77" w:rsidRPr="00416070" w:rsidRDefault="00F73587" w:rsidP="00223A77">
      <w:pPr>
        <w:pStyle w:val="Heading3"/>
      </w:pPr>
      <w:bookmarkStart w:id="1094" w:name="_Toc336338278"/>
      <w:bookmarkStart w:id="1095" w:name="_Toc352234345"/>
      <w:bookmarkStart w:id="1096" w:name="Aps_18VS2010UltimateMSDN"/>
      <w:r w:rsidRPr="00416070">
        <w:rPr>
          <w:rFonts w:ascii="Tahoma" w:hAnsi="Tahoma"/>
          <w:caps/>
          <w:color w:val="F66400"/>
          <w:sz w:val="22"/>
          <w:vertAlign w:val="superscript"/>
        </w:rPr>
        <w:t>21</w:t>
      </w:r>
      <w:r w:rsidRPr="00416070">
        <w:rPr>
          <w:rFonts w:ascii="Tahoma" w:hAnsi="Tahoma"/>
          <w:color w:val="F66400"/>
          <w:sz w:val="22"/>
        </w:rPr>
        <w:t xml:space="preserve"> Visual Studio Ultimate 2012 com MSDN</w:t>
      </w:r>
      <w:bookmarkEnd w:id="1094"/>
      <w:bookmarkEnd w:id="1095"/>
      <w:r w:rsidRPr="00416070">
        <w:rPr>
          <w:rFonts w:ascii="Tahoma" w:hAnsi="Tahoma"/>
          <w:color w:val="F66400"/>
          <w:sz w:val="22"/>
        </w:rPr>
        <w:t xml:space="preserve"> </w:t>
      </w:r>
    </w:p>
    <w:bookmarkEnd w:id="1096"/>
    <w:p w:rsidR="0032113C" w:rsidRPr="00E47ECF" w:rsidRDefault="0032113C" w:rsidP="007A4659">
      <w:pPr>
        <w:adjustRightInd w:val="0"/>
        <w:ind w:left="540"/>
        <w:textAlignment w:val="baseline"/>
        <w:rPr>
          <w:lang w:val="pt-BR"/>
        </w:rPr>
      </w:pPr>
    </w:p>
    <w:p w:rsidR="001026FD" w:rsidRPr="00E47ECF" w:rsidRDefault="001026FD" w:rsidP="00864B8A">
      <w:pPr>
        <w:spacing w:after="60"/>
        <w:ind w:left="720"/>
        <w:rPr>
          <w:lang w:val="pt-BR"/>
        </w:rPr>
      </w:pPr>
      <w:r w:rsidRPr="00E47ECF">
        <w:rPr>
          <w:rFonts w:cs="Tahoma"/>
          <w:b/>
          <w:lang w:val="pt-BR"/>
        </w:rPr>
        <w:t>Visual Studio Team Foundation Server 2012</w:t>
      </w:r>
    </w:p>
    <w:p w:rsidR="001026FD" w:rsidRPr="00416070" w:rsidRDefault="001026FD" w:rsidP="007A4659">
      <w:pPr>
        <w:pStyle w:val="EndnoteText"/>
        <w:ind w:left="720"/>
      </w:pPr>
      <w:r w:rsidRPr="00416070">
        <w:rPr>
          <w:rFonts w:ascii="Tahoma" w:hAnsi="Tahoma" w:cs="Tahoma"/>
          <w:sz w:val="18"/>
        </w:rPr>
        <w:t>O assinante está qualificado para uma licença de servidor para o Visual Studio Team Foundation Server</w:t>
      </w:r>
      <w:r w:rsidR="00F435F1" w:rsidRPr="00E47ECF">
        <w:rPr>
          <w:rFonts w:ascii="Tahoma" w:hAnsi="Tahoma" w:cs="Tahoma"/>
          <w:sz w:val="18"/>
          <w:lang w:val="pt-BR"/>
        </w:rPr>
        <w:t> </w:t>
      </w:r>
      <w:r w:rsidRPr="00416070">
        <w:rPr>
          <w:rFonts w:ascii="Tahoma" w:hAnsi="Tahoma" w:cs="Tahoma"/>
          <w:sz w:val="18"/>
        </w:rPr>
        <w:t>2012 e uma CAL de Usuário do Team Foundation Server.</w:t>
      </w:r>
      <w:r w:rsidR="00FB5496" w:rsidRPr="00416070">
        <w:rPr>
          <w:rFonts w:ascii="Tahoma" w:hAnsi="Tahoma" w:cs="Tahoma"/>
          <w:sz w:val="18"/>
        </w:rPr>
        <w:t xml:space="preserve"> </w:t>
      </w:r>
      <w:r w:rsidRPr="00416070">
        <w:rPr>
          <w:rFonts w:ascii="Tahoma" w:hAnsi="Tahoma" w:cs="Tahoma"/>
          <w:sz w:val="18"/>
        </w:rPr>
        <w:t>A CAL é reservada unicamente para</w:t>
      </w:r>
      <w:r w:rsidR="00F435F1" w:rsidRPr="00E47ECF">
        <w:rPr>
          <w:rFonts w:ascii="Tahoma" w:hAnsi="Tahoma" w:cs="Tahoma"/>
          <w:sz w:val="18"/>
          <w:lang w:val="pt-BR"/>
        </w:rPr>
        <w:t> </w:t>
      </w:r>
      <w:r w:rsidRPr="00416070">
        <w:rPr>
          <w:rFonts w:ascii="Tahoma" w:hAnsi="Tahoma" w:cs="Tahoma"/>
          <w:sz w:val="18"/>
        </w:rPr>
        <w:t>uso</w:t>
      </w:r>
      <w:r w:rsidR="00F435F1" w:rsidRPr="00E47ECF">
        <w:rPr>
          <w:rFonts w:ascii="Tahoma" w:hAnsi="Tahoma" w:cs="Tahoma"/>
          <w:sz w:val="18"/>
          <w:lang w:val="pt-BR"/>
        </w:rPr>
        <w:t> </w:t>
      </w:r>
      <w:r w:rsidRPr="00416070">
        <w:rPr>
          <w:rFonts w:ascii="Tahoma" w:hAnsi="Tahoma" w:cs="Tahoma"/>
          <w:sz w:val="18"/>
        </w:rPr>
        <w:t>do</w:t>
      </w:r>
      <w:r w:rsidR="00F435F1" w:rsidRPr="00E47ECF">
        <w:rPr>
          <w:rFonts w:ascii="Tahoma" w:hAnsi="Tahoma" w:cs="Tahoma"/>
          <w:sz w:val="18"/>
          <w:lang w:val="pt-BR"/>
        </w:rPr>
        <w:t> </w:t>
      </w:r>
      <w:r w:rsidRPr="00416070">
        <w:rPr>
          <w:rFonts w:ascii="Tahoma" w:hAnsi="Tahoma" w:cs="Tahoma"/>
          <w:sz w:val="18"/>
        </w:rPr>
        <w:t>assinante.</w:t>
      </w:r>
    </w:p>
    <w:p w:rsidR="001026FD" w:rsidRPr="00416070" w:rsidRDefault="001026FD" w:rsidP="007A4659">
      <w:pPr>
        <w:pStyle w:val="EndnoteText"/>
        <w:ind w:left="720"/>
        <w:rPr>
          <w:rFonts w:ascii="Tahoma" w:hAnsi="Tahoma" w:cs="Tahoma"/>
          <w:sz w:val="18"/>
          <w:szCs w:val="18"/>
        </w:rPr>
      </w:pPr>
    </w:p>
    <w:p w:rsidR="001026FD" w:rsidRPr="00E47ECF" w:rsidRDefault="001026FD" w:rsidP="00864B8A">
      <w:pPr>
        <w:spacing w:after="60"/>
        <w:ind w:left="720"/>
        <w:rPr>
          <w:lang w:val="pt-BR"/>
        </w:rPr>
      </w:pPr>
      <w:r w:rsidRPr="00E47ECF">
        <w:rPr>
          <w:rFonts w:cs="Tahoma"/>
          <w:b/>
          <w:lang w:val="pt-BR"/>
        </w:rPr>
        <w:t>SQL Server Parallel Data Warehouse Developer</w:t>
      </w:r>
    </w:p>
    <w:p w:rsidR="001026FD" w:rsidRPr="00416070" w:rsidRDefault="001026FD" w:rsidP="007A4659">
      <w:pPr>
        <w:pStyle w:val="EndnoteText"/>
        <w:ind w:left="720"/>
      </w:pPr>
      <w:r w:rsidRPr="00416070">
        <w:rPr>
          <w:rFonts w:ascii="Tahoma" w:hAnsi="Tahoma" w:cs="Tahoma"/>
          <w:sz w:val="18"/>
        </w:rPr>
        <w:t>O assinante é qualificado para uma licença do SQL Server 2008 R2 Parallel Data Warehouse Developer.</w:t>
      </w:r>
    </w:p>
    <w:p w:rsidR="007A4659" w:rsidRPr="00E47ECF" w:rsidRDefault="007A4659" w:rsidP="007A4659">
      <w:pPr>
        <w:adjustRightInd w:val="0"/>
        <w:ind w:left="720"/>
        <w:textAlignment w:val="baseline"/>
        <w:rPr>
          <w:lang w:val="pt-BR"/>
        </w:rPr>
      </w:pPr>
    </w:p>
    <w:p w:rsidR="0032113C" w:rsidRPr="00E47ECF" w:rsidRDefault="0032113C" w:rsidP="00864B8A">
      <w:pPr>
        <w:spacing w:after="60"/>
        <w:ind w:left="720"/>
        <w:rPr>
          <w:lang w:val="pt-BR"/>
        </w:rPr>
      </w:pPr>
      <w:r w:rsidRPr="00E47ECF">
        <w:rPr>
          <w:rFonts w:cs="Tahoma"/>
          <w:b/>
          <w:lang w:val="pt-BR"/>
        </w:rPr>
        <w:t>Qualificação do Software Assurance</w:t>
      </w:r>
    </w:p>
    <w:p w:rsidR="0032113C" w:rsidRPr="00416070" w:rsidRDefault="0032113C" w:rsidP="00101859">
      <w:pPr>
        <w:pStyle w:val="EndnoteText"/>
        <w:rPr>
          <w:rFonts w:ascii="Tahoma" w:hAnsi="Tahoma" w:cs="Tahoma"/>
          <w:sz w:val="18"/>
          <w:szCs w:val="18"/>
        </w:rPr>
      </w:pPr>
      <w:r w:rsidRPr="00416070">
        <w:rPr>
          <w:rFonts w:ascii="Tahoma" w:hAnsi="Tahoma" w:cs="Tahoma"/>
          <w:sz w:val="18"/>
          <w:szCs w:val="18"/>
        </w:rPr>
        <w:t>Os clientes com Software Assurance próximo à data de término referente aos produtos a seguir estão qualificados a renovar suas coberturas como Visual Studio Ultimate 2012 com MSDN. Ao renovar uma nível de assinatura MSDN diferente, os novos termos de uso substituirão os termos de uso anteriores, e</w:t>
      </w:r>
      <w:r w:rsidR="00F435F1" w:rsidRPr="00E47ECF">
        <w:rPr>
          <w:rFonts w:ascii="Tahoma" w:hAnsi="Tahoma" w:cs="Tahoma"/>
          <w:sz w:val="18"/>
          <w:szCs w:val="18"/>
          <w:lang w:val="pt-BR"/>
        </w:rPr>
        <w:t> </w:t>
      </w:r>
      <w:r w:rsidRPr="00416070">
        <w:rPr>
          <w:rFonts w:ascii="Tahoma" w:hAnsi="Tahoma" w:cs="Tahoma"/>
          <w:sz w:val="18"/>
          <w:szCs w:val="18"/>
        </w:rPr>
        <w:t>qualquer software não incluído na nova assinatura MSDN deverá ser removido.</w:t>
      </w:r>
    </w:p>
    <w:p w:rsidR="0032113C" w:rsidRPr="00E47ECF" w:rsidRDefault="0032113C" w:rsidP="0032113C">
      <w:pPr>
        <w:ind w:left="900"/>
        <w:rPr>
          <w:lang w:val="pt-BR"/>
        </w:rPr>
      </w:pPr>
    </w:p>
    <w:p w:rsidR="0032113C" w:rsidRPr="00416070" w:rsidRDefault="0032113C" w:rsidP="007A4659">
      <w:pPr>
        <w:numPr>
          <w:ilvl w:val="0"/>
          <w:numId w:val="6"/>
        </w:numPr>
        <w:adjustRightInd w:val="0"/>
        <w:snapToGrid w:val="0"/>
        <w:spacing w:after="60"/>
        <w:ind w:left="1440"/>
        <w:textAlignment w:val="baseline"/>
      </w:pPr>
      <w:r w:rsidRPr="00416070">
        <w:rPr>
          <w:rFonts w:cs="Tahoma"/>
          <w:szCs w:val="24"/>
        </w:rPr>
        <w:t>Visual Studio Ultimate com MSDN</w:t>
      </w:r>
    </w:p>
    <w:p w:rsidR="0032113C" w:rsidRPr="00416070" w:rsidRDefault="0032113C" w:rsidP="007A4659">
      <w:pPr>
        <w:numPr>
          <w:ilvl w:val="0"/>
          <w:numId w:val="6"/>
        </w:numPr>
        <w:adjustRightInd w:val="0"/>
        <w:snapToGrid w:val="0"/>
        <w:spacing w:after="60"/>
        <w:ind w:left="1440"/>
        <w:textAlignment w:val="baseline"/>
      </w:pPr>
      <w:r w:rsidRPr="00416070">
        <w:rPr>
          <w:rFonts w:cs="Tahoma"/>
          <w:szCs w:val="24"/>
        </w:rPr>
        <w:t>Visual Studio Team System Team Suite com MSDN Premium</w:t>
      </w:r>
    </w:p>
    <w:p w:rsidR="0032113C" w:rsidRPr="00416070" w:rsidRDefault="0032113C" w:rsidP="007A4659">
      <w:pPr>
        <w:numPr>
          <w:ilvl w:val="0"/>
          <w:numId w:val="6"/>
        </w:numPr>
        <w:adjustRightInd w:val="0"/>
        <w:snapToGrid w:val="0"/>
        <w:spacing w:after="60"/>
        <w:ind w:left="1440"/>
        <w:textAlignment w:val="baseline"/>
      </w:pPr>
      <w:r w:rsidRPr="00416070">
        <w:rPr>
          <w:rFonts w:cs="Tahoma"/>
          <w:szCs w:val="24"/>
        </w:rPr>
        <w:t>Visual Studio Team System Test Edition com MSDN Premium</w:t>
      </w:r>
    </w:p>
    <w:p w:rsidR="0032113C" w:rsidRPr="00416070" w:rsidRDefault="0032113C" w:rsidP="007A4659">
      <w:pPr>
        <w:numPr>
          <w:ilvl w:val="0"/>
          <w:numId w:val="6"/>
        </w:numPr>
        <w:adjustRightInd w:val="0"/>
        <w:snapToGrid w:val="0"/>
        <w:spacing w:after="60"/>
        <w:ind w:left="1440"/>
        <w:textAlignment w:val="baseline"/>
      </w:pPr>
      <w:r w:rsidRPr="00416070">
        <w:rPr>
          <w:rFonts w:cs="Tahoma"/>
          <w:szCs w:val="24"/>
        </w:rPr>
        <w:t>Visual Studio Team System Development Edition com MSDN Premium</w:t>
      </w:r>
    </w:p>
    <w:p w:rsidR="0032113C" w:rsidRPr="00416070" w:rsidRDefault="0032113C" w:rsidP="007A4659">
      <w:pPr>
        <w:numPr>
          <w:ilvl w:val="0"/>
          <w:numId w:val="6"/>
        </w:numPr>
        <w:adjustRightInd w:val="0"/>
        <w:snapToGrid w:val="0"/>
        <w:spacing w:after="60"/>
        <w:ind w:left="1440"/>
        <w:textAlignment w:val="baseline"/>
      </w:pPr>
      <w:r w:rsidRPr="00416070">
        <w:rPr>
          <w:rFonts w:cs="Tahoma"/>
          <w:szCs w:val="24"/>
        </w:rPr>
        <w:t xml:space="preserve">Visual Studio Team System Architecture Edition com MSDN Premium </w:t>
      </w:r>
    </w:p>
    <w:p w:rsidR="0032113C" w:rsidRPr="00416070" w:rsidRDefault="0032113C" w:rsidP="007A4659">
      <w:pPr>
        <w:numPr>
          <w:ilvl w:val="0"/>
          <w:numId w:val="6"/>
        </w:numPr>
        <w:adjustRightInd w:val="0"/>
        <w:snapToGrid w:val="0"/>
        <w:spacing w:after="60"/>
        <w:ind w:left="1440"/>
        <w:textAlignment w:val="baseline"/>
      </w:pPr>
      <w:r w:rsidRPr="00416070">
        <w:rPr>
          <w:rFonts w:cs="Tahoma"/>
          <w:szCs w:val="24"/>
        </w:rPr>
        <w:t>Visual Studio Team System Database Edition com MSDN Premium</w:t>
      </w:r>
    </w:p>
    <w:p w:rsidR="0032113C" w:rsidRPr="00E47ECF" w:rsidRDefault="0032113C" w:rsidP="007A4659">
      <w:pPr>
        <w:numPr>
          <w:ilvl w:val="0"/>
          <w:numId w:val="6"/>
        </w:numPr>
        <w:adjustRightInd w:val="0"/>
        <w:snapToGrid w:val="0"/>
        <w:spacing w:after="60"/>
        <w:ind w:left="1440"/>
        <w:textAlignment w:val="baseline"/>
        <w:rPr>
          <w:lang w:val="pt-BR"/>
        </w:rPr>
      </w:pPr>
      <w:r w:rsidRPr="00E47ECF">
        <w:rPr>
          <w:rFonts w:cs="Tahoma"/>
          <w:szCs w:val="24"/>
          <w:lang w:val="pt-BR"/>
        </w:rPr>
        <w:t>Clientes com uma assinatura de varejo ativa para qualquer um dos softwares acima</w:t>
      </w:r>
    </w:p>
    <w:p w:rsidR="0032113C" w:rsidRPr="00E47ECF" w:rsidRDefault="0032113C" w:rsidP="007A4659">
      <w:pPr>
        <w:tabs>
          <w:tab w:val="num" w:pos="900"/>
        </w:tabs>
        <w:adjustRightInd w:val="0"/>
        <w:ind w:left="1440"/>
        <w:textAlignment w:val="baseline"/>
        <w:rPr>
          <w:lang w:val="pt-BR"/>
        </w:rPr>
      </w:pPr>
    </w:p>
    <w:p w:rsidR="0032113C" w:rsidRPr="00E47ECF" w:rsidRDefault="0032113C" w:rsidP="007A4659">
      <w:pPr>
        <w:adjustRightInd w:val="0"/>
        <w:ind w:left="720"/>
        <w:textAlignment w:val="baseline"/>
        <w:rPr>
          <w:lang w:val="pt-BR"/>
        </w:rPr>
      </w:pPr>
      <w:r w:rsidRPr="00E47ECF">
        <w:rPr>
          <w:rFonts w:cs="Tahoma"/>
          <w:szCs w:val="20"/>
          <w:lang w:val="pt-BR"/>
        </w:rPr>
        <w:t xml:space="preserve">Os clientes com Software Assurance próximo à data de término referente ao Visual Studio Ultimate 2012 com MSDN estão qualificados a renovar suas coberturas como: </w:t>
      </w:r>
    </w:p>
    <w:p w:rsidR="007A4659" w:rsidRPr="00E47ECF" w:rsidRDefault="007A4659" w:rsidP="007A4659">
      <w:pPr>
        <w:adjustRightInd w:val="0"/>
        <w:ind w:left="720"/>
        <w:textAlignment w:val="baseline"/>
        <w:rPr>
          <w:lang w:val="pt-BR"/>
        </w:rPr>
      </w:pPr>
    </w:p>
    <w:p w:rsidR="0032113C" w:rsidRPr="00416070" w:rsidRDefault="0032113C" w:rsidP="007A4659">
      <w:pPr>
        <w:numPr>
          <w:ilvl w:val="0"/>
          <w:numId w:val="6"/>
        </w:numPr>
        <w:adjustRightInd w:val="0"/>
        <w:snapToGrid w:val="0"/>
        <w:spacing w:after="60"/>
        <w:ind w:left="1440"/>
        <w:textAlignment w:val="baseline"/>
      </w:pPr>
      <w:r w:rsidRPr="00416070">
        <w:rPr>
          <w:rFonts w:cs="Tahoma"/>
          <w:szCs w:val="24"/>
        </w:rPr>
        <w:t>Visual Studio Premium com MSDN</w:t>
      </w:r>
    </w:p>
    <w:p w:rsidR="0032113C" w:rsidRPr="00416070" w:rsidRDefault="0032113C" w:rsidP="007A4659">
      <w:pPr>
        <w:numPr>
          <w:ilvl w:val="0"/>
          <w:numId w:val="6"/>
        </w:numPr>
        <w:adjustRightInd w:val="0"/>
        <w:snapToGrid w:val="0"/>
        <w:spacing w:after="60"/>
        <w:ind w:left="1440"/>
        <w:textAlignment w:val="baseline"/>
      </w:pPr>
      <w:r w:rsidRPr="00416070">
        <w:rPr>
          <w:rFonts w:cs="Tahoma"/>
          <w:szCs w:val="24"/>
        </w:rPr>
        <w:t>Visual Studio Professional com MSDN</w:t>
      </w:r>
    </w:p>
    <w:p w:rsidR="0032113C" w:rsidRPr="00416070" w:rsidRDefault="0032113C" w:rsidP="007A4659">
      <w:pPr>
        <w:numPr>
          <w:ilvl w:val="0"/>
          <w:numId w:val="6"/>
        </w:numPr>
        <w:adjustRightInd w:val="0"/>
        <w:snapToGrid w:val="0"/>
        <w:spacing w:after="60"/>
        <w:ind w:left="1440"/>
        <w:textAlignment w:val="baseline"/>
      </w:pPr>
      <w:r w:rsidRPr="00416070">
        <w:rPr>
          <w:rFonts w:cs="Tahoma"/>
          <w:szCs w:val="24"/>
        </w:rPr>
        <w:t>Visual Studio Test Professional com MSDN</w:t>
      </w:r>
    </w:p>
    <w:p w:rsidR="0032113C" w:rsidRPr="00416070" w:rsidRDefault="0032113C" w:rsidP="007A4659">
      <w:pPr>
        <w:numPr>
          <w:ilvl w:val="0"/>
          <w:numId w:val="6"/>
        </w:numPr>
        <w:adjustRightInd w:val="0"/>
        <w:snapToGrid w:val="0"/>
        <w:spacing w:after="60"/>
        <w:ind w:left="1440"/>
        <w:textAlignment w:val="baseline"/>
      </w:pPr>
      <w:r w:rsidRPr="00416070">
        <w:rPr>
          <w:rFonts w:cs="Tahoma"/>
          <w:szCs w:val="24"/>
        </w:rPr>
        <w:t>MSDN Operating Systems</w:t>
      </w:r>
    </w:p>
    <w:p w:rsidR="0055611F" w:rsidRPr="00416070" w:rsidRDefault="0055611F" w:rsidP="007A4659">
      <w:pPr>
        <w:adjustRightInd w:val="0"/>
        <w:snapToGrid w:val="0"/>
        <w:textAlignment w:val="baseline"/>
      </w:pPr>
    </w:p>
    <w:p w:rsidR="0055611F" w:rsidRPr="00416070" w:rsidRDefault="009B2474" w:rsidP="00864B8A">
      <w:pPr>
        <w:spacing w:after="60"/>
        <w:ind w:left="720"/>
      </w:pPr>
      <w:r w:rsidRPr="00416070">
        <w:rPr>
          <w:rFonts w:cs="Tahoma"/>
          <w:b/>
        </w:rPr>
        <w:t>Serviços de Assinatura</w:t>
      </w:r>
    </w:p>
    <w:p w:rsidR="0055611F" w:rsidRPr="00E47ECF" w:rsidRDefault="0055611F" w:rsidP="007A4659">
      <w:pPr>
        <w:pStyle w:val="FootnoteBulletLevel2"/>
        <w:tabs>
          <w:tab w:val="clear" w:pos="1260"/>
        </w:tabs>
        <w:spacing w:before="0"/>
        <w:ind w:left="720" w:firstLine="0"/>
        <w:rPr>
          <w:lang w:val="pt-BR"/>
        </w:rPr>
      </w:pPr>
      <w:r w:rsidRPr="00E47ECF">
        <w:rPr>
          <w:rFonts w:ascii="Tahoma" w:hAnsi="Tahoma" w:cs="Tahoma"/>
          <w:sz w:val="18"/>
          <w:lang w:val="pt-BR"/>
        </w:rPr>
        <w:t>Os serviços de assinatura MSDN, que podem incluir downloads, chaves de produto, benefícios do</w:t>
      </w:r>
      <w:r w:rsidR="00F435F1" w:rsidRPr="00E47ECF">
        <w:rPr>
          <w:rFonts w:ascii="Tahoma" w:hAnsi="Tahoma" w:cs="Tahoma"/>
          <w:sz w:val="18"/>
          <w:lang w:val="pt-BR"/>
        </w:rPr>
        <w:t> </w:t>
      </w:r>
      <w:r w:rsidRPr="00E47ECF">
        <w:rPr>
          <w:rFonts w:ascii="Tahoma" w:hAnsi="Tahoma" w:cs="Tahoma"/>
          <w:sz w:val="18"/>
          <w:lang w:val="pt-BR"/>
        </w:rPr>
        <w:t>Windows</w:t>
      </w:r>
      <w:r w:rsidR="00F435F1" w:rsidRPr="00E47ECF">
        <w:rPr>
          <w:rFonts w:ascii="Tahoma" w:hAnsi="Tahoma" w:cs="Tahoma"/>
          <w:sz w:val="18"/>
          <w:lang w:val="pt-BR"/>
        </w:rPr>
        <w:t> </w:t>
      </w:r>
      <w:r w:rsidRPr="00E47ECF">
        <w:rPr>
          <w:rFonts w:ascii="Tahoma" w:hAnsi="Tahoma" w:cs="Tahoma"/>
          <w:sz w:val="18"/>
          <w:lang w:val="pt-BR"/>
        </w:rPr>
        <w:t>Azure, benefícios do Office 365 Developer, e-learning, suporte técnico, benefícios do</w:t>
      </w:r>
      <w:r w:rsidR="00F435F1" w:rsidRPr="00E47ECF">
        <w:rPr>
          <w:rFonts w:ascii="Tahoma" w:hAnsi="Tahoma" w:cs="Tahoma"/>
          <w:sz w:val="18"/>
          <w:lang w:val="pt-BR"/>
        </w:rPr>
        <w:t> </w:t>
      </w:r>
      <w:r w:rsidRPr="00E47ECF">
        <w:rPr>
          <w:rFonts w:ascii="Tahoma" w:hAnsi="Tahoma" w:cs="Tahoma"/>
          <w:sz w:val="18"/>
          <w:lang w:val="pt-BR"/>
        </w:rPr>
        <w:t>Windows</w:t>
      </w:r>
      <w:r w:rsidR="00F435F1" w:rsidRPr="00E47ECF">
        <w:rPr>
          <w:rFonts w:ascii="Tahoma" w:hAnsi="Tahoma" w:cs="Tahoma"/>
          <w:sz w:val="18"/>
          <w:lang w:val="pt-BR"/>
        </w:rPr>
        <w:t> </w:t>
      </w:r>
      <w:r w:rsidRPr="00E47ECF">
        <w:rPr>
          <w:rFonts w:ascii="Tahoma" w:hAnsi="Tahoma" w:cs="Tahoma"/>
          <w:sz w:val="18"/>
          <w:lang w:val="pt-BR"/>
        </w:rPr>
        <w:t>Store e outros serviços, só estarão disponíveis enquanto a assinatura estiver ativa.</w:t>
      </w:r>
    </w:p>
    <w:p w:rsidR="0055611F" w:rsidRPr="00E47ECF" w:rsidRDefault="0055611F" w:rsidP="007A4659">
      <w:pPr>
        <w:pStyle w:val="FootnoteBulletLevel1"/>
        <w:spacing w:before="0" w:after="0"/>
        <w:ind w:left="720" w:firstLine="0"/>
        <w:rPr>
          <w:rFonts w:ascii="Tahoma" w:hAnsi="Tahoma" w:cs="Tahoma"/>
          <w:sz w:val="18"/>
          <w:szCs w:val="18"/>
          <w:lang w:val="pt-BR"/>
        </w:rPr>
      </w:pPr>
    </w:p>
    <w:p w:rsidR="007009C5" w:rsidRPr="00E47ECF" w:rsidRDefault="007009C5" w:rsidP="007A4659">
      <w:pPr>
        <w:pStyle w:val="FootnoteBulletLevel1"/>
        <w:spacing w:before="0" w:after="0"/>
        <w:ind w:left="720" w:firstLine="0"/>
        <w:rPr>
          <w:rFonts w:ascii="Tahoma" w:hAnsi="Tahoma" w:cs="Tahoma"/>
          <w:sz w:val="18"/>
          <w:szCs w:val="18"/>
          <w:lang w:val="pt-BR"/>
        </w:rPr>
      </w:pPr>
    </w:p>
    <w:p w:rsidR="007009C5" w:rsidRPr="00E47ECF" w:rsidRDefault="007009C5" w:rsidP="007A4659">
      <w:pPr>
        <w:pStyle w:val="FootnoteBulletLevel1"/>
        <w:spacing w:before="0" w:after="0"/>
        <w:ind w:left="720" w:firstLine="0"/>
        <w:rPr>
          <w:rFonts w:ascii="Tahoma" w:hAnsi="Tahoma" w:cs="Tahoma"/>
          <w:sz w:val="18"/>
          <w:szCs w:val="18"/>
          <w:lang w:val="pt-BR"/>
        </w:rPr>
      </w:pPr>
    </w:p>
    <w:p w:rsidR="007009C5" w:rsidRPr="00E47ECF" w:rsidRDefault="007009C5" w:rsidP="007A4659">
      <w:pPr>
        <w:pStyle w:val="FootnoteBulletLevel1"/>
        <w:spacing w:before="0" w:after="0"/>
        <w:ind w:left="720" w:firstLine="0"/>
        <w:rPr>
          <w:rFonts w:ascii="Tahoma" w:hAnsi="Tahoma" w:cs="Tahoma"/>
          <w:sz w:val="18"/>
          <w:szCs w:val="18"/>
          <w:lang w:val="pt-BR"/>
        </w:rPr>
      </w:pPr>
    </w:p>
    <w:p w:rsidR="0055611F" w:rsidRPr="00E47ECF" w:rsidRDefault="0055611F" w:rsidP="00864B8A">
      <w:pPr>
        <w:spacing w:after="60"/>
        <w:ind w:left="720"/>
        <w:rPr>
          <w:lang w:val="pt-BR"/>
        </w:rPr>
      </w:pPr>
      <w:r w:rsidRPr="00E47ECF">
        <w:rPr>
          <w:rFonts w:cs="Tahoma"/>
          <w:b/>
          <w:lang w:val="pt-BR"/>
        </w:rPr>
        <w:lastRenderedPageBreak/>
        <w:t>Serviços da Plataforma do Windows Azure</w:t>
      </w:r>
    </w:p>
    <w:p w:rsidR="00C2130B" w:rsidRPr="00E47ECF" w:rsidRDefault="0055611F" w:rsidP="007A4659">
      <w:pPr>
        <w:adjustRightInd w:val="0"/>
        <w:snapToGrid w:val="0"/>
        <w:ind w:left="720"/>
        <w:textAlignment w:val="baseline"/>
        <w:rPr>
          <w:lang w:val="pt-BR"/>
        </w:rPr>
      </w:pPr>
      <w:r w:rsidRPr="00E47ECF">
        <w:rPr>
          <w:rFonts w:cs="Tahoma"/>
          <w:lang w:val="pt-BR"/>
        </w:rPr>
        <w:t>Os benefícios do Windows Azure não podem ser combinados de várias assinaturas do MSDN em uma única conta do Windows Azure. O uso do Windows Azure está sujeito aos termos de uso do Windows Azure.</w:t>
      </w:r>
      <w:bookmarkStart w:id="1097" w:name="Aps_19VS2010TestMSDN"/>
    </w:p>
    <w:p w:rsidR="007A4659" w:rsidRPr="00E47ECF" w:rsidRDefault="007A4659" w:rsidP="007A4659">
      <w:pPr>
        <w:adjustRightInd w:val="0"/>
        <w:snapToGrid w:val="0"/>
        <w:textAlignment w:val="baseline"/>
        <w:rPr>
          <w:lang w:val="pt-BR"/>
        </w:rPr>
      </w:pPr>
    </w:p>
    <w:p w:rsidR="007A4659" w:rsidRPr="00E47ECF" w:rsidRDefault="007A4659" w:rsidP="007A4659">
      <w:pPr>
        <w:adjustRightInd w:val="0"/>
        <w:snapToGrid w:val="0"/>
        <w:textAlignment w:val="baseline"/>
        <w:rPr>
          <w:lang w:val="pt-BR"/>
        </w:rPr>
      </w:pPr>
    </w:p>
    <w:p w:rsidR="00223A77" w:rsidRPr="00416070" w:rsidRDefault="00B26237" w:rsidP="00223A77">
      <w:pPr>
        <w:pStyle w:val="Heading3"/>
      </w:pPr>
      <w:bookmarkStart w:id="1098" w:name="_22_Visual_Studio"/>
      <w:bookmarkStart w:id="1099" w:name="_Toc336338279"/>
      <w:bookmarkStart w:id="1100" w:name="_Toc352234346"/>
      <w:bookmarkEnd w:id="1098"/>
      <w:r w:rsidRPr="00416070">
        <w:rPr>
          <w:rFonts w:ascii="Tahoma" w:hAnsi="Tahoma"/>
          <w:caps/>
          <w:color w:val="F66400"/>
          <w:sz w:val="22"/>
          <w:vertAlign w:val="superscript"/>
        </w:rPr>
        <w:t>22</w:t>
      </w:r>
      <w:r w:rsidRPr="00416070">
        <w:rPr>
          <w:rFonts w:ascii="Tahoma" w:hAnsi="Tahoma"/>
          <w:color w:val="F66400"/>
          <w:sz w:val="22"/>
        </w:rPr>
        <w:t xml:space="preserve"> Visual Studio Test Professional 2012 com </w:t>
      </w:r>
      <w:bookmarkEnd w:id="1097"/>
      <w:r w:rsidRPr="00416070">
        <w:rPr>
          <w:rFonts w:ascii="Tahoma" w:hAnsi="Tahoma"/>
          <w:color w:val="F66400"/>
          <w:sz w:val="22"/>
        </w:rPr>
        <w:t>MSDN</w:t>
      </w:r>
      <w:bookmarkEnd w:id="1099"/>
      <w:bookmarkEnd w:id="1100"/>
      <w:r w:rsidRPr="00416070">
        <w:rPr>
          <w:rFonts w:ascii="Tahoma" w:hAnsi="Tahoma"/>
          <w:color w:val="F66400"/>
          <w:sz w:val="22"/>
        </w:rPr>
        <w:t xml:space="preserve"> </w:t>
      </w:r>
    </w:p>
    <w:p w:rsidR="00AC4485" w:rsidRPr="00416070" w:rsidRDefault="00AC4485" w:rsidP="00E7500D">
      <w:pPr>
        <w:pStyle w:val="FootnoteBulletLevel1"/>
        <w:spacing w:before="0" w:after="0"/>
        <w:rPr>
          <w:rFonts w:ascii="Tahoma" w:hAnsi="Tahoma" w:cs="Tahoma"/>
          <w:sz w:val="18"/>
          <w:szCs w:val="18"/>
        </w:rPr>
      </w:pPr>
    </w:p>
    <w:p w:rsidR="001026FD" w:rsidRPr="00416070" w:rsidRDefault="001026FD" w:rsidP="00864B8A">
      <w:pPr>
        <w:spacing w:after="60"/>
        <w:ind w:left="720"/>
      </w:pPr>
      <w:r w:rsidRPr="00416070">
        <w:rPr>
          <w:rFonts w:cs="Tahoma"/>
          <w:b/>
        </w:rPr>
        <w:t>Visual Studio Team Foundation Server 2012</w:t>
      </w:r>
    </w:p>
    <w:p w:rsidR="001026FD" w:rsidRPr="00416070" w:rsidRDefault="001026FD" w:rsidP="00E7500D">
      <w:pPr>
        <w:pStyle w:val="EndnoteText"/>
        <w:ind w:left="720"/>
      </w:pPr>
      <w:r w:rsidRPr="00416070">
        <w:rPr>
          <w:rFonts w:ascii="Tahoma" w:hAnsi="Tahoma" w:cs="Tahoma"/>
          <w:sz w:val="18"/>
        </w:rPr>
        <w:t>O assinante está qualificado para uma licença de servidor para o Visual Studio Team Foundation Server 2012 e uma CAL de Usuário do Team Foundation Server.</w:t>
      </w:r>
      <w:r w:rsidR="00FB5496" w:rsidRPr="00416070">
        <w:rPr>
          <w:rFonts w:ascii="Tahoma" w:hAnsi="Tahoma" w:cs="Tahoma"/>
          <w:sz w:val="18"/>
        </w:rPr>
        <w:t xml:space="preserve"> </w:t>
      </w:r>
      <w:r w:rsidRPr="00416070">
        <w:rPr>
          <w:rFonts w:ascii="Tahoma" w:hAnsi="Tahoma" w:cs="Tahoma"/>
          <w:sz w:val="18"/>
        </w:rPr>
        <w:t>A CAL é reservada unicamente para uso do assinante.</w:t>
      </w:r>
    </w:p>
    <w:p w:rsidR="001026FD" w:rsidRPr="00416070" w:rsidRDefault="001026FD" w:rsidP="00E7500D">
      <w:pPr>
        <w:pStyle w:val="EndnoteText"/>
        <w:ind w:left="720"/>
        <w:rPr>
          <w:rFonts w:ascii="Tahoma" w:hAnsi="Tahoma" w:cs="Tahoma"/>
          <w:sz w:val="18"/>
          <w:szCs w:val="18"/>
        </w:rPr>
      </w:pPr>
    </w:p>
    <w:p w:rsidR="001026FD" w:rsidRPr="00E47ECF" w:rsidRDefault="001026FD" w:rsidP="00864B8A">
      <w:pPr>
        <w:spacing w:after="60"/>
        <w:ind w:left="720"/>
        <w:rPr>
          <w:lang w:val="pt-BR"/>
        </w:rPr>
      </w:pPr>
      <w:r w:rsidRPr="00E47ECF">
        <w:rPr>
          <w:rFonts w:cs="Tahoma"/>
          <w:b/>
          <w:lang w:val="pt-BR"/>
        </w:rPr>
        <w:t>SQL Server Parallel Data Warehouse Developer</w:t>
      </w:r>
    </w:p>
    <w:p w:rsidR="001026FD" w:rsidRPr="00416070" w:rsidRDefault="001026FD" w:rsidP="00E7500D">
      <w:pPr>
        <w:pStyle w:val="EndnoteText"/>
        <w:ind w:left="720"/>
      </w:pPr>
      <w:r w:rsidRPr="00416070">
        <w:rPr>
          <w:rFonts w:ascii="Tahoma" w:hAnsi="Tahoma" w:cs="Tahoma"/>
          <w:sz w:val="18"/>
        </w:rPr>
        <w:t>O assinante é qualificado para uma licença do SQL Server 2008 R2 Parallel Data Warehouse Developer.</w:t>
      </w:r>
    </w:p>
    <w:p w:rsidR="00E7500D" w:rsidRPr="00E47ECF" w:rsidRDefault="00E7500D" w:rsidP="00E7500D">
      <w:pPr>
        <w:pStyle w:val="FootnoteBulletLevel1"/>
        <w:tabs>
          <w:tab w:val="clear" w:pos="900"/>
        </w:tabs>
        <w:spacing w:before="0" w:after="0"/>
        <w:ind w:left="720" w:firstLine="0"/>
        <w:rPr>
          <w:rFonts w:ascii="Tahoma" w:hAnsi="Tahoma" w:cs="Tahoma"/>
          <w:sz w:val="18"/>
          <w:szCs w:val="18"/>
          <w:lang w:val="pt-BR"/>
        </w:rPr>
      </w:pPr>
    </w:p>
    <w:p w:rsidR="00223A77" w:rsidRPr="00E47ECF" w:rsidRDefault="00223A77" w:rsidP="00864B8A">
      <w:pPr>
        <w:spacing w:after="60"/>
        <w:ind w:left="720"/>
        <w:rPr>
          <w:lang w:val="pt-BR"/>
        </w:rPr>
      </w:pPr>
      <w:r w:rsidRPr="00E47ECF">
        <w:rPr>
          <w:rFonts w:cs="Tahoma"/>
          <w:b/>
          <w:lang w:val="pt-BR"/>
        </w:rPr>
        <w:t>Qualificação do Software Assurance</w:t>
      </w:r>
    </w:p>
    <w:p w:rsidR="00223A77" w:rsidRPr="00E47ECF" w:rsidRDefault="00223A77" w:rsidP="00101859">
      <w:pPr>
        <w:tabs>
          <w:tab w:val="num" w:pos="1170"/>
        </w:tabs>
        <w:ind w:left="900"/>
        <w:rPr>
          <w:lang w:val="pt-BR"/>
        </w:rPr>
      </w:pPr>
      <w:r w:rsidRPr="00E47ECF">
        <w:rPr>
          <w:rFonts w:cs="Tahoma"/>
          <w:lang w:val="pt-BR"/>
        </w:rPr>
        <w:t>Os clientes com Software Assurance próximo à data de término referente aos produtos a seguir estão</w:t>
      </w:r>
      <w:r w:rsidR="007009C5" w:rsidRPr="00E47ECF">
        <w:rPr>
          <w:rFonts w:cs="Tahoma"/>
          <w:lang w:val="pt-BR"/>
        </w:rPr>
        <w:t> </w:t>
      </w:r>
      <w:r w:rsidRPr="00E47ECF">
        <w:rPr>
          <w:rFonts w:cs="Tahoma"/>
          <w:lang w:val="pt-BR"/>
        </w:rPr>
        <w:t>qualificados a renovar suas coberturas como Visual Studio Test Professional 2012 com MSDN</w:t>
      </w:r>
      <w:r w:rsidRPr="00E47ECF">
        <w:rPr>
          <w:rFonts w:cs="Tahoma"/>
          <w:szCs w:val="24"/>
          <w:lang w:val="pt-BR"/>
        </w:rPr>
        <w:t xml:space="preserve">. </w:t>
      </w:r>
      <w:r w:rsidRPr="00E47ECF">
        <w:rPr>
          <w:rFonts w:cs="Tahoma"/>
          <w:lang w:val="pt-BR"/>
        </w:rPr>
        <w:t>Ao</w:t>
      </w:r>
      <w:r w:rsidR="007009C5" w:rsidRPr="00E47ECF">
        <w:rPr>
          <w:rFonts w:cs="Tahoma"/>
          <w:lang w:val="pt-BR"/>
        </w:rPr>
        <w:t> </w:t>
      </w:r>
      <w:r w:rsidRPr="00E47ECF">
        <w:rPr>
          <w:rFonts w:cs="Tahoma"/>
          <w:lang w:val="pt-BR"/>
        </w:rPr>
        <w:t>renovar uma nível de assinatura MSDN diferente, os novos termos de uso substituirão os termos de</w:t>
      </w:r>
      <w:r w:rsidR="007009C5" w:rsidRPr="00E47ECF">
        <w:rPr>
          <w:rFonts w:cs="Tahoma"/>
          <w:lang w:val="pt-BR"/>
        </w:rPr>
        <w:t> </w:t>
      </w:r>
      <w:r w:rsidRPr="00E47ECF">
        <w:rPr>
          <w:rFonts w:cs="Tahoma"/>
          <w:lang w:val="pt-BR"/>
        </w:rPr>
        <w:t>uso anteriores, e qualquer software não incluído na nova assinatura MSDN deverá ser removido.</w:t>
      </w:r>
    </w:p>
    <w:p w:rsidR="00223A77" w:rsidRPr="00416070" w:rsidRDefault="00223A77" w:rsidP="00E7500D">
      <w:pPr>
        <w:pStyle w:val="EndnoteText"/>
        <w:rPr>
          <w:rFonts w:ascii="Tahoma" w:hAnsi="Tahoma" w:cs="Tahoma"/>
          <w:sz w:val="18"/>
          <w:szCs w:val="18"/>
        </w:rPr>
      </w:pPr>
    </w:p>
    <w:p w:rsidR="00223A77" w:rsidRPr="00416070" w:rsidRDefault="00223A77" w:rsidP="00E7500D">
      <w:pPr>
        <w:pStyle w:val="FootnoteBulletLevel2"/>
        <w:numPr>
          <w:ilvl w:val="0"/>
          <w:numId w:val="5"/>
        </w:numPr>
        <w:spacing w:before="0" w:after="60"/>
        <w:ind w:left="1440"/>
      </w:pPr>
      <w:r w:rsidRPr="00416070">
        <w:rPr>
          <w:rFonts w:ascii="Tahoma" w:hAnsi="Tahoma" w:cs="Tahoma"/>
          <w:sz w:val="18"/>
        </w:rPr>
        <w:t>Visual Studio Ultimate com MSDN</w:t>
      </w:r>
    </w:p>
    <w:p w:rsidR="00061A45" w:rsidRPr="00416070" w:rsidRDefault="00BE4D27" w:rsidP="00E7500D">
      <w:pPr>
        <w:pStyle w:val="FootnoteBulletLevel2"/>
        <w:numPr>
          <w:ilvl w:val="0"/>
          <w:numId w:val="5"/>
        </w:numPr>
        <w:spacing w:before="0" w:after="60"/>
        <w:ind w:left="1440"/>
      </w:pPr>
      <w:r w:rsidRPr="00416070">
        <w:rPr>
          <w:rFonts w:ascii="Tahoma" w:hAnsi="Tahoma" w:cs="Tahoma"/>
          <w:sz w:val="18"/>
        </w:rPr>
        <w:t>Visual Studio Premium com MSDN</w:t>
      </w:r>
    </w:p>
    <w:p w:rsidR="00223A77" w:rsidRPr="00416070" w:rsidRDefault="00223A77" w:rsidP="00E7500D">
      <w:pPr>
        <w:pStyle w:val="FootnoteBulletLevel2"/>
        <w:numPr>
          <w:ilvl w:val="0"/>
          <w:numId w:val="5"/>
        </w:numPr>
        <w:spacing w:before="0" w:after="60"/>
        <w:ind w:left="1440"/>
      </w:pPr>
      <w:r w:rsidRPr="00416070">
        <w:rPr>
          <w:rFonts w:ascii="Tahoma" w:hAnsi="Tahoma" w:cs="Tahoma"/>
          <w:sz w:val="18"/>
        </w:rPr>
        <w:t>Visual Studio Test Professional com MSDN</w:t>
      </w:r>
    </w:p>
    <w:p w:rsidR="00223A77" w:rsidRPr="00E47ECF" w:rsidRDefault="00223A77" w:rsidP="00E7500D">
      <w:pPr>
        <w:pStyle w:val="FootnoteBulletLevel2"/>
        <w:numPr>
          <w:ilvl w:val="0"/>
          <w:numId w:val="5"/>
        </w:numPr>
        <w:spacing w:before="0" w:after="60"/>
        <w:ind w:left="1440"/>
        <w:rPr>
          <w:lang w:val="pt-BR"/>
        </w:rPr>
      </w:pPr>
      <w:r w:rsidRPr="00E47ECF">
        <w:rPr>
          <w:rFonts w:ascii="Tahoma" w:hAnsi="Tahoma" w:cs="Tahoma"/>
          <w:sz w:val="18"/>
          <w:lang w:val="pt-BR"/>
        </w:rPr>
        <w:t>Clientes com uma assinatura de varejo ativa para qualquer um dos softwares acima</w:t>
      </w:r>
    </w:p>
    <w:p w:rsidR="00223A77" w:rsidRPr="00E47ECF" w:rsidRDefault="00223A77" w:rsidP="00E7500D">
      <w:pPr>
        <w:pStyle w:val="FootnoteBulletLevel1"/>
        <w:spacing w:before="0" w:after="0"/>
        <w:ind w:firstLine="0"/>
        <w:rPr>
          <w:rFonts w:ascii="Tahoma" w:hAnsi="Tahoma" w:cs="Tahoma"/>
          <w:sz w:val="18"/>
          <w:szCs w:val="18"/>
          <w:lang w:val="pt-BR"/>
        </w:rPr>
      </w:pPr>
    </w:p>
    <w:p w:rsidR="00E7500D" w:rsidRPr="00E47ECF" w:rsidRDefault="00223A77" w:rsidP="00E7500D">
      <w:pPr>
        <w:pStyle w:val="FootnoteBulletLevel2"/>
        <w:tabs>
          <w:tab w:val="clear" w:pos="1260"/>
        </w:tabs>
        <w:spacing w:before="0"/>
        <w:ind w:left="720" w:firstLine="0"/>
        <w:rPr>
          <w:lang w:val="pt-BR"/>
        </w:rPr>
      </w:pPr>
      <w:r w:rsidRPr="00E47ECF">
        <w:rPr>
          <w:rFonts w:ascii="Tahoma" w:hAnsi="Tahoma" w:cs="Tahoma"/>
          <w:sz w:val="18"/>
          <w:lang w:val="pt-BR"/>
        </w:rPr>
        <w:t>Os clientes do Enterprise, Select ou Open Value com cobertura do Software Assurance ativa para o Visual</w:t>
      </w:r>
      <w:r w:rsidR="007009C5" w:rsidRPr="00E47ECF">
        <w:rPr>
          <w:rFonts w:cs="Tahoma"/>
          <w:lang w:val="pt-BR"/>
        </w:rPr>
        <w:t> </w:t>
      </w:r>
      <w:r w:rsidRPr="00E47ECF">
        <w:rPr>
          <w:rFonts w:ascii="Tahoma" w:hAnsi="Tahoma" w:cs="Tahoma"/>
          <w:sz w:val="18"/>
          <w:lang w:val="pt-BR"/>
        </w:rPr>
        <w:t>Studio Test Professional 2012 com MSDN também podem fazer step-up para o Visual Studio Premium</w:t>
      </w:r>
      <w:r w:rsidR="007009C5" w:rsidRPr="00E47ECF">
        <w:rPr>
          <w:rFonts w:cs="Tahoma"/>
          <w:lang w:val="pt-BR"/>
        </w:rPr>
        <w:t> </w:t>
      </w:r>
      <w:r w:rsidRPr="00E47ECF">
        <w:rPr>
          <w:rFonts w:ascii="Tahoma" w:hAnsi="Tahoma" w:cs="Tahoma"/>
          <w:sz w:val="18"/>
          <w:lang w:val="pt-BR"/>
        </w:rPr>
        <w:t xml:space="preserve">2012 com MSDN por meio da aquisição de </w:t>
      </w:r>
      <w:hyperlink w:anchor="Step_Up" w:history="1">
        <w:r w:rsidRPr="00E47ECF">
          <w:rPr>
            <w:rFonts w:ascii="Tahoma" w:hAnsi="Tahoma" w:cs="Tahoma"/>
            <w:sz w:val="18"/>
            <w:lang w:val="pt-BR"/>
          </w:rPr>
          <w:t>SKUs de Step-up</w:t>
        </w:r>
      </w:hyperlink>
      <w:r w:rsidRPr="00E47ECF">
        <w:rPr>
          <w:lang w:val="pt-BR"/>
        </w:rPr>
        <w:t xml:space="preserve"> apropriadas</w:t>
      </w:r>
    </w:p>
    <w:p w:rsidR="00F435F1" w:rsidRPr="00E47ECF" w:rsidRDefault="00F435F1">
      <w:pPr>
        <w:rPr>
          <w:lang w:val="pt-BR"/>
        </w:rPr>
      </w:pPr>
    </w:p>
    <w:p w:rsidR="005C11D1" w:rsidRPr="00E47ECF" w:rsidRDefault="009B2474" w:rsidP="00864B8A">
      <w:pPr>
        <w:spacing w:after="60"/>
        <w:ind w:left="720"/>
        <w:rPr>
          <w:lang w:val="pt-BR"/>
        </w:rPr>
      </w:pPr>
      <w:r w:rsidRPr="00E47ECF">
        <w:rPr>
          <w:rFonts w:cs="Tahoma"/>
          <w:b/>
          <w:lang w:val="pt-BR"/>
        </w:rPr>
        <w:t>Serviços de Assinatura</w:t>
      </w:r>
    </w:p>
    <w:p w:rsidR="001051D1" w:rsidRPr="00E47ECF" w:rsidRDefault="005C11D1" w:rsidP="00E7500D">
      <w:pPr>
        <w:ind w:left="720"/>
        <w:rPr>
          <w:lang w:val="pt-BR"/>
        </w:rPr>
      </w:pPr>
      <w:r w:rsidRPr="00E47ECF">
        <w:rPr>
          <w:lang w:val="pt-BR"/>
        </w:rPr>
        <w:t>Os serviços de assinatura MSDN, que podem incluir downloads, chaves de produto, benefícios do Windows</w:t>
      </w:r>
      <w:r w:rsidR="007009C5" w:rsidRPr="00E47ECF">
        <w:rPr>
          <w:rFonts w:cs="Tahoma"/>
          <w:lang w:val="pt-BR"/>
        </w:rPr>
        <w:t> </w:t>
      </w:r>
      <w:r w:rsidRPr="00E47ECF">
        <w:rPr>
          <w:lang w:val="pt-BR"/>
        </w:rPr>
        <w:t xml:space="preserve">Azure, </w:t>
      </w:r>
      <w:r w:rsidRPr="00E47ECF">
        <w:rPr>
          <w:rFonts w:cs="Tahoma"/>
          <w:lang w:val="pt-BR"/>
        </w:rPr>
        <w:t xml:space="preserve">benefícios do Office 365 Developer, </w:t>
      </w:r>
      <w:r w:rsidRPr="00E47ECF">
        <w:rPr>
          <w:lang w:val="pt-BR"/>
        </w:rPr>
        <w:t>e-learning, suporte técnico, benefícios do Windows</w:t>
      </w:r>
      <w:r w:rsidR="007009C5" w:rsidRPr="00E47ECF">
        <w:rPr>
          <w:rFonts w:cs="Tahoma"/>
          <w:lang w:val="pt-BR"/>
        </w:rPr>
        <w:t> </w:t>
      </w:r>
      <w:r w:rsidRPr="00E47ECF">
        <w:rPr>
          <w:lang w:val="pt-BR"/>
        </w:rPr>
        <w:t>Store e outros serviços, só estarão disponíveis enquanto a assinatura estiver ativa.</w:t>
      </w:r>
      <w:bookmarkStart w:id="1101" w:name="_14_Operating_System"/>
      <w:bookmarkEnd w:id="1101"/>
    </w:p>
    <w:p w:rsidR="00E03856" w:rsidRPr="00E47ECF" w:rsidRDefault="001051D1">
      <w:pPr>
        <w:rPr>
          <w:lang w:val="pt-BR"/>
        </w:rPr>
      </w:pPr>
      <w:r w:rsidRPr="00E47ECF">
        <w:rPr>
          <w:lang w:val="pt-BR"/>
        </w:rPr>
        <w:br w:type="page"/>
      </w:r>
      <w:bookmarkStart w:id="1102" w:name="_Toc336338280"/>
    </w:p>
    <w:p w:rsidR="00023FE7" w:rsidRPr="00416070" w:rsidRDefault="00023FE7" w:rsidP="002E57CF">
      <w:pPr>
        <w:pStyle w:val="Heading2"/>
        <w:ind w:left="0"/>
      </w:pPr>
      <w:bookmarkStart w:id="1103" w:name="_Toc352234347"/>
      <w:r w:rsidRPr="00416070">
        <w:rPr>
          <w:rFonts w:ascii="Tahoma" w:hAnsi="Tahoma" w:cs="Tahoma"/>
          <w:sz w:val="28"/>
        </w:rPr>
        <w:lastRenderedPageBreak/>
        <w:t>Pool de Sistemas</w:t>
      </w:r>
      <w:bookmarkEnd w:id="1102"/>
      <w:bookmarkEnd w:id="1103"/>
    </w:p>
    <w:p w:rsidR="00023FE7" w:rsidRPr="00E47ECF" w:rsidRDefault="00023FE7">
      <w:pPr>
        <w:rPr>
          <w:lang w:val="pt-BR"/>
        </w:rPr>
      </w:pPr>
    </w:p>
    <w:p w:rsidR="009C2B6B" w:rsidRPr="00E47ECF" w:rsidRDefault="009C2B6B">
      <w:pPr>
        <w:rPr>
          <w:lang w:val="pt-BR"/>
        </w:rPr>
      </w:pPr>
    </w:p>
    <w:p w:rsidR="00E14FF2" w:rsidRPr="00416070" w:rsidRDefault="00B26237" w:rsidP="00A53269">
      <w:pPr>
        <w:pStyle w:val="Heading3"/>
      </w:pPr>
      <w:bookmarkStart w:id="1104" w:name="_23_Microsoft_Desktop"/>
      <w:bookmarkStart w:id="1105" w:name="_Toc336338283"/>
      <w:bookmarkStart w:id="1106" w:name="_Toc352234348"/>
      <w:bookmarkStart w:id="1107" w:name="Sys_21MDOPforSA"/>
      <w:bookmarkStart w:id="1108" w:name="Sys_25MDOPforSA"/>
      <w:bookmarkEnd w:id="1104"/>
      <w:r w:rsidRPr="00416070">
        <w:rPr>
          <w:rFonts w:ascii="Tahoma" w:hAnsi="Tahoma"/>
          <w:caps/>
          <w:color w:val="F66400"/>
          <w:sz w:val="22"/>
          <w:vertAlign w:val="superscript"/>
        </w:rPr>
        <w:t>23</w:t>
      </w:r>
      <w:r w:rsidRPr="00416070">
        <w:rPr>
          <w:rFonts w:ascii="Tahoma" w:hAnsi="Tahoma"/>
          <w:color w:val="F66400"/>
          <w:sz w:val="22"/>
        </w:rPr>
        <w:t xml:space="preserve"> Microsoft Desktop Optimization Pack para Software Assurance</w:t>
      </w:r>
      <w:bookmarkEnd w:id="1105"/>
      <w:bookmarkEnd w:id="1106"/>
    </w:p>
    <w:bookmarkEnd w:id="1107"/>
    <w:p w:rsidR="007A73DF" w:rsidRPr="00E47ECF" w:rsidRDefault="007A73DF" w:rsidP="00483B3D">
      <w:pPr>
        <w:rPr>
          <w:lang w:val="pt-BR"/>
        </w:rPr>
      </w:pPr>
    </w:p>
    <w:p w:rsidR="00475147" w:rsidRPr="00E47ECF" w:rsidRDefault="0037362E" w:rsidP="00483B3D">
      <w:pPr>
        <w:ind w:left="720"/>
        <w:rPr>
          <w:lang w:val="pt-BR"/>
        </w:rPr>
      </w:pPr>
      <w:r w:rsidRPr="00E47ECF">
        <w:rPr>
          <w:rFonts w:eastAsia="Calibri" w:cs="Tahoma"/>
          <w:color w:val="000000"/>
          <w:szCs w:val="18"/>
          <w:lang w:val="pt-BR"/>
        </w:rPr>
        <w:t>Os Clientes que desejam adquirir o Microsoft Desktop Optimization Pack for Software Assurance (MDOP) devem primeiro adquirir e atribuir a seu desktop um dos seguintes:</w:t>
      </w:r>
    </w:p>
    <w:p w:rsidR="00475147" w:rsidRPr="00E47ECF" w:rsidRDefault="00475147" w:rsidP="00483B3D">
      <w:pPr>
        <w:numPr>
          <w:ilvl w:val="0"/>
          <w:numId w:val="63"/>
        </w:numPr>
        <w:tabs>
          <w:tab w:val="left" w:pos="1440"/>
        </w:tabs>
        <w:ind w:left="1440" w:hanging="446"/>
        <w:rPr>
          <w:lang w:val="pt-BR"/>
        </w:rPr>
      </w:pPr>
      <w:r w:rsidRPr="00E47ECF">
        <w:rPr>
          <w:rFonts w:eastAsia="Calibri" w:cs="Tahoma"/>
          <w:color w:val="000000"/>
          <w:szCs w:val="18"/>
          <w:lang w:val="pt-BR"/>
        </w:rPr>
        <w:t>Software Assurance ativo para o Sistema Operacional Windows Desktop ou</w:t>
      </w:r>
    </w:p>
    <w:p w:rsidR="00475147" w:rsidRPr="00E47ECF" w:rsidRDefault="00475147" w:rsidP="00483B3D">
      <w:pPr>
        <w:numPr>
          <w:ilvl w:val="0"/>
          <w:numId w:val="63"/>
        </w:numPr>
        <w:tabs>
          <w:tab w:val="left" w:pos="1440"/>
        </w:tabs>
        <w:ind w:left="1440" w:hanging="446"/>
        <w:rPr>
          <w:lang w:val="pt-BR"/>
        </w:rPr>
      </w:pPr>
      <w:r w:rsidRPr="00E47ECF">
        <w:rPr>
          <w:rFonts w:eastAsia="Calibri" w:cs="Tahoma"/>
          <w:color w:val="000000"/>
          <w:szCs w:val="18"/>
          <w:lang w:val="pt-BR"/>
        </w:rPr>
        <w:t>Uma licença do Windows Virtual Desktop Access ou</w:t>
      </w:r>
    </w:p>
    <w:p w:rsidR="00475147" w:rsidRPr="00E47ECF" w:rsidRDefault="00475147" w:rsidP="00483B3D">
      <w:pPr>
        <w:numPr>
          <w:ilvl w:val="0"/>
          <w:numId w:val="63"/>
        </w:numPr>
        <w:tabs>
          <w:tab w:val="left" w:pos="1440"/>
        </w:tabs>
        <w:ind w:left="1440" w:hanging="446"/>
        <w:rPr>
          <w:lang w:val="pt-BR"/>
        </w:rPr>
      </w:pPr>
      <w:r w:rsidRPr="00E47ECF">
        <w:rPr>
          <w:rFonts w:eastAsia="Calibri" w:cs="Tahoma"/>
          <w:color w:val="000000"/>
          <w:szCs w:val="18"/>
          <w:lang w:val="pt-BR"/>
        </w:rPr>
        <w:t xml:space="preserve">Uma assinatura ativa para Windows Intune </w:t>
      </w:r>
      <w:r w:rsidRPr="00E47ECF">
        <w:rPr>
          <w:rFonts w:cs="Tahoma"/>
          <w:szCs w:val="18"/>
          <w:lang w:val="pt-BR"/>
        </w:rPr>
        <w:t>(Por Dispositivo)</w:t>
      </w:r>
      <w:r w:rsidRPr="00E47ECF">
        <w:rPr>
          <w:rFonts w:eastAsia="Calibri" w:cs="Tahoma"/>
          <w:color w:val="000000"/>
          <w:szCs w:val="18"/>
          <w:lang w:val="pt-BR"/>
        </w:rPr>
        <w:t>.</w:t>
      </w:r>
    </w:p>
    <w:p w:rsidR="00475147" w:rsidRPr="00E47ECF" w:rsidRDefault="00475147" w:rsidP="00483B3D">
      <w:pPr>
        <w:spacing w:before="120"/>
        <w:ind w:left="720"/>
        <w:rPr>
          <w:lang w:val="pt-BR"/>
        </w:rPr>
      </w:pPr>
      <w:r w:rsidRPr="00E47ECF">
        <w:rPr>
          <w:rFonts w:eastAsia="Calibri" w:cs="Tahoma"/>
          <w:color w:val="000000"/>
          <w:szCs w:val="18"/>
          <w:lang w:val="pt-BR"/>
        </w:rPr>
        <w:t>Dispositivos cobertos pela Licença de Assinatura do Companion ativa também são permitidos.</w:t>
      </w:r>
    </w:p>
    <w:p w:rsidR="007A73DF" w:rsidRPr="00E47ECF" w:rsidRDefault="007A73DF" w:rsidP="00483B3D">
      <w:pPr>
        <w:ind w:left="720"/>
        <w:rPr>
          <w:lang w:val="pt-BR"/>
        </w:rPr>
      </w:pPr>
    </w:p>
    <w:p w:rsidR="00F7027D" w:rsidRPr="00E47ECF" w:rsidRDefault="00F7027D" w:rsidP="00483B3D">
      <w:pPr>
        <w:ind w:left="720"/>
        <w:rPr>
          <w:lang w:val="pt-BR"/>
        </w:rPr>
      </w:pPr>
      <w:r w:rsidRPr="00E47ECF">
        <w:rPr>
          <w:rFonts w:eastAsia="Calibri" w:cs="Tahoma"/>
          <w:color w:val="000000"/>
          <w:szCs w:val="18"/>
          <w:lang w:val="pt-BR"/>
        </w:rPr>
        <w:t>Os clientes de Licenciamento por Volume com licenças ativas para o MDOP receberão os seguintes softwares (conforme forem disponibilizados).</w:t>
      </w:r>
    </w:p>
    <w:p w:rsidR="007A73DF" w:rsidRPr="00E47ECF" w:rsidRDefault="007A73DF" w:rsidP="00483B3D">
      <w:pPr>
        <w:ind w:left="720"/>
        <w:rPr>
          <w:lang w:val="pt-BR"/>
        </w:rPr>
      </w:pPr>
    </w:p>
    <w:p w:rsidR="00E52A26" w:rsidRPr="00416070" w:rsidRDefault="00E52A26" w:rsidP="00483B3D">
      <w:pPr>
        <w:numPr>
          <w:ilvl w:val="0"/>
          <w:numId w:val="63"/>
        </w:numPr>
        <w:tabs>
          <w:tab w:val="left" w:pos="1440"/>
        </w:tabs>
        <w:spacing w:after="60"/>
        <w:ind w:left="1440" w:hanging="446"/>
      </w:pPr>
      <w:r w:rsidRPr="00416070">
        <w:rPr>
          <w:rFonts w:eastAsia="Calibri" w:cs="Tahoma"/>
          <w:color w:val="000000"/>
          <w:szCs w:val="18"/>
        </w:rPr>
        <w:t>Microsoft Application Virtualization para Windows Desktops (App-V)</w:t>
      </w:r>
    </w:p>
    <w:p w:rsidR="00E52A26" w:rsidRPr="00E47ECF" w:rsidRDefault="00E52A26" w:rsidP="00483B3D">
      <w:pPr>
        <w:numPr>
          <w:ilvl w:val="0"/>
          <w:numId w:val="63"/>
        </w:numPr>
        <w:tabs>
          <w:tab w:val="left" w:pos="1440"/>
        </w:tabs>
        <w:spacing w:after="60"/>
        <w:ind w:left="1440" w:hanging="446"/>
        <w:rPr>
          <w:lang w:val="pt-BR"/>
        </w:rPr>
      </w:pPr>
      <w:r w:rsidRPr="00E47ECF">
        <w:rPr>
          <w:rFonts w:eastAsia="Calibri" w:cs="Tahoma"/>
          <w:color w:val="000000"/>
          <w:szCs w:val="18"/>
          <w:lang w:val="pt-BR"/>
        </w:rPr>
        <w:t>Gerenciamento da Política do Grupo Avançado da Microsoft (AGPM)</w:t>
      </w:r>
    </w:p>
    <w:p w:rsidR="00E52A26" w:rsidRPr="00E47ECF" w:rsidRDefault="00E52A26" w:rsidP="00483B3D">
      <w:pPr>
        <w:numPr>
          <w:ilvl w:val="0"/>
          <w:numId w:val="63"/>
        </w:numPr>
        <w:tabs>
          <w:tab w:val="left" w:pos="1440"/>
        </w:tabs>
        <w:spacing w:after="60"/>
        <w:ind w:left="1440" w:hanging="446"/>
        <w:rPr>
          <w:lang w:val="pt-BR"/>
        </w:rPr>
      </w:pPr>
      <w:r w:rsidRPr="00E47ECF">
        <w:rPr>
          <w:rFonts w:eastAsia="Calibri" w:cs="Tahoma"/>
          <w:color w:val="000000"/>
          <w:szCs w:val="18"/>
          <w:lang w:val="pt-BR"/>
        </w:rPr>
        <w:t>Ferramentas de Diagnóstico e Recuperação da Microsoft (DART)</w:t>
      </w:r>
    </w:p>
    <w:p w:rsidR="00E52A26" w:rsidRPr="00416070" w:rsidRDefault="00E52A26" w:rsidP="00483B3D">
      <w:pPr>
        <w:numPr>
          <w:ilvl w:val="0"/>
          <w:numId w:val="63"/>
        </w:numPr>
        <w:tabs>
          <w:tab w:val="left" w:pos="1440"/>
        </w:tabs>
        <w:spacing w:after="60"/>
        <w:ind w:left="1440" w:hanging="446"/>
      </w:pPr>
      <w:r w:rsidRPr="00416070">
        <w:rPr>
          <w:rFonts w:eastAsia="Calibri" w:cs="Tahoma"/>
          <w:color w:val="000000"/>
          <w:szCs w:val="18"/>
        </w:rPr>
        <w:t>Microsoft Enterprise Desktop Virtualization (MED-V)</w:t>
      </w:r>
    </w:p>
    <w:p w:rsidR="00E52A26" w:rsidRPr="00416070" w:rsidRDefault="00E52A26" w:rsidP="00483B3D">
      <w:pPr>
        <w:numPr>
          <w:ilvl w:val="0"/>
          <w:numId w:val="63"/>
        </w:numPr>
        <w:tabs>
          <w:tab w:val="left" w:pos="1440"/>
        </w:tabs>
        <w:spacing w:after="60"/>
        <w:ind w:left="1440" w:hanging="446"/>
      </w:pPr>
      <w:r w:rsidRPr="00416070">
        <w:rPr>
          <w:rFonts w:eastAsia="Calibri" w:cs="Tahoma"/>
          <w:color w:val="000000"/>
          <w:szCs w:val="18"/>
        </w:rPr>
        <w:t>Microsoft BitLocker</w:t>
      </w:r>
      <w:r w:rsidR="00510A6E" w:rsidRPr="00416070">
        <w:rPr>
          <w:rFonts w:eastAsia="Calibri" w:cs="Tahoma"/>
          <w:color w:val="000000"/>
          <w:szCs w:val="18"/>
          <w:vertAlign w:val="superscript"/>
        </w:rPr>
        <w:t>®</w:t>
      </w:r>
      <w:r w:rsidRPr="00416070">
        <w:rPr>
          <w:rFonts w:eastAsia="Calibri" w:cs="Tahoma"/>
          <w:color w:val="000000"/>
          <w:szCs w:val="18"/>
        </w:rPr>
        <w:t xml:space="preserve"> Administration and Monitoring (MBAM)</w:t>
      </w:r>
    </w:p>
    <w:p w:rsidR="00670296" w:rsidRPr="00416070" w:rsidRDefault="00670296" w:rsidP="00483B3D">
      <w:pPr>
        <w:numPr>
          <w:ilvl w:val="0"/>
          <w:numId w:val="63"/>
        </w:numPr>
        <w:tabs>
          <w:tab w:val="left" w:pos="1440"/>
        </w:tabs>
        <w:spacing w:after="60"/>
        <w:ind w:left="1440" w:hanging="446"/>
      </w:pPr>
      <w:r w:rsidRPr="00416070">
        <w:rPr>
          <w:rFonts w:eastAsia="Calibri" w:cs="Tahoma"/>
          <w:color w:val="000000"/>
          <w:szCs w:val="18"/>
        </w:rPr>
        <w:t>Microsoft User Experience Virtualization (UE-V)</w:t>
      </w:r>
    </w:p>
    <w:p w:rsidR="007A73DF" w:rsidRPr="00416070" w:rsidRDefault="007A73DF" w:rsidP="00483B3D">
      <w:pPr>
        <w:tabs>
          <w:tab w:val="left" w:pos="1440"/>
        </w:tabs>
        <w:ind w:left="994"/>
      </w:pPr>
    </w:p>
    <w:p w:rsidR="007045C0" w:rsidRPr="00E47ECF" w:rsidRDefault="007045C0" w:rsidP="00483B3D">
      <w:pPr>
        <w:spacing w:after="60"/>
        <w:ind w:left="720"/>
        <w:rPr>
          <w:lang w:val="pt-BR"/>
        </w:rPr>
      </w:pPr>
      <w:r w:rsidRPr="00E47ECF">
        <w:rPr>
          <w:rFonts w:eastAsia="Calibri" w:cs="Tahoma"/>
          <w:b/>
          <w:color w:val="000000"/>
          <w:szCs w:val="18"/>
          <w:lang w:val="pt-BR"/>
        </w:rPr>
        <w:t>Licença de Assinatura do Windows Companion (CSL) e MDOP</w:t>
      </w:r>
    </w:p>
    <w:p w:rsidR="007045C0" w:rsidRPr="00E47ECF" w:rsidRDefault="007045C0" w:rsidP="00483B3D">
      <w:pPr>
        <w:tabs>
          <w:tab w:val="left" w:pos="1440"/>
        </w:tabs>
        <w:ind w:left="720"/>
        <w:rPr>
          <w:lang w:val="pt-BR"/>
        </w:rPr>
      </w:pPr>
      <w:r w:rsidRPr="00E47ECF">
        <w:rPr>
          <w:rFonts w:cs="Tahoma"/>
          <w:color w:val="000000"/>
          <w:szCs w:val="18"/>
          <w:lang w:val="pt-BR"/>
        </w:rPr>
        <w:t>Usuários Principais de um dispositivo cobertos com uma licença MDOP ativa e CSL pode acessar a funcionalidade MDOP por meio de seus Companion Devices sem a necessidade de comprar licenças MDOP</w:t>
      </w:r>
      <w:r w:rsidR="00F435F1" w:rsidRPr="00E47ECF">
        <w:rPr>
          <w:rFonts w:cs="Tahoma"/>
          <w:color w:val="000000"/>
          <w:szCs w:val="18"/>
          <w:lang w:val="pt-BR"/>
        </w:rPr>
        <w:t> </w:t>
      </w:r>
      <w:r w:rsidRPr="00E47ECF">
        <w:rPr>
          <w:rFonts w:cs="Tahoma"/>
          <w:color w:val="000000"/>
          <w:szCs w:val="18"/>
          <w:lang w:val="pt-BR"/>
        </w:rPr>
        <w:t>adicionais para cada Companion Device.</w:t>
      </w:r>
    </w:p>
    <w:p w:rsidR="007045C0" w:rsidRPr="00E47ECF" w:rsidRDefault="007045C0" w:rsidP="00483B3D">
      <w:pPr>
        <w:tabs>
          <w:tab w:val="left" w:pos="1440"/>
        </w:tabs>
        <w:ind w:left="994"/>
        <w:rPr>
          <w:lang w:val="pt-BR"/>
        </w:rPr>
      </w:pPr>
    </w:p>
    <w:p w:rsidR="0031394C" w:rsidRPr="00E47ECF" w:rsidRDefault="0031394C" w:rsidP="00483B3D">
      <w:pPr>
        <w:spacing w:after="60"/>
        <w:ind w:left="720"/>
        <w:rPr>
          <w:lang w:val="pt-BR"/>
        </w:rPr>
      </w:pPr>
      <w:r w:rsidRPr="00E47ECF">
        <w:rPr>
          <w:rFonts w:eastAsia="Calibri" w:cs="Tahoma"/>
          <w:b/>
          <w:color w:val="000000"/>
          <w:szCs w:val="18"/>
          <w:lang w:val="pt-BR"/>
        </w:rPr>
        <w:t>Oferta do Windows Intune (Por Dispositivo) para Clientes do Microsoft Desktop Optimization Pack (MDOP) que Usam o Asset Inventory Service</w:t>
      </w:r>
    </w:p>
    <w:p w:rsidR="00BB0250" w:rsidRPr="00E47ECF" w:rsidRDefault="00BB0250" w:rsidP="00483B3D">
      <w:pPr>
        <w:ind w:left="720"/>
        <w:rPr>
          <w:lang w:val="pt-BR"/>
        </w:rPr>
      </w:pPr>
      <w:r w:rsidRPr="00E47ECF">
        <w:rPr>
          <w:rFonts w:cs="Tahoma"/>
          <w:color w:val="000000"/>
          <w:szCs w:val="18"/>
          <w:lang w:val="pt-BR"/>
        </w:rPr>
        <w:t>O Asset Inventory Service (AIS) oferecido como parte do MDOP será descontinuado em 3 de abril de 2013. A partir dessa data, os clientes não terão mais acesso ao serviço.</w:t>
      </w:r>
      <w:r w:rsidR="00FB5496" w:rsidRPr="00E47ECF">
        <w:rPr>
          <w:rFonts w:cs="Tahoma"/>
          <w:color w:val="000000"/>
          <w:szCs w:val="18"/>
          <w:lang w:val="pt-BR"/>
        </w:rPr>
        <w:t xml:space="preserve"> </w:t>
      </w:r>
      <w:r w:rsidRPr="00E47ECF">
        <w:rPr>
          <w:rFonts w:cs="Tahoma"/>
          <w:color w:val="000000"/>
          <w:szCs w:val="18"/>
          <w:lang w:val="pt-BR"/>
        </w:rPr>
        <w:t>Os clientes MDOP com contas AIS ativas ativadas no Volume Licensing Service Center (Centro de Atendimento de Licenciamento por Volume) em ou</w:t>
      </w:r>
      <w:r w:rsidR="00F435F1" w:rsidRPr="00E47ECF">
        <w:rPr>
          <w:rFonts w:cs="Tahoma"/>
          <w:color w:val="000000"/>
          <w:szCs w:val="18"/>
          <w:lang w:val="pt-BR"/>
        </w:rPr>
        <w:t> </w:t>
      </w:r>
      <w:r w:rsidRPr="00E47ECF">
        <w:rPr>
          <w:rFonts w:cs="Tahoma"/>
          <w:color w:val="000000"/>
          <w:szCs w:val="18"/>
          <w:lang w:val="pt-BR"/>
        </w:rPr>
        <w:t xml:space="preserve">antes de 30 de abril de 2012 terão a opção de mudar para e usar o serviço online Windows Intune </w:t>
      </w:r>
      <w:r w:rsidRPr="00E47ECF">
        <w:rPr>
          <w:rFonts w:cs="Tahoma"/>
          <w:szCs w:val="18"/>
          <w:lang w:val="pt-BR"/>
        </w:rPr>
        <w:t>(Por</w:t>
      </w:r>
      <w:r w:rsidR="00F435F1" w:rsidRPr="00E47ECF">
        <w:rPr>
          <w:rFonts w:cs="Tahoma"/>
          <w:szCs w:val="18"/>
          <w:lang w:val="pt-BR"/>
        </w:rPr>
        <w:t> </w:t>
      </w:r>
      <w:r w:rsidRPr="00E47ECF">
        <w:rPr>
          <w:rFonts w:cs="Tahoma"/>
          <w:szCs w:val="18"/>
          <w:lang w:val="pt-BR"/>
        </w:rPr>
        <w:t>Dispositivo)</w:t>
      </w:r>
      <w:r w:rsidR="00FB5496" w:rsidRPr="00E47ECF">
        <w:rPr>
          <w:rFonts w:cs="Tahoma"/>
          <w:szCs w:val="18"/>
          <w:lang w:val="pt-BR"/>
        </w:rPr>
        <w:t xml:space="preserve"> </w:t>
      </w:r>
      <w:r w:rsidRPr="00E47ECF">
        <w:rPr>
          <w:color w:val="000000"/>
          <w:lang w:val="pt-BR"/>
        </w:rPr>
        <w:t xml:space="preserve">desde que o </w:t>
      </w:r>
      <w:r w:rsidRPr="00E47ECF">
        <w:rPr>
          <w:rFonts w:cs="Tahoma"/>
          <w:color w:val="000000"/>
          <w:szCs w:val="18"/>
          <w:lang w:val="pt-BR"/>
        </w:rPr>
        <w:t xml:space="preserve">Windows Intune </w:t>
      </w:r>
      <w:r w:rsidRPr="00E47ECF">
        <w:rPr>
          <w:rFonts w:cs="Tahoma"/>
          <w:szCs w:val="18"/>
          <w:lang w:val="pt-BR"/>
        </w:rPr>
        <w:t xml:space="preserve">(Por Dispositivo) </w:t>
      </w:r>
      <w:r w:rsidRPr="00E47ECF">
        <w:rPr>
          <w:color w:val="000000"/>
          <w:lang w:val="pt-BR"/>
        </w:rPr>
        <w:t>esteja comercialmente disponível no país do</w:t>
      </w:r>
      <w:r w:rsidR="00F435F1" w:rsidRPr="00E47ECF">
        <w:rPr>
          <w:color w:val="000000"/>
          <w:lang w:val="pt-BR"/>
        </w:rPr>
        <w:t> </w:t>
      </w:r>
      <w:r w:rsidRPr="00E47ECF">
        <w:rPr>
          <w:color w:val="000000"/>
          <w:lang w:val="pt-BR"/>
        </w:rPr>
        <w:t>cliente.</w:t>
      </w:r>
      <w:r w:rsidR="00FB5496" w:rsidRPr="00E47ECF">
        <w:rPr>
          <w:color w:val="000000"/>
          <w:lang w:val="pt-BR"/>
        </w:rPr>
        <w:t xml:space="preserve"> </w:t>
      </w:r>
      <w:r w:rsidRPr="00E47ECF">
        <w:rPr>
          <w:color w:val="000000"/>
          <w:lang w:val="pt-BR"/>
        </w:rPr>
        <w:t xml:space="preserve">Uma lista de países nos quais o Windows Intune </w:t>
      </w:r>
      <w:r w:rsidRPr="00E47ECF">
        <w:rPr>
          <w:rFonts w:cs="Tahoma"/>
          <w:szCs w:val="18"/>
          <w:lang w:val="pt-BR"/>
        </w:rPr>
        <w:t xml:space="preserve">(Por Dispositivo) </w:t>
      </w:r>
      <w:r w:rsidRPr="00E47ECF">
        <w:rPr>
          <w:color w:val="000000"/>
          <w:lang w:val="pt-BR"/>
        </w:rPr>
        <w:t xml:space="preserve">está comercialmente disponível pode ser encontrada aqui: </w:t>
      </w:r>
      <w:hyperlink r:id="rId46" w:history="1">
        <w:r w:rsidRPr="00E47ECF">
          <w:rPr>
            <w:color w:val="0000FF"/>
            <w:u w:val="single"/>
            <w:lang w:val="pt-BR"/>
          </w:rPr>
          <w:t>www.microsoft.com/en-us/windows/windowsintune/faq/default.aspx</w:t>
        </w:r>
      </w:hyperlink>
      <w:r w:rsidRPr="00E47ECF">
        <w:rPr>
          <w:color w:val="0000FF"/>
          <w:lang w:val="pt-BR"/>
        </w:rPr>
        <w:t>.</w:t>
      </w:r>
    </w:p>
    <w:p w:rsidR="007A73DF" w:rsidRPr="00E47ECF" w:rsidRDefault="007A73DF" w:rsidP="00483B3D">
      <w:pPr>
        <w:ind w:left="720"/>
        <w:rPr>
          <w:lang w:val="pt-BR"/>
        </w:rPr>
      </w:pPr>
    </w:p>
    <w:p w:rsidR="007A73DF" w:rsidRPr="00416070" w:rsidRDefault="0031394C" w:rsidP="00483B3D">
      <w:pPr>
        <w:spacing w:after="60"/>
        <w:ind w:left="720"/>
      </w:pPr>
      <w:r w:rsidRPr="00416070">
        <w:rPr>
          <w:rFonts w:eastAsia="Calibri" w:cs="Tahoma"/>
          <w:b/>
          <w:color w:val="000000"/>
          <w:szCs w:val="18"/>
        </w:rPr>
        <w:t>Detalhes da Oferta</w:t>
      </w:r>
    </w:p>
    <w:p w:rsidR="0031394C" w:rsidRPr="00E47ECF" w:rsidRDefault="0031394C" w:rsidP="00483B3D">
      <w:pPr>
        <w:numPr>
          <w:ilvl w:val="1"/>
          <w:numId w:val="100"/>
        </w:numPr>
        <w:spacing w:after="60"/>
        <w:rPr>
          <w:lang w:val="pt-BR"/>
        </w:rPr>
      </w:pPr>
      <w:r w:rsidRPr="00E47ECF">
        <w:rPr>
          <w:rFonts w:eastAsia="Calibri" w:cs="Tahoma"/>
          <w:color w:val="000000"/>
          <w:szCs w:val="18"/>
          <w:lang w:val="pt-BR"/>
        </w:rPr>
        <w:t>Esta oferta pode ser aceita a qualquer momento entre 3 de abril de 2012 e a expiração da assinatura MDOP atual dos clientes.</w:t>
      </w:r>
    </w:p>
    <w:p w:rsidR="0031394C" w:rsidRPr="00E47ECF" w:rsidRDefault="0031394C" w:rsidP="00483B3D">
      <w:pPr>
        <w:numPr>
          <w:ilvl w:val="1"/>
          <w:numId w:val="100"/>
        </w:numPr>
        <w:spacing w:after="60"/>
        <w:rPr>
          <w:lang w:val="pt-BR"/>
        </w:rPr>
      </w:pPr>
      <w:r w:rsidRPr="00E47ECF">
        <w:rPr>
          <w:rFonts w:eastAsia="Calibri" w:cs="Tahoma"/>
          <w:color w:val="000000"/>
          <w:szCs w:val="18"/>
          <w:lang w:val="pt-BR"/>
        </w:rPr>
        <w:t xml:space="preserve">Para aceitar a oferta, os clientes devem (1) criar uma conta de avaliação do Windows Intune </w:t>
      </w:r>
      <w:r w:rsidRPr="00E47ECF">
        <w:rPr>
          <w:rFonts w:cs="Tahoma"/>
          <w:szCs w:val="18"/>
          <w:lang w:val="pt-BR"/>
        </w:rPr>
        <w:t>(Por</w:t>
      </w:r>
      <w:r w:rsidR="00F435F1" w:rsidRPr="00E47ECF">
        <w:rPr>
          <w:rFonts w:cs="Tahoma"/>
          <w:szCs w:val="18"/>
          <w:lang w:val="pt-BR"/>
        </w:rPr>
        <w:t> </w:t>
      </w:r>
      <w:r w:rsidRPr="00E47ECF">
        <w:rPr>
          <w:rFonts w:cs="Tahoma"/>
          <w:szCs w:val="18"/>
          <w:lang w:val="pt-BR"/>
        </w:rPr>
        <w:t xml:space="preserve">Dispositivo) </w:t>
      </w:r>
      <w:r w:rsidRPr="00E47ECF">
        <w:rPr>
          <w:rFonts w:eastAsia="Calibri" w:cs="Tahoma"/>
          <w:color w:val="000000"/>
          <w:szCs w:val="18"/>
          <w:lang w:val="pt-BR"/>
        </w:rPr>
        <w:t>acessando o site http://www.microsoft.com/en-us/windows/windowsintune/try-and-buy.aspx e, em seguida, (2) enviar o formulário de aceitação da oferta no site http://go.microsoft.com/fwlink/?LinkID=242876.</w:t>
      </w:r>
    </w:p>
    <w:p w:rsidR="0031394C" w:rsidRPr="00E47ECF" w:rsidRDefault="0031394C" w:rsidP="00483B3D">
      <w:pPr>
        <w:numPr>
          <w:ilvl w:val="1"/>
          <w:numId w:val="100"/>
        </w:numPr>
        <w:spacing w:after="60"/>
        <w:rPr>
          <w:lang w:val="pt-BR"/>
        </w:rPr>
      </w:pPr>
      <w:r w:rsidRPr="00E47ECF">
        <w:rPr>
          <w:rFonts w:eastAsia="Calibri" w:cs="Tahoma"/>
          <w:color w:val="000000"/>
          <w:szCs w:val="18"/>
          <w:lang w:val="pt-BR"/>
        </w:rPr>
        <w:t xml:space="preserve">O acesso e o uso do Windows Intune </w:t>
      </w:r>
      <w:r w:rsidRPr="00E47ECF">
        <w:rPr>
          <w:rFonts w:cs="Tahoma"/>
          <w:szCs w:val="18"/>
          <w:lang w:val="pt-BR"/>
        </w:rPr>
        <w:t xml:space="preserve">(Por Dispositivo) </w:t>
      </w:r>
      <w:r w:rsidRPr="00E47ECF">
        <w:rPr>
          <w:rFonts w:eastAsia="Calibri" w:cs="Tahoma"/>
          <w:color w:val="000000"/>
          <w:szCs w:val="18"/>
          <w:lang w:val="pt-BR"/>
        </w:rPr>
        <w:t>concedido por esta oferta expirará no término da assinatura MDOP do cliente.</w:t>
      </w:r>
    </w:p>
    <w:p w:rsidR="0031394C" w:rsidRPr="00E47ECF" w:rsidRDefault="0031394C" w:rsidP="00483B3D">
      <w:pPr>
        <w:numPr>
          <w:ilvl w:val="1"/>
          <w:numId w:val="100"/>
        </w:numPr>
        <w:spacing w:after="60"/>
        <w:rPr>
          <w:lang w:val="pt-BR"/>
        </w:rPr>
      </w:pPr>
      <w:r w:rsidRPr="00E47ECF">
        <w:rPr>
          <w:rFonts w:eastAsia="Calibri" w:cs="Tahoma"/>
          <w:color w:val="000000"/>
          <w:szCs w:val="18"/>
          <w:lang w:val="pt-BR"/>
        </w:rPr>
        <w:t>Os termos e as condições dos contratos dos clientes, os Termos Universais de Licença dos Direitos</w:t>
      </w:r>
      <w:r w:rsidR="007009C5" w:rsidRPr="00E47ECF">
        <w:rPr>
          <w:rFonts w:eastAsia="Calibri" w:cs="Tahoma"/>
          <w:color w:val="000000"/>
          <w:szCs w:val="18"/>
          <w:lang w:val="pt-BR"/>
        </w:rPr>
        <w:t> </w:t>
      </w:r>
      <w:r w:rsidRPr="00E47ECF">
        <w:rPr>
          <w:rFonts w:eastAsia="Calibri" w:cs="Tahoma"/>
          <w:color w:val="000000"/>
          <w:szCs w:val="18"/>
          <w:lang w:val="pt-BR"/>
        </w:rPr>
        <w:t>de Uso do Produto e os Termos Gerais de Licença da seção Serviços Online dos Direitos de</w:t>
      </w:r>
      <w:r w:rsidR="007009C5" w:rsidRPr="00E47ECF">
        <w:rPr>
          <w:rFonts w:eastAsia="Calibri" w:cs="Tahoma"/>
          <w:color w:val="000000"/>
          <w:szCs w:val="18"/>
          <w:lang w:val="pt-BR"/>
        </w:rPr>
        <w:t> </w:t>
      </w:r>
      <w:r w:rsidRPr="00E47ECF">
        <w:rPr>
          <w:rFonts w:eastAsia="Calibri" w:cs="Tahoma"/>
          <w:color w:val="000000"/>
          <w:szCs w:val="18"/>
          <w:lang w:val="pt-BR"/>
        </w:rPr>
        <w:t>Uso do Produto regem o uso do serviço.</w:t>
      </w:r>
    </w:p>
    <w:p w:rsidR="0031394C" w:rsidRPr="00E47ECF" w:rsidRDefault="0031394C" w:rsidP="00483B3D">
      <w:pPr>
        <w:numPr>
          <w:ilvl w:val="1"/>
          <w:numId w:val="100"/>
        </w:numPr>
        <w:spacing w:after="60"/>
        <w:rPr>
          <w:lang w:val="pt-BR"/>
        </w:rPr>
      </w:pPr>
      <w:r w:rsidRPr="00E47ECF">
        <w:rPr>
          <w:rFonts w:eastAsia="Calibri" w:cs="Tahoma"/>
          <w:color w:val="000000"/>
          <w:szCs w:val="18"/>
          <w:lang w:val="pt-BR"/>
        </w:rPr>
        <w:t xml:space="preserve">O número de dispositivos a partir do qual um cliente está qualificado para acessar o Windows Intune </w:t>
      </w:r>
      <w:r w:rsidRPr="00E47ECF">
        <w:rPr>
          <w:rFonts w:cs="Tahoma"/>
          <w:szCs w:val="18"/>
          <w:lang w:val="pt-BR"/>
        </w:rPr>
        <w:t>(Por Dispositivo)</w:t>
      </w:r>
      <w:r w:rsidRPr="00E47ECF">
        <w:rPr>
          <w:rFonts w:eastAsia="Calibri" w:cs="Tahoma"/>
          <w:color w:val="000000"/>
          <w:szCs w:val="18"/>
          <w:lang w:val="pt-BR"/>
        </w:rPr>
        <w:t xml:space="preserve"> sob esta oferta é igual ao número total de assinatura do AIS do cliente no</w:t>
      </w:r>
      <w:r w:rsidR="007009C5" w:rsidRPr="00E47ECF">
        <w:rPr>
          <w:rFonts w:eastAsia="Calibri" w:cs="Tahoma"/>
          <w:color w:val="000000"/>
          <w:szCs w:val="18"/>
          <w:lang w:val="pt-BR"/>
        </w:rPr>
        <w:t> </w:t>
      </w:r>
      <w:r w:rsidRPr="00E47ECF">
        <w:rPr>
          <w:rFonts w:eastAsia="Calibri" w:cs="Tahoma"/>
          <w:color w:val="000000"/>
          <w:szCs w:val="18"/>
          <w:lang w:val="pt-BR"/>
        </w:rPr>
        <w:t xml:space="preserve">momento em que o cliente aceita esta oferta do Windows Intune </w:t>
      </w:r>
      <w:r w:rsidRPr="00E47ECF">
        <w:rPr>
          <w:rFonts w:cs="Tahoma"/>
          <w:szCs w:val="18"/>
          <w:lang w:val="pt-BR"/>
        </w:rPr>
        <w:t>(Por Dispositivo)</w:t>
      </w:r>
      <w:r w:rsidRPr="00E47ECF">
        <w:rPr>
          <w:rFonts w:eastAsia="Calibri" w:cs="Tahoma"/>
          <w:color w:val="000000"/>
          <w:szCs w:val="18"/>
          <w:lang w:val="pt-BR"/>
        </w:rPr>
        <w:t>.</w:t>
      </w:r>
      <w:r w:rsidR="00FB5496" w:rsidRPr="00E47ECF">
        <w:rPr>
          <w:rFonts w:eastAsia="Calibri" w:cs="Tahoma"/>
          <w:color w:val="000000"/>
          <w:szCs w:val="18"/>
          <w:lang w:val="pt-BR"/>
        </w:rPr>
        <w:t xml:space="preserve"> </w:t>
      </w:r>
      <w:r w:rsidRPr="00E47ECF">
        <w:rPr>
          <w:rFonts w:eastAsia="Calibri" w:cs="Tahoma"/>
          <w:color w:val="000000"/>
          <w:szCs w:val="18"/>
          <w:lang w:val="pt-BR"/>
        </w:rPr>
        <w:t>O número de AIS adicionado a uma conta ativa a qualquer momento até o momento em que o cliente aceitar</w:t>
      </w:r>
      <w:r w:rsidR="007009C5" w:rsidRPr="00E47ECF">
        <w:rPr>
          <w:rFonts w:eastAsia="Calibri" w:cs="Tahoma"/>
          <w:color w:val="000000"/>
          <w:szCs w:val="18"/>
          <w:lang w:val="pt-BR"/>
        </w:rPr>
        <w:t> </w:t>
      </w:r>
      <w:r w:rsidRPr="00E47ECF">
        <w:rPr>
          <w:rFonts w:eastAsia="Calibri" w:cs="Tahoma"/>
          <w:color w:val="000000"/>
          <w:szCs w:val="18"/>
          <w:lang w:val="pt-BR"/>
        </w:rPr>
        <w:t>a oferta do Windows</w:t>
      </w:r>
      <w:r w:rsidR="00510A6E" w:rsidRPr="00E47ECF">
        <w:rPr>
          <w:rFonts w:eastAsia="Calibri" w:cs="Tahoma"/>
          <w:color w:val="000000"/>
          <w:szCs w:val="18"/>
          <w:vertAlign w:val="superscript"/>
          <w:lang w:val="pt-BR"/>
        </w:rPr>
        <w:t>®</w:t>
      </w:r>
      <w:r w:rsidRPr="00E47ECF">
        <w:rPr>
          <w:rFonts w:eastAsia="Calibri" w:cs="Tahoma"/>
          <w:color w:val="000000"/>
          <w:szCs w:val="18"/>
          <w:lang w:val="pt-BR"/>
        </w:rPr>
        <w:t xml:space="preserve"> Intune será incluído na conta.</w:t>
      </w:r>
    </w:p>
    <w:p w:rsidR="0031394C" w:rsidRPr="00E47ECF" w:rsidRDefault="0031394C" w:rsidP="00483B3D">
      <w:pPr>
        <w:numPr>
          <w:ilvl w:val="1"/>
          <w:numId w:val="100"/>
        </w:numPr>
        <w:spacing w:after="60"/>
        <w:rPr>
          <w:lang w:val="pt-BR"/>
        </w:rPr>
      </w:pPr>
      <w:r w:rsidRPr="00E47ECF">
        <w:rPr>
          <w:rFonts w:eastAsia="Calibri" w:cs="Tahoma"/>
          <w:color w:val="000000"/>
          <w:szCs w:val="18"/>
          <w:lang w:val="pt-BR"/>
        </w:rPr>
        <w:lastRenderedPageBreak/>
        <w:t xml:space="preserve">O número de MDOP adquirido depois que um cliente aceita esta oferta do Windows Intune </w:t>
      </w:r>
      <w:r w:rsidRPr="00E47ECF">
        <w:rPr>
          <w:rFonts w:cs="Tahoma"/>
          <w:szCs w:val="18"/>
          <w:lang w:val="pt-BR"/>
        </w:rPr>
        <w:t>(Por</w:t>
      </w:r>
      <w:r w:rsidR="007D10DB" w:rsidRPr="00E47ECF">
        <w:rPr>
          <w:rFonts w:cs="Tahoma"/>
          <w:szCs w:val="18"/>
          <w:lang w:val="pt-BR"/>
        </w:rPr>
        <w:t> </w:t>
      </w:r>
      <w:r w:rsidRPr="00E47ECF">
        <w:rPr>
          <w:rFonts w:cs="Tahoma"/>
          <w:szCs w:val="18"/>
          <w:lang w:val="pt-BR"/>
        </w:rPr>
        <w:t>Dispositivo)</w:t>
      </w:r>
      <w:r w:rsidRPr="00E47ECF">
        <w:rPr>
          <w:rFonts w:eastAsia="Calibri" w:cs="Tahoma"/>
          <w:color w:val="000000"/>
          <w:szCs w:val="18"/>
          <w:lang w:val="pt-BR"/>
        </w:rPr>
        <w:t xml:space="preserve">, incluindo as licenças adquiridas por meio do processo de adequação (“true-up”) sob seu contrato de licenciamento por volume não será qualificado para acessar o Windows Intune </w:t>
      </w:r>
      <w:r w:rsidRPr="00E47ECF">
        <w:rPr>
          <w:rFonts w:cs="Tahoma"/>
          <w:szCs w:val="18"/>
          <w:lang w:val="pt-BR"/>
        </w:rPr>
        <w:t xml:space="preserve">(Por Dispositivo) </w:t>
      </w:r>
      <w:r w:rsidRPr="00E47ECF">
        <w:rPr>
          <w:rFonts w:eastAsia="Calibri" w:cs="Tahoma"/>
          <w:color w:val="000000"/>
          <w:szCs w:val="18"/>
          <w:lang w:val="pt-BR"/>
        </w:rPr>
        <w:t xml:space="preserve">sob esta oferta. Se um cliente desejar acessar o Windows Intune </w:t>
      </w:r>
      <w:r w:rsidRPr="00E47ECF">
        <w:rPr>
          <w:rFonts w:cs="Tahoma"/>
          <w:szCs w:val="18"/>
          <w:lang w:val="pt-BR"/>
        </w:rPr>
        <w:t>(Por Dispositivo)</w:t>
      </w:r>
      <w:r w:rsidRPr="00E47ECF">
        <w:rPr>
          <w:rFonts w:eastAsia="Calibri" w:cs="Tahoma"/>
          <w:color w:val="000000"/>
          <w:szCs w:val="18"/>
          <w:lang w:val="pt-BR"/>
        </w:rPr>
        <w:t xml:space="preserve"> a partir de um número de dispositivos além do número permitido sob esta oferta, eles precisarão adquirir separadamente licenças adicionais.</w:t>
      </w:r>
    </w:p>
    <w:p w:rsidR="005403C8" w:rsidRPr="00E47ECF" w:rsidRDefault="0031394C" w:rsidP="00483B3D">
      <w:pPr>
        <w:numPr>
          <w:ilvl w:val="1"/>
          <w:numId w:val="100"/>
        </w:numPr>
        <w:spacing w:after="60"/>
        <w:rPr>
          <w:lang w:val="pt-BR"/>
        </w:rPr>
      </w:pPr>
      <w:r w:rsidRPr="00E47ECF">
        <w:rPr>
          <w:rFonts w:eastAsia="Calibri" w:cs="Tahoma"/>
          <w:color w:val="000000"/>
          <w:szCs w:val="18"/>
          <w:lang w:val="pt-BR"/>
        </w:rPr>
        <w:t xml:space="preserve">Os direitos de acesso ao Windows Intune </w:t>
      </w:r>
      <w:r w:rsidRPr="00E47ECF">
        <w:rPr>
          <w:rFonts w:cs="Tahoma"/>
          <w:szCs w:val="18"/>
          <w:lang w:val="pt-BR"/>
        </w:rPr>
        <w:t>(Por Dispositivo)</w:t>
      </w:r>
      <w:r w:rsidRPr="00E47ECF">
        <w:rPr>
          <w:rFonts w:eastAsia="Calibri" w:cs="Tahoma"/>
          <w:color w:val="000000"/>
          <w:szCs w:val="18"/>
          <w:lang w:val="pt-BR"/>
        </w:rPr>
        <w:t xml:space="preserve"> sob esta oferta não incluem qualquer direito de usar o sistema operacional do desktop do Windows.</w:t>
      </w:r>
      <w:r w:rsidR="00FB5496" w:rsidRPr="00E47ECF">
        <w:rPr>
          <w:rFonts w:eastAsia="Calibri" w:cs="Tahoma"/>
          <w:color w:val="000000"/>
          <w:szCs w:val="18"/>
          <w:lang w:val="pt-BR"/>
        </w:rPr>
        <w:t xml:space="preserve"> </w:t>
      </w:r>
      <w:bookmarkStart w:id="1109" w:name="_24_Windows®_Companion"/>
      <w:bookmarkStart w:id="1110" w:name="_24_Windows®_8"/>
      <w:bookmarkStart w:id="1111" w:name="Sys_22WindowsPartnersLearning"/>
      <w:bookmarkEnd w:id="1108"/>
      <w:bookmarkEnd w:id="1109"/>
      <w:bookmarkEnd w:id="1110"/>
    </w:p>
    <w:p w:rsidR="00810479" w:rsidRPr="00E47ECF" w:rsidRDefault="00810479" w:rsidP="007A73DF">
      <w:pPr>
        <w:contextualSpacing/>
        <w:rPr>
          <w:lang w:val="pt-BR"/>
        </w:rPr>
      </w:pPr>
    </w:p>
    <w:p w:rsidR="00483B3D" w:rsidRPr="00E47ECF" w:rsidRDefault="00483B3D" w:rsidP="007A73DF">
      <w:pPr>
        <w:contextualSpacing/>
        <w:rPr>
          <w:lang w:val="pt-BR"/>
        </w:rPr>
      </w:pPr>
    </w:p>
    <w:p w:rsidR="00483B3D" w:rsidRPr="00416070" w:rsidRDefault="00483B3D" w:rsidP="00483B3D">
      <w:pPr>
        <w:pStyle w:val="Heading3"/>
      </w:pPr>
      <w:bookmarkStart w:id="1112" w:name="_24_Licença_de"/>
      <w:bookmarkStart w:id="1113" w:name="_Toc336338281"/>
      <w:bookmarkStart w:id="1114" w:name="_Toc352234349"/>
      <w:bookmarkEnd w:id="1112"/>
      <w:r w:rsidRPr="00416070">
        <w:rPr>
          <w:rFonts w:ascii="Tahoma" w:hAnsi="Tahoma"/>
          <w:caps/>
          <w:color w:val="F66400"/>
          <w:sz w:val="22"/>
          <w:vertAlign w:val="superscript"/>
        </w:rPr>
        <w:t>24</w:t>
      </w:r>
      <w:r w:rsidR="007D10DB" w:rsidRPr="00416070">
        <w:rPr>
          <w:rFonts w:ascii="Tahoma" w:hAnsi="Tahoma"/>
          <w:color w:val="F66400"/>
          <w:sz w:val="22"/>
        </w:rPr>
        <w:t xml:space="preserve"> </w:t>
      </w:r>
      <w:r w:rsidRPr="00416070">
        <w:rPr>
          <w:rFonts w:ascii="Tahoma" w:hAnsi="Tahoma"/>
          <w:color w:val="F66400"/>
          <w:sz w:val="22"/>
        </w:rPr>
        <w:t>Licença de Assinatura do Windows</w:t>
      </w:r>
      <w:r w:rsidR="00510A6E" w:rsidRPr="00416070">
        <w:rPr>
          <w:rFonts w:ascii="Tahoma" w:hAnsi="Tahoma"/>
          <w:color w:val="F66400"/>
          <w:sz w:val="22"/>
          <w:vertAlign w:val="superscript"/>
        </w:rPr>
        <w:t>®</w:t>
      </w:r>
      <w:r w:rsidRPr="00416070">
        <w:rPr>
          <w:rFonts w:ascii="Tahoma" w:hAnsi="Tahoma"/>
          <w:color w:val="F66400"/>
          <w:sz w:val="22"/>
        </w:rPr>
        <w:t xml:space="preserve"> Companion</w:t>
      </w:r>
      <w:bookmarkEnd w:id="1113"/>
      <w:bookmarkEnd w:id="1114"/>
    </w:p>
    <w:p w:rsidR="00483B3D" w:rsidRPr="00E47ECF" w:rsidRDefault="00483B3D" w:rsidP="00483B3D">
      <w:pPr>
        <w:rPr>
          <w:lang w:val="pt-BR"/>
        </w:rPr>
      </w:pPr>
    </w:p>
    <w:p w:rsidR="00483B3D" w:rsidRPr="00E47ECF" w:rsidRDefault="00483B3D" w:rsidP="00483B3D">
      <w:pPr>
        <w:spacing w:after="60"/>
        <w:ind w:left="720"/>
        <w:rPr>
          <w:lang w:val="pt-BR"/>
        </w:rPr>
      </w:pPr>
      <w:r w:rsidRPr="00E47ECF">
        <w:rPr>
          <w:b/>
          <w:color w:val="000000"/>
          <w:lang w:val="pt-BR"/>
        </w:rPr>
        <w:t>Instituições com um Contrato School</w:t>
      </w:r>
    </w:p>
    <w:p w:rsidR="00483B3D" w:rsidRPr="00E47ECF" w:rsidRDefault="00483B3D" w:rsidP="007E2720">
      <w:pPr>
        <w:ind w:left="720"/>
        <w:rPr>
          <w:lang w:val="pt-BR"/>
        </w:rPr>
      </w:pPr>
      <w:r w:rsidRPr="00E47ECF">
        <w:rPr>
          <w:color w:val="000000"/>
          <w:lang w:val="pt-BR"/>
        </w:rPr>
        <w:t>As Instituições podem comprar a Licença de Assinatura do Windows Companion (CSL) se elas tiverem cobertura para os produtos qualificados.</w:t>
      </w:r>
      <w:r w:rsidR="00FB5496" w:rsidRPr="00E47ECF">
        <w:rPr>
          <w:color w:val="000000"/>
          <w:lang w:val="pt-BR"/>
        </w:rPr>
        <w:t xml:space="preserve"> </w:t>
      </w:r>
      <w:r w:rsidRPr="00E47ECF">
        <w:rPr>
          <w:color w:val="000000"/>
          <w:lang w:val="pt-BR"/>
        </w:rPr>
        <w:t>A quantidade máxima de CSLs que podem ser compradas é igual</w:t>
      </w:r>
      <w:r w:rsidR="007E2720" w:rsidRPr="00E47ECF">
        <w:rPr>
          <w:color w:val="000000"/>
          <w:lang w:val="pt-BR"/>
        </w:rPr>
        <w:t> </w:t>
      </w:r>
      <w:r w:rsidRPr="00E47ECF">
        <w:rPr>
          <w:color w:val="000000"/>
          <w:lang w:val="pt-BR"/>
        </w:rPr>
        <w:t>à</w:t>
      </w:r>
      <w:r w:rsidR="00F435F1" w:rsidRPr="00E47ECF">
        <w:rPr>
          <w:color w:val="000000"/>
          <w:lang w:val="pt-BR"/>
        </w:rPr>
        <w:t> </w:t>
      </w:r>
      <w:r w:rsidRPr="00E47ECF">
        <w:rPr>
          <w:color w:val="000000"/>
          <w:lang w:val="pt-BR"/>
        </w:rPr>
        <w:t>contagem de PC Qualificado da instituição dos produtos qualificados.</w:t>
      </w:r>
    </w:p>
    <w:p w:rsidR="00483B3D" w:rsidRPr="00E47ECF" w:rsidRDefault="00483B3D" w:rsidP="00483B3D">
      <w:pPr>
        <w:rPr>
          <w:lang w:val="pt-BR"/>
        </w:rPr>
      </w:pPr>
    </w:p>
    <w:p w:rsidR="00483B3D" w:rsidRPr="00E47ECF" w:rsidRDefault="00483B3D" w:rsidP="00483B3D">
      <w:pPr>
        <w:spacing w:after="60"/>
        <w:ind w:left="720"/>
        <w:rPr>
          <w:lang w:val="pt-BR"/>
        </w:rPr>
      </w:pPr>
      <w:r w:rsidRPr="00E47ECF">
        <w:rPr>
          <w:b/>
          <w:color w:val="000000"/>
          <w:lang w:val="pt-BR"/>
        </w:rPr>
        <w:t>Companion Devices e Dispositivos Qualificados</w:t>
      </w:r>
    </w:p>
    <w:p w:rsidR="00483B3D" w:rsidRPr="00E47ECF" w:rsidRDefault="00483B3D" w:rsidP="00483B3D">
      <w:pPr>
        <w:ind w:left="720"/>
        <w:rPr>
          <w:lang w:val="pt-BR"/>
        </w:rPr>
      </w:pPr>
      <w:r w:rsidRPr="00E47ECF">
        <w:rPr>
          <w:color w:val="000000"/>
          <w:lang w:val="pt-BR"/>
        </w:rPr>
        <w:t>Os Companion Devices que usam os direitos de uso fornecidos pelo CSL são Dispositivos Qualificados.</w:t>
      </w:r>
      <w:r w:rsidR="00CE7FC5" w:rsidRPr="00E47ECF">
        <w:rPr>
          <w:color w:val="000000"/>
          <w:lang w:val="pt-BR"/>
        </w:rPr>
        <w:t xml:space="preserve"> </w:t>
      </w:r>
      <w:r w:rsidRPr="00E47ECF">
        <w:rPr>
          <w:color w:val="000000"/>
          <w:lang w:val="pt-BR"/>
        </w:rPr>
        <w:t>O</w:t>
      </w:r>
      <w:r w:rsidR="00F435F1" w:rsidRPr="00E47ECF">
        <w:rPr>
          <w:color w:val="000000"/>
          <w:lang w:val="pt-BR"/>
        </w:rPr>
        <w:t> </w:t>
      </w:r>
      <w:r w:rsidRPr="00E47ECF">
        <w:rPr>
          <w:color w:val="000000"/>
          <w:lang w:val="pt-BR"/>
        </w:rPr>
        <w:t>CSL é um Produto Enterprise e, portanto, preenche a parte dos Sistemas de qualquer compromisso de</w:t>
      </w:r>
      <w:r w:rsidR="00F435F1" w:rsidRPr="00E47ECF">
        <w:rPr>
          <w:color w:val="000000"/>
          <w:lang w:val="pt-BR"/>
        </w:rPr>
        <w:t> </w:t>
      </w:r>
      <w:r w:rsidRPr="00E47ECF">
        <w:rPr>
          <w:color w:val="000000"/>
          <w:lang w:val="pt-BR"/>
        </w:rPr>
        <w:t>compra de Dispositivos Qualificados.</w:t>
      </w:r>
      <w:r w:rsidR="00FB5496" w:rsidRPr="00E47ECF">
        <w:rPr>
          <w:color w:val="000000"/>
          <w:lang w:val="pt-BR"/>
        </w:rPr>
        <w:t xml:space="preserve"> </w:t>
      </w:r>
      <w:r w:rsidRPr="00E47ECF">
        <w:rPr>
          <w:color w:val="000000"/>
          <w:lang w:val="pt-BR"/>
        </w:rPr>
        <w:t>O CSL pode ser adquirido em qualquer quantidade e não precisa ser</w:t>
      </w:r>
      <w:r w:rsidR="00F435F1" w:rsidRPr="00E47ECF">
        <w:rPr>
          <w:color w:val="000000"/>
          <w:lang w:val="pt-BR"/>
        </w:rPr>
        <w:t> </w:t>
      </w:r>
      <w:r w:rsidRPr="00E47ECF">
        <w:rPr>
          <w:color w:val="000000"/>
          <w:lang w:val="pt-BR"/>
        </w:rPr>
        <w:t xml:space="preserve">comprado para todos os Dispositivos </w:t>
      </w:r>
      <w:r w:rsidRPr="00E47ECF">
        <w:rPr>
          <w:lang w:val="pt-BR"/>
        </w:rPr>
        <w:t>Qualificados de uma organização, mas de nenhuma forma a contagem de CSL pode exceder a combinação de todas as contagens de Licença VDA e Windows Upgrade.</w:t>
      </w:r>
    </w:p>
    <w:p w:rsidR="00483B3D" w:rsidRPr="00E47ECF" w:rsidRDefault="00483B3D" w:rsidP="00483B3D">
      <w:pPr>
        <w:rPr>
          <w:lang w:val="pt-BR"/>
        </w:rPr>
      </w:pPr>
    </w:p>
    <w:p w:rsidR="00483B3D" w:rsidRPr="00E47ECF" w:rsidRDefault="00483B3D" w:rsidP="00483B3D">
      <w:pPr>
        <w:rPr>
          <w:lang w:val="pt-BR"/>
        </w:rPr>
      </w:pPr>
    </w:p>
    <w:p w:rsidR="00483B3D" w:rsidRPr="00416070" w:rsidRDefault="00483B3D" w:rsidP="00483B3D">
      <w:pPr>
        <w:pStyle w:val="Heading3"/>
      </w:pPr>
      <w:bookmarkStart w:id="1115" w:name="_25_Windows_Vista"/>
      <w:bookmarkStart w:id="1116" w:name="_Toc336338282"/>
      <w:bookmarkStart w:id="1117" w:name="_Toc352234350"/>
      <w:bookmarkStart w:id="1118" w:name="Sys_24WindowsVistaDVDPack"/>
      <w:bookmarkEnd w:id="1115"/>
      <w:r w:rsidRPr="00416070">
        <w:rPr>
          <w:rFonts w:ascii="Tahoma" w:hAnsi="Tahoma"/>
          <w:caps/>
          <w:color w:val="F66400"/>
          <w:sz w:val="22"/>
          <w:vertAlign w:val="superscript"/>
        </w:rPr>
        <w:t>25</w:t>
      </w:r>
      <w:r w:rsidRPr="00416070">
        <w:rPr>
          <w:rFonts w:ascii="Tahoma" w:eastAsia="Times New Roman" w:hAnsi="Tahoma" w:cs="Tahoma"/>
          <w:bCs/>
          <w:color w:val="F66400"/>
          <w:sz w:val="22"/>
          <w:szCs w:val="22"/>
        </w:rPr>
        <w:t xml:space="preserve"> Windows Vista DVD Playback Pack</w:t>
      </w:r>
      <w:bookmarkEnd w:id="1116"/>
      <w:bookmarkEnd w:id="1117"/>
    </w:p>
    <w:bookmarkEnd w:id="1118"/>
    <w:p w:rsidR="00483B3D" w:rsidRPr="00E47ECF" w:rsidRDefault="00483B3D" w:rsidP="00483B3D">
      <w:pPr>
        <w:rPr>
          <w:lang w:val="pt-BR"/>
        </w:rPr>
      </w:pPr>
    </w:p>
    <w:p w:rsidR="00483B3D" w:rsidRPr="00E47ECF" w:rsidRDefault="00483B3D" w:rsidP="00483B3D">
      <w:pPr>
        <w:ind w:left="720"/>
        <w:rPr>
          <w:lang w:val="pt-BR"/>
        </w:rPr>
      </w:pPr>
      <w:r w:rsidRPr="00E47ECF">
        <w:rPr>
          <w:rFonts w:eastAsia="Calibri" w:cs="Tahoma"/>
          <w:color w:val="000000"/>
          <w:szCs w:val="18"/>
          <w:lang w:val="pt-BR"/>
        </w:rPr>
        <w:t>Os clientes do Licenciamento por Volume instalando ou operando o DVD Playback Pack Windows Vista devem consultar os Direitos de Uso de Produto (PUR) do Microsoft Licensing de dezembro de 2010 sobre os</w:t>
      </w:r>
      <w:r w:rsidR="00F435F1" w:rsidRPr="00E47ECF">
        <w:rPr>
          <w:rFonts w:eastAsia="Calibri" w:cs="Tahoma"/>
          <w:color w:val="000000"/>
          <w:szCs w:val="18"/>
          <w:lang w:val="pt-BR"/>
        </w:rPr>
        <w:t> </w:t>
      </w:r>
      <w:r w:rsidRPr="00E47ECF">
        <w:rPr>
          <w:rFonts w:eastAsia="Calibri" w:cs="Tahoma"/>
          <w:color w:val="000000"/>
          <w:szCs w:val="18"/>
          <w:lang w:val="pt-BR"/>
        </w:rPr>
        <w:t>termos de licença.</w:t>
      </w:r>
    </w:p>
    <w:p w:rsidR="00483B3D" w:rsidRPr="00E47ECF" w:rsidRDefault="00483B3D" w:rsidP="00483B3D">
      <w:pPr>
        <w:rPr>
          <w:lang w:val="pt-BR"/>
        </w:rPr>
      </w:pPr>
    </w:p>
    <w:p w:rsidR="007A73DF" w:rsidRPr="00E47ECF" w:rsidRDefault="007A73DF" w:rsidP="007A73DF">
      <w:pPr>
        <w:contextualSpacing/>
        <w:rPr>
          <w:lang w:val="pt-BR"/>
        </w:rPr>
      </w:pPr>
    </w:p>
    <w:p w:rsidR="005D4DAB" w:rsidRPr="00416070" w:rsidRDefault="00B26237" w:rsidP="00C646B3">
      <w:pPr>
        <w:pStyle w:val="Heading3"/>
      </w:pPr>
      <w:bookmarkStart w:id="1119" w:name="_26_Windows®_8"/>
      <w:bookmarkStart w:id="1120" w:name="_Toc336338284"/>
      <w:bookmarkStart w:id="1121" w:name="_Toc352234351"/>
      <w:bookmarkEnd w:id="1119"/>
      <w:r w:rsidRPr="00416070">
        <w:rPr>
          <w:rFonts w:ascii="Tahoma" w:hAnsi="Tahoma"/>
          <w:caps/>
          <w:color w:val="F66400"/>
          <w:sz w:val="22"/>
          <w:vertAlign w:val="superscript"/>
        </w:rPr>
        <w:t>26</w:t>
      </w:r>
      <w:r w:rsidRPr="00416070">
        <w:rPr>
          <w:rFonts w:ascii="Tahoma" w:hAnsi="Tahoma"/>
          <w:color w:val="F66400"/>
          <w:sz w:val="22"/>
        </w:rPr>
        <w:t xml:space="preserve"> Windows</w:t>
      </w:r>
      <w:r w:rsidR="00510A6E" w:rsidRPr="00416070">
        <w:rPr>
          <w:rFonts w:ascii="Tahoma" w:hAnsi="Tahoma"/>
          <w:color w:val="F66400"/>
          <w:sz w:val="22"/>
          <w:vertAlign w:val="superscript"/>
        </w:rPr>
        <w:t>®</w:t>
      </w:r>
      <w:r w:rsidRPr="00416070">
        <w:rPr>
          <w:rFonts w:ascii="Tahoma" w:hAnsi="Tahoma"/>
          <w:color w:val="F66400"/>
          <w:sz w:val="22"/>
        </w:rPr>
        <w:t xml:space="preserve"> 8 Enterprise Sideloading</w:t>
      </w:r>
      <w:bookmarkEnd w:id="1120"/>
      <w:bookmarkEnd w:id="1121"/>
    </w:p>
    <w:p w:rsidR="009B2474" w:rsidRPr="00416070" w:rsidRDefault="009B2474" w:rsidP="009B2474"/>
    <w:tbl>
      <w:tblPr>
        <w:tblW w:w="6340" w:type="dxa"/>
        <w:tblInd w:w="780" w:type="dxa"/>
        <w:tblCellMar>
          <w:left w:w="0" w:type="dxa"/>
          <w:right w:w="0" w:type="dxa"/>
        </w:tblCellMar>
        <w:tblLook w:val="04A0" w:firstRow="1" w:lastRow="0" w:firstColumn="1" w:lastColumn="0" w:noHBand="0" w:noVBand="1"/>
      </w:tblPr>
      <w:tblGrid>
        <w:gridCol w:w="3158"/>
        <w:gridCol w:w="1521"/>
        <w:gridCol w:w="1661"/>
      </w:tblGrid>
      <w:tr w:rsidR="005D4DAB" w:rsidRPr="002B5F9E" w:rsidTr="00F435F1">
        <w:trPr>
          <w:trHeight w:val="628"/>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416070" w:rsidRDefault="00433F5F" w:rsidP="005D4DAB">
            <w:pPr>
              <w:jc w:val="center"/>
              <w:rPr>
                <w:rFonts w:eastAsia="Calibri" w:cs="Tahoma"/>
                <w:b/>
                <w:bCs/>
                <w:szCs w:val="18"/>
              </w:rPr>
            </w:pPr>
            <w:r w:rsidRPr="00416070">
              <w:rPr>
                <w:rFonts w:cs="Tahoma"/>
                <w:b/>
                <w:bCs/>
                <w:szCs w:val="18"/>
              </w:rPr>
              <w:t>Disponibilidade do Produto</w:t>
            </w:r>
          </w:p>
        </w:tc>
        <w:tc>
          <w:tcPr>
            <w:tcW w:w="1521" w:type="dxa"/>
            <w:tcBorders>
              <w:top w:val="single" w:sz="4" w:space="0" w:color="auto"/>
              <w:left w:val="nil"/>
              <w:bottom w:val="single" w:sz="4" w:space="0" w:color="auto"/>
              <w:right w:val="single" w:sz="4" w:space="0" w:color="auto"/>
            </w:tcBorders>
            <w:shd w:val="clear" w:color="auto" w:fill="FABF8F"/>
            <w:vAlign w:val="bottom"/>
          </w:tcPr>
          <w:p w:rsidR="005D4DAB" w:rsidRPr="00416070" w:rsidRDefault="005D4DAB" w:rsidP="005D4DAB">
            <w:pPr>
              <w:jc w:val="center"/>
              <w:rPr>
                <w:rFonts w:cs="Tahoma"/>
                <w:b/>
                <w:bCs/>
                <w:szCs w:val="18"/>
              </w:rPr>
            </w:pPr>
            <w:r w:rsidRPr="00416070">
              <w:rPr>
                <w:rFonts w:cs="Tahoma"/>
                <w:b/>
                <w:bCs/>
                <w:szCs w:val="18"/>
              </w:rPr>
              <w:t>Licenças Disponíveis para Aquisição</w:t>
            </w:r>
          </w:p>
        </w:tc>
        <w:tc>
          <w:tcPr>
            <w:tcW w:w="1661"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E47ECF" w:rsidRDefault="005D4DAB" w:rsidP="005D4DAB">
            <w:pPr>
              <w:jc w:val="center"/>
              <w:rPr>
                <w:rFonts w:eastAsia="Calibri" w:cs="Tahoma"/>
                <w:b/>
                <w:bCs/>
                <w:szCs w:val="18"/>
                <w:lang w:val="pt-BR"/>
              </w:rPr>
            </w:pPr>
            <w:r w:rsidRPr="00E47ECF">
              <w:rPr>
                <w:rFonts w:cs="Tahoma"/>
                <w:b/>
                <w:bCs/>
                <w:szCs w:val="18"/>
                <w:lang w:val="pt-BR"/>
              </w:rPr>
              <w:t>Disponível como um Benefício do SA</w:t>
            </w:r>
          </w:p>
        </w:tc>
      </w:tr>
      <w:tr w:rsidR="005D4DAB" w:rsidRPr="00416070" w:rsidTr="00F435F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16070" w:rsidRDefault="005D4DAB" w:rsidP="005D4DAB">
            <w:pPr>
              <w:jc w:val="center"/>
              <w:rPr>
                <w:rFonts w:eastAsia="Calibri" w:cs="Tahoma"/>
                <w:b/>
                <w:bCs/>
                <w:szCs w:val="18"/>
              </w:rPr>
            </w:pPr>
            <w:r w:rsidRPr="00416070">
              <w:rPr>
                <w:rFonts w:cs="Tahoma"/>
                <w:b/>
                <w:bCs/>
                <w:szCs w:val="18"/>
              </w:rPr>
              <w:t>Licença Open</w:t>
            </w:r>
          </w:p>
        </w:tc>
        <w:tc>
          <w:tcPr>
            <w:tcW w:w="1521" w:type="dxa"/>
            <w:tcBorders>
              <w:top w:val="single" w:sz="4" w:space="0" w:color="auto"/>
              <w:left w:val="single" w:sz="4" w:space="0" w:color="auto"/>
              <w:bottom w:val="single" w:sz="4" w:space="0" w:color="auto"/>
              <w:right w:val="single" w:sz="4" w:space="0" w:color="auto"/>
            </w:tcBorders>
            <w:vAlign w:val="center"/>
          </w:tcPr>
          <w:p w:rsidR="005D4DAB" w:rsidRPr="00416070" w:rsidRDefault="005D4DAB" w:rsidP="005D4DAB">
            <w:pPr>
              <w:jc w:val="center"/>
              <w:rPr>
                <w:rFonts w:cs="Tahoma"/>
                <w:szCs w:val="18"/>
              </w:rPr>
            </w:pPr>
            <w:r w:rsidRPr="00416070">
              <w:rPr>
                <w:rFonts w:cs="Tahoma"/>
                <w:szCs w:val="18"/>
              </w:rPr>
              <w:t>x</w:t>
            </w:r>
          </w:p>
        </w:tc>
        <w:tc>
          <w:tcPr>
            <w:tcW w:w="16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16070" w:rsidRDefault="005D4DAB" w:rsidP="005D4DAB">
            <w:pPr>
              <w:jc w:val="center"/>
              <w:rPr>
                <w:rFonts w:eastAsia="Calibri" w:cs="Tahoma"/>
                <w:szCs w:val="18"/>
              </w:rPr>
            </w:pPr>
          </w:p>
        </w:tc>
      </w:tr>
      <w:tr w:rsidR="005D4DAB" w:rsidRPr="00416070" w:rsidTr="00F435F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6070" w:rsidRDefault="005D4DAB" w:rsidP="005D4DAB">
            <w:pPr>
              <w:jc w:val="center"/>
              <w:rPr>
                <w:rFonts w:cs="Tahoma"/>
                <w:b/>
                <w:bCs/>
                <w:szCs w:val="18"/>
              </w:rPr>
            </w:pPr>
            <w:r w:rsidRPr="00416070">
              <w:rPr>
                <w:rFonts w:cs="Tahoma"/>
                <w:b/>
                <w:bCs/>
                <w:szCs w:val="18"/>
              </w:rPr>
              <w:t>Select/Select Plus</w:t>
            </w:r>
          </w:p>
        </w:tc>
        <w:tc>
          <w:tcPr>
            <w:tcW w:w="1521" w:type="dxa"/>
            <w:tcBorders>
              <w:top w:val="single" w:sz="4" w:space="0" w:color="auto"/>
              <w:left w:val="single" w:sz="4" w:space="0" w:color="auto"/>
              <w:bottom w:val="single" w:sz="4" w:space="0" w:color="auto"/>
              <w:right w:val="single" w:sz="4" w:space="0" w:color="auto"/>
            </w:tcBorders>
            <w:vAlign w:val="center"/>
          </w:tcPr>
          <w:p w:rsidR="005D4DAB" w:rsidRPr="00416070" w:rsidRDefault="005D4DAB" w:rsidP="005D4DAB">
            <w:pPr>
              <w:jc w:val="center"/>
              <w:rPr>
                <w:rFonts w:cs="Tahoma"/>
                <w:szCs w:val="18"/>
              </w:rPr>
            </w:pPr>
            <w:r w:rsidRPr="00416070">
              <w:rPr>
                <w:rFonts w:cs="Tahoma"/>
                <w:szCs w:val="18"/>
              </w:rPr>
              <w:t>x</w:t>
            </w:r>
          </w:p>
        </w:tc>
        <w:tc>
          <w:tcPr>
            <w:tcW w:w="16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6070" w:rsidRDefault="005D4DAB" w:rsidP="005D4DAB">
            <w:pPr>
              <w:jc w:val="center"/>
              <w:rPr>
                <w:rFonts w:eastAsia="Calibri" w:cs="Tahoma"/>
                <w:szCs w:val="18"/>
              </w:rPr>
            </w:pPr>
            <w:r w:rsidRPr="00416070">
              <w:rPr>
                <w:rFonts w:eastAsia="Calibri" w:cs="Tahoma"/>
                <w:szCs w:val="18"/>
              </w:rPr>
              <w:t>x</w:t>
            </w:r>
          </w:p>
        </w:tc>
      </w:tr>
      <w:tr w:rsidR="005D4DAB" w:rsidRPr="00416070" w:rsidTr="00F435F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6070" w:rsidRDefault="005D4DAB" w:rsidP="005D4DAB">
            <w:pPr>
              <w:jc w:val="center"/>
              <w:rPr>
                <w:rFonts w:cs="Tahoma"/>
                <w:b/>
                <w:bCs/>
                <w:szCs w:val="18"/>
              </w:rPr>
            </w:pPr>
            <w:r w:rsidRPr="00416070">
              <w:rPr>
                <w:rFonts w:cs="Tahoma"/>
                <w:b/>
                <w:bCs/>
                <w:szCs w:val="18"/>
              </w:rPr>
              <w:t>Contrato Enterprise/EAS</w:t>
            </w:r>
          </w:p>
        </w:tc>
        <w:tc>
          <w:tcPr>
            <w:tcW w:w="1521" w:type="dxa"/>
            <w:tcBorders>
              <w:top w:val="single" w:sz="4" w:space="0" w:color="auto"/>
              <w:left w:val="single" w:sz="4" w:space="0" w:color="auto"/>
              <w:bottom w:val="single" w:sz="4" w:space="0" w:color="auto"/>
              <w:right w:val="single" w:sz="4" w:space="0" w:color="auto"/>
            </w:tcBorders>
            <w:vAlign w:val="center"/>
          </w:tcPr>
          <w:p w:rsidR="005D4DAB" w:rsidRPr="00416070" w:rsidRDefault="005D4DAB" w:rsidP="005D4DAB">
            <w:pPr>
              <w:jc w:val="center"/>
              <w:rPr>
                <w:rFonts w:cs="Tahoma"/>
                <w:szCs w:val="18"/>
              </w:rPr>
            </w:pPr>
          </w:p>
        </w:tc>
        <w:tc>
          <w:tcPr>
            <w:tcW w:w="16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6070" w:rsidRDefault="005D4DAB" w:rsidP="005D4DAB">
            <w:pPr>
              <w:jc w:val="center"/>
              <w:rPr>
                <w:rFonts w:eastAsia="Calibri" w:cs="Tahoma"/>
                <w:szCs w:val="18"/>
              </w:rPr>
            </w:pPr>
            <w:r w:rsidRPr="00416070">
              <w:rPr>
                <w:rFonts w:eastAsia="Calibri" w:cs="Tahoma"/>
                <w:szCs w:val="18"/>
              </w:rPr>
              <w:t>x</w:t>
            </w:r>
          </w:p>
        </w:tc>
      </w:tr>
      <w:tr w:rsidR="00755633" w:rsidRPr="00416070" w:rsidTr="00F435F1">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16070" w:rsidRDefault="00755633" w:rsidP="005D4DAB">
            <w:pPr>
              <w:jc w:val="center"/>
              <w:rPr>
                <w:rFonts w:cs="Tahoma"/>
                <w:b/>
                <w:bCs/>
                <w:szCs w:val="18"/>
              </w:rPr>
            </w:pPr>
            <w:r w:rsidRPr="00416070">
              <w:rPr>
                <w:rFonts w:cs="Tahoma"/>
                <w:b/>
                <w:bCs/>
                <w:szCs w:val="18"/>
              </w:rPr>
              <w:t>EES</w:t>
            </w:r>
          </w:p>
        </w:tc>
        <w:tc>
          <w:tcPr>
            <w:tcW w:w="1521" w:type="dxa"/>
            <w:tcBorders>
              <w:top w:val="single" w:sz="4" w:space="0" w:color="auto"/>
              <w:left w:val="single" w:sz="4" w:space="0" w:color="auto"/>
              <w:bottom w:val="single" w:sz="4" w:space="0" w:color="auto"/>
              <w:right w:val="single" w:sz="4" w:space="0" w:color="auto"/>
            </w:tcBorders>
            <w:vAlign w:val="center"/>
          </w:tcPr>
          <w:p w:rsidR="00755633" w:rsidRPr="00416070" w:rsidRDefault="00755633" w:rsidP="005D4DAB">
            <w:pPr>
              <w:jc w:val="center"/>
              <w:rPr>
                <w:rFonts w:cs="Tahoma"/>
                <w:szCs w:val="18"/>
              </w:rPr>
            </w:pPr>
          </w:p>
        </w:tc>
        <w:tc>
          <w:tcPr>
            <w:tcW w:w="16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16070" w:rsidRDefault="00755633" w:rsidP="005D4DAB">
            <w:pPr>
              <w:jc w:val="center"/>
              <w:rPr>
                <w:rFonts w:eastAsia="Calibri" w:cs="Tahoma"/>
                <w:szCs w:val="18"/>
              </w:rPr>
            </w:pPr>
            <w:r w:rsidRPr="00416070">
              <w:rPr>
                <w:rFonts w:eastAsia="Calibri" w:cs="Tahoma"/>
                <w:szCs w:val="18"/>
              </w:rPr>
              <w:t>x</w:t>
            </w:r>
          </w:p>
        </w:tc>
      </w:tr>
    </w:tbl>
    <w:p w:rsidR="005D4DAB" w:rsidRPr="00416070" w:rsidRDefault="005D4DAB" w:rsidP="00572128">
      <w:pPr>
        <w:ind w:left="900"/>
      </w:pPr>
    </w:p>
    <w:p w:rsidR="005D4DAB" w:rsidRPr="00E47ECF" w:rsidRDefault="005D4DAB" w:rsidP="00EE035D">
      <w:pPr>
        <w:ind w:left="720"/>
        <w:rPr>
          <w:lang w:val="pt-BR"/>
        </w:rPr>
      </w:pPr>
      <w:r w:rsidRPr="00E47ECF">
        <w:rPr>
          <w:rFonts w:cs="Tahoma"/>
          <w:szCs w:val="18"/>
          <w:lang w:val="pt-BR"/>
        </w:rPr>
        <w:t>O Windows Enterprise Sideloading é o processo de instalar novos Aplicativos do Windows 8 que estão sendo usados para o benefício do cliente, diretamente em um dispositivo, sem passar pela Windows Store.</w:t>
      </w:r>
      <w:r w:rsidR="00FB5496" w:rsidRPr="00E47ECF">
        <w:rPr>
          <w:rFonts w:cs="Tahoma"/>
          <w:szCs w:val="18"/>
          <w:lang w:val="pt-BR"/>
        </w:rPr>
        <w:t xml:space="preserve"> </w:t>
      </w:r>
      <w:r w:rsidRPr="00E47ECF">
        <w:rPr>
          <w:rFonts w:cs="Tahoma"/>
          <w:szCs w:val="18"/>
          <w:lang w:val="pt-BR"/>
        </w:rPr>
        <w:t>Os dispositivos que fazem parte do domínio que estão executando a edição Windows 8 Enterprise, em qualquer programa VL, possuem recursos habilitados para Windows Enterprise Sideloading.</w:t>
      </w:r>
      <w:r w:rsidR="00FB5496" w:rsidRPr="00E47ECF">
        <w:rPr>
          <w:rFonts w:cs="Tahoma"/>
          <w:szCs w:val="18"/>
          <w:lang w:val="pt-BR"/>
        </w:rPr>
        <w:t xml:space="preserve"> </w:t>
      </w:r>
      <w:r w:rsidRPr="00E47ECF">
        <w:rPr>
          <w:rFonts w:cs="Tahoma"/>
          <w:szCs w:val="18"/>
          <w:lang w:val="pt-BR"/>
        </w:rPr>
        <w:t>O Windows Enterprise Sideloading também pode ser habilitado em dispositivos que estão executando o Windows 8 Enterprise que não fazem parte do domínio e em dispositivos que estão executando o Windows 8 Pro ou Windows RT por meio do uso de uma chave de produto.</w:t>
      </w:r>
      <w:r w:rsidR="00FB5496" w:rsidRPr="00E47ECF">
        <w:rPr>
          <w:rFonts w:cs="Tahoma"/>
          <w:szCs w:val="18"/>
          <w:lang w:val="pt-BR"/>
        </w:rPr>
        <w:t xml:space="preserve"> </w:t>
      </w:r>
      <w:r w:rsidRPr="00E47ECF">
        <w:rPr>
          <w:rFonts w:cs="Tahoma"/>
          <w:szCs w:val="18"/>
          <w:lang w:val="pt-BR"/>
        </w:rPr>
        <w:t>Em todos os casos, o Windows Enterprise Sideloading só pode ser usado para implantar Aplicativos que são usados para o benefício do cliente de Licenciamento por Volume.</w:t>
      </w:r>
      <w:r w:rsidR="00FB5496" w:rsidRPr="00E47ECF">
        <w:rPr>
          <w:rFonts w:cs="Tahoma"/>
          <w:szCs w:val="18"/>
          <w:lang w:val="pt-BR"/>
        </w:rPr>
        <w:t xml:space="preserve"> </w:t>
      </w:r>
      <w:r w:rsidRPr="00E47ECF">
        <w:rPr>
          <w:rFonts w:cs="Tahoma"/>
          <w:szCs w:val="18"/>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p>
    <w:p w:rsidR="005D4DAB" w:rsidRPr="00E47ECF" w:rsidRDefault="005D4DAB" w:rsidP="00572128">
      <w:pPr>
        <w:ind w:left="900"/>
        <w:rPr>
          <w:lang w:val="pt-BR"/>
        </w:rPr>
      </w:pPr>
    </w:p>
    <w:p w:rsidR="00D54BE1" w:rsidRPr="00E47ECF" w:rsidRDefault="00D54BE1" w:rsidP="00572128">
      <w:pPr>
        <w:ind w:left="900"/>
        <w:rPr>
          <w:lang w:val="pt-BR"/>
        </w:rPr>
      </w:pPr>
    </w:p>
    <w:p w:rsidR="005D4DAB" w:rsidRPr="00E47ECF" w:rsidRDefault="005D4DAB" w:rsidP="009B2474">
      <w:pPr>
        <w:spacing w:after="60"/>
        <w:ind w:left="720"/>
        <w:rPr>
          <w:lang w:val="pt-BR"/>
        </w:rPr>
      </w:pPr>
      <w:r w:rsidRPr="00E47ECF">
        <w:rPr>
          <w:rFonts w:cs="Tahoma"/>
          <w:b/>
          <w:szCs w:val="18"/>
          <w:lang w:val="pt-BR"/>
        </w:rPr>
        <w:lastRenderedPageBreak/>
        <w:t>Benefício do Software Assurance</w:t>
      </w:r>
    </w:p>
    <w:p w:rsidR="005D4DAB" w:rsidRPr="00E47ECF" w:rsidRDefault="005D4DAB" w:rsidP="00EE035D">
      <w:pPr>
        <w:ind w:left="720"/>
        <w:rPr>
          <w:lang w:val="pt-BR"/>
        </w:rPr>
      </w:pPr>
      <w:r w:rsidRPr="00E47ECF">
        <w:rPr>
          <w:rFonts w:cs="Tahoma"/>
          <w:szCs w:val="18"/>
          <w:lang w:val="pt-BR"/>
        </w:rPr>
        <w:t>Uma chave de produto pode ser usada para habilitar o Windows Enterprise Sideloading em qualquer um dos dispositivos a seguir:</w:t>
      </w:r>
    </w:p>
    <w:p w:rsidR="009B2474" w:rsidRPr="00E47ECF" w:rsidRDefault="009B2474" w:rsidP="00EE035D">
      <w:pPr>
        <w:ind w:left="720"/>
        <w:rPr>
          <w:lang w:val="pt-BR"/>
        </w:rPr>
      </w:pPr>
    </w:p>
    <w:p w:rsidR="005D4DAB" w:rsidRPr="007E2720" w:rsidRDefault="005D4DAB" w:rsidP="009B2474">
      <w:pPr>
        <w:pStyle w:val="ListParagraph"/>
        <w:numPr>
          <w:ilvl w:val="0"/>
          <w:numId w:val="101"/>
        </w:numPr>
        <w:spacing w:after="60"/>
        <w:ind w:left="1440"/>
        <w:contextualSpacing w:val="0"/>
        <w:rPr>
          <w:rFonts w:ascii="Tahoma" w:hAnsi="Tahoma" w:cs="Tahoma"/>
          <w:sz w:val="18"/>
          <w:szCs w:val="18"/>
        </w:rPr>
      </w:pPr>
      <w:r w:rsidRPr="007E2720">
        <w:rPr>
          <w:rFonts w:ascii="Tahoma" w:hAnsi="Tahoma" w:cs="Tahoma"/>
          <w:sz w:val="18"/>
          <w:szCs w:val="18"/>
        </w:rPr>
        <w:t>Dispositivos com cobertura ativa do Software Assurance do Windows</w:t>
      </w:r>
    </w:p>
    <w:p w:rsidR="005D4DAB" w:rsidRPr="007E2720" w:rsidRDefault="005D4DAB" w:rsidP="009B2474">
      <w:pPr>
        <w:pStyle w:val="ListParagraph"/>
        <w:numPr>
          <w:ilvl w:val="0"/>
          <w:numId w:val="101"/>
        </w:numPr>
        <w:spacing w:after="60"/>
        <w:ind w:left="1440"/>
        <w:contextualSpacing w:val="0"/>
        <w:rPr>
          <w:rFonts w:ascii="Tahoma" w:hAnsi="Tahoma" w:cs="Tahoma"/>
          <w:sz w:val="18"/>
          <w:szCs w:val="18"/>
        </w:rPr>
      </w:pPr>
      <w:r w:rsidRPr="007E2720">
        <w:rPr>
          <w:rFonts w:ascii="Tahoma" w:hAnsi="Tahoma" w:cs="Tahoma"/>
          <w:sz w:val="18"/>
          <w:szCs w:val="18"/>
        </w:rPr>
        <w:t>Dispositivos com uma assinatura ativa do Windows Intune (Por Dispositivo) ou VDA</w:t>
      </w:r>
    </w:p>
    <w:p w:rsidR="005D4DAB" w:rsidRPr="007E2720" w:rsidRDefault="005D4DAB" w:rsidP="009B2474">
      <w:pPr>
        <w:pStyle w:val="ListParagraph"/>
        <w:numPr>
          <w:ilvl w:val="0"/>
          <w:numId w:val="101"/>
        </w:numPr>
        <w:spacing w:after="60"/>
        <w:ind w:left="1440"/>
        <w:contextualSpacing w:val="0"/>
        <w:rPr>
          <w:rFonts w:ascii="Tahoma" w:hAnsi="Tahoma" w:cs="Tahoma"/>
          <w:sz w:val="18"/>
          <w:szCs w:val="18"/>
        </w:rPr>
      </w:pPr>
      <w:r w:rsidRPr="007E2720">
        <w:rPr>
          <w:rFonts w:ascii="Tahoma" w:hAnsi="Tahoma" w:cs="Tahoma"/>
          <w:sz w:val="18"/>
          <w:szCs w:val="18"/>
        </w:rPr>
        <w:t>Dispositivos do Windows RT</w:t>
      </w:r>
    </w:p>
    <w:p w:rsidR="00EB2B3F" w:rsidRPr="007E2720" w:rsidRDefault="00EB2B3F" w:rsidP="009B2474">
      <w:pPr>
        <w:pStyle w:val="ListParagraph"/>
        <w:numPr>
          <w:ilvl w:val="0"/>
          <w:numId w:val="101"/>
        </w:numPr>
        <w:spacing w:after="60"/>
        <w:ind w:left="1440"/>
        <w:contextualSpacing w:val="0"/>
        <w:rPr>
          <w:rFonts w:ascii="Tahoma" w:hAnsi="Tahoma" w:cs="Tahoma"/>
          <w:sz w:val="18"/>
          <w:szCs w:val="18"/>
        </w:rPr>
      </w:pPr>
      <w:r w:rsidRPr="007E2720">
        <w:rPr>
          <w:rFonts w:ascii="Tahoma" w:hAnsi="Tahoma" w:cs="Tahoma"/>
          <w:sz w:val="18"/>
          <w:szCs w:val="18"/>
        </w:rPr>
        <w:t>Dispositivos cobertos pela Licença de Assinatura do Windows Companion</w:t>
      </w:r>
    </w:p>
    <w:p w:rsidR="005D4DAB" w:rsidRPr="00E47ECF" w:rsidRDefault="005D4DAB" w:rsidP="00572128">
      <w:pPr>
        <w:ind w:left="900"/>
        <w:rPr>
          <w:rFonts w:cs="Tahoma"/>
          <w:szCs w:val="18"/>
          <w:lang w:val="pt-BR"/>
        </w:rPr>
      </w:pPr>
    </w:p>
    <w:p w:rsidR="005D4DAB" w:rsidRPr="00E47ECF" w:rsidRDefault="005D4DAB" w:rsidP="002F0514">
      <w:pPr>
        <w:ind w:left="720"/>
        <w:rPr>
          <w:lang w:val="pt-BR"/>
        </w:rPr>
      </w:pPr>
      <w:r w:rsidRPr="00E47ECF">
        <w:rPr>
          <w:rFonts w:cs="Tahoma"/>
          <w:szCs w:val="18"/>
          <w:lang w:val="pt-BR"/>
        </w:rPr>
        <w:t xml:space="preserve">O Windows Enterprise Sideloading só pode ser habilitado em um dispositivo permitido antes do término da cobertura do Software Assurance correspondente ou da Licença de Assinatura. </w:t>
      </w:r>
      <w:r w:rsidRPr="00E47ECF">
        <w:rPr>
          <w:lang w:val="pt-BR"/>
        </w:rPr>
        <w:t>Nos programas Academic, o</w:t>
      </w:r>
      <w:r w:rsidR="002F0514" w:rsidRPr="00E47ECF">
        <w:rPr>
          <w:lang w:val="pt-BR"/>
        </w:rPr>
        <w:t> </w:t>
      </w:r>
      <w:r w:rsidRPr="00E47ECF">
        <w:rPr>
          <w:lang w:val="pt-BR"/>
        </w:rPr>
        <w:t>Windows Enterprise Sideloading só pode ser habilitado em dispositivos pertencentes à instituição</w:t>
      </w:r>
      <w:r w:rsidRPr="00E47ECF">
        <w:rPr>
          <w:rFonts w:cs="Tahoma"/>
          <w:szCs w:val="18"/>
          <w:lang w:val="pt-BR"/>
        </w:rPr>
        <w:t>.</w:t>
      </w:r>
    </w:p>
    <w:p w:rsidR="005D4DAB" w:rsidRPr="00E47ECF" w:rsidRDefault="005D4DAB" w:rsidP="00572128">
      <w:pPr>
        <w:ind w:left="900"/>
        <w:rPr>
          <w:lang w:val="pt-BR"/>
        </w:rPr>
      </w:pPr>
    </w:p>
    <w:p w:rsidR="005D4DAB" w:rsidRPr="00E47ECF" w:rsidRDefault="009B2474" w:rsidP="009B2474">
      <w:pPr>
        <w:spacing w:after="60"/>
        <w:ind w:left="720"/>
        <w:rPr>
          <w:lang w:val="pt-BR"/>
        </w:rPr>
      </w:pPr>
      <w:r w:rsidRPr="00E47ECF">
        <w:rPr>
          <w:rFonts w:cs="Tahoma"/>
          <w:b/>
          <w:szCs w:val="18"/>
          <w:lang w:val="pt-BR"/>
        </w:rPr>
        <w:t>Licenças do Enterprise Sideloading Disponíveis para Aquisição</w:t>
      </w:r>
    </w:p>
    <w:p w:rsidR="00697E59" w:rsidRPr="00E47ECF" w:rsidRDefault="005D4DAB" w:rsidP="00AF3B19">
      <w:pPr>
        <w:ind w:left="720"/>
        <w:rPr>
          <w:lang w:val="pt-BR"/>
        </w:rPr>
      </w:pPr>
      <w:r w:rsidRPr="00E47ECF">
        <w:rPr>
          <w:rFonts w:cs="Tahoma"/>
          <w:szCs w:val="18"/>
          <w:lang w:val="pt-BR"/>
        </w:rPr>
        <w:t>Os clientes podem adquirir licenças do Enterprise Sideloading.</w:t>
      </w:r>
      <w:r w:rsidR="00FB5496" w:rsidRPr="00E47ECF">
        <w:rPr>
          <w:rFonts w:cs="Tahoma"/>
          <w:szCs w:val="18"/>
          <w:lang w:val="pt-BR"/>
        </w:rPr>
        <w:t xml:space="preserve"> </w:t>
      </w:r>
      <w:r w:rsidRPr="00E47ECF">
        <w:rPr>
          <w:rFonts w:cs="Tahoma"/>
          <w:szCs w:val="18"/>
          <w:lang w:val="pt-BR"/>
        </w:rPr>
        <w:t xml:space="preserve">Cada licença do Enterprise Sideloading deve ser atribuída permanentemente a um único dispositivo. </w:t>
      </w:r>
      <w:r w:rsidRPr="00E47ECF">
        <w:rPr>
          <w:lang w:val="pt-BR"/>
        </w:rPr>
        <w:t>Nos programas Academic, o Windows Enterprise Sideloading só pode ser habilitado em dispositivos pertencentes à instituição</w:t>
      </w:r>
      <w:r w:rsidRPr="00E47ECF">
        <w:rPr>
          <w:rFonts w:cs="Tahoma"/>
          <w:szCs w:val="18"/>
          <w:lang w:val="pt-BR"/>
        </w:rPr>
        <w:t>.</w:t>
      </w:r>
      <w:bookmarkStart w:id="1122" w:name="_Toc336338285"/>
    </w:p>
    <w:p w:rsidR="00AF3B19" w:rsidRPr="00E47ECF" w:rsidRDefault="00AF3B19" w:rsidP="00B50A5B">
      <w:pPr>
        <w:spacing w:after="60"/>
        <w:rPr>
          <w:lang w:val="pt-BR"/>
        </w:rPr>
      </w:pPr>
    </w:p>
    <w:p w:rsidR="005C55EB" w:rsidRPr="00E47ECF" w:rsidRDefault="005C55EB" w:rsidP="00B50A5B">
      <w:pPr>
        <w:spacing w:after="60"/>
        <w:ind w:left="720"/>
        <w:rPr>
          <w:lang w:val="pt-BR"/>
        </w:rPr>
      </w:pPr>
      <w:r w:rsidRPr="00E47ECF">
        <w:rPr>
          <w:rFonts w:cs="Tahoma"/>
          <w:b/>
          <w:szCs w:val="18"/>
          <w:lang w:val="pt-BR"/>
        </w:rPr>
        <w:t>Windows Embedded 8 Pro Sideloading</w:t>
      </w:r>
    </w:p>
    <w:p w:rsidR="005C55EB" w:rsidRPr="00E47ECF" w:rsidRDefault="005C55EB" w:rsidP="005C55EB">
      <w:pPr>
        <w:ind w:left="720"/>
        <w:rPr>
          <w:lang w:val="pt-BR"/>
        </w:rPr>
      </w:pPr>
      <w:r w:rsidRPr="00E47ECF">
        <w:rPr>
          <w:rFonts w:cs="Tahoma"/>
          <w:szCs w:val="18"/>
          <w:lang w:val="pt-BR"/>
        </w:rPr>
        <w:t>Os clientes que compram os dispositivos Windows Embedded 8 Pro por meio de um OEM podem comprar as licenças do Windows 8 Enterprise Sideloading destes dispositivos.</w:t>
      </w:r>
    </w:p>
    <w:p w:rsidR="005C55EB" w:rsidRPr="00E47ECF" w:rsidRDefault="005C55EB" w:rsidP="00AF3B19">
      <w:pPr>
        <w:rPr>
          <w:lang w:val="pt-BR"/>
        </w:rPr>
      </w:pPr>
    </w:p>
    <w:p w:rsidR="00AF3B19" w:rsidRPr="00E47ECF" w:rsidRDefault="00AF3B19" w:rsidP="00AF3B19">
      <w:pPr>
        <w:rPr>
          <w:lang w:val="pt-BR"/>
        </w:rPr>
      </w:pPr>
    </w:p>
    <w:p w:rsidR="00C646B3" w:rsidRPr="00416070" w:rsidRDefault="00B26237" w:rsidP="00C646B3">
      <w:pPr>
        <w:pStyle w:val="Heading3"/>
      </w:pPr>
      <w:bookmarkStart w:id="1123" w:name="_27_Parceiros_na"/>
      <w:bookmarkStart w:id="1124" w:name="Sys_25WindowsPartnersLearning"/>
      <w:bookmarkStart w:id="1125" w:name="_Toc352234352"/>
      <w:bookmarkEnd w:id="1123"/>
      <w:r w:rsidRPr="00416070">
        <w:rPr>
          <w:rFonts w:ascii="Tahoma" w:hAnsi="Tahoma"/>
          <w:caps/>
          <w:color w:val="F66400"/>
          <w:sz w:val="22"/>
          <w:vertAlign w:val="superscript"/>
        </w:rPr>
        <w:t>27</w:t>
      </w:r>
      <w:r w:rsidRPr="00416070">
        <w:rPr>
          <w:rFonts w:ascii="Tahoma" w:hAnsi="Tahoma"/>
          <w:color w:val="F66400"/>
          <w:sz w:val="22"/>
        </w:rPr>
        <w:t xml:space="preserve"> Parceiros na Aprendizagem do Windows</w:t>
      </w:r>
      <w:r w:rsidR="00510A6E" w:rsidRPr="00416070">
        <w:rPr>
          <w:rFonts w:ascii="Tahoma" w:hAnsi="Tahoma"/>
          <w:color w:val="F66400"/>
          <w:sz w:val="22"/>
          <w:vertAlign w:val="superscript"/>
        </w:rPr>
        <w:t>®</w:t>
      </w:r>
      <w:r w:rsidRPr="00416070">
        <w:rPr>
          <w:rFonts w:ascii="Tahoma" w:hAnsi="Tahoma"/>
          <w:color w:val="F66400"/>
          <w:sz w:val="22"/>
        </w:rPr>
        <w:t xml:space="preserve"> 7</w:t>
      </w:r>
      <w:bookmarkEnd w:id="1111"/>
      <w:bookmarkEnd w:id="1122"/>
      <w:bookmarkEnd w:id="1124"/>
      <w:bookmarkEnd w:id="1125"/>
    </w:p>
    <w:p w:rsidR="00C646B3" w:rsidRPr="00E47ECF" w:rsidRDefault="00C646B3" w:rsidP="00C646B3">
      <w:pPr>
        <w:rPr>
          <w:lang w:val="pt-BR"/>
        </w:rPr>
      </w:pPr>
    </w:p>
    <w:p w:rsidR="00C646B3" w:rsidRPr="00E47ECF" w:rsidRDefault="00C646B3" w:rsidP="00EE035D">
      <w:pPr>
        <w:ind w:left="720" w:right="-810"/>
        <w:rPr>
          <w:lang w:val="pt-BR"/>
        </w:rPr>
      </w:pPr>
      <w:r w:rsidRPr="00E47ECF">
        <w:rPr>
          <w:rFonts w:cs="Tahoma"/>
          <w:color w:val="000000"/>
          <w:szCs w:val="18"/>
          <w:lang w:val="pt-BR"/>
        </w:rPr>
        <w:t xml:space="preserve">Para obter informações sobre qualificação de licenças e registro de parceiros, consulte o site </w:t>
      </w:r>
      <w:hyperlink r:id="rId47" w:history="1">
        <w:r w:rsidRPr="00E47ECF">
          <w:rPr>
            <w:rStyle w:val="Hyperlink"/>
            <w:rFonts w:cs="Tahoma"/>
            <w:szCs w:val="18"/>
            <w:lang w:val="pt-BR"/>
          </w:rPr>
          <w:t>http://www.microsoft.com/education/pil/partnersinlearning.aspx</w:t>
        </w:r>
      </w:hyperlink>
    </w:p>
    <w:p w:rsidR="00435C70" w:rsidRPr="00E47ECF" w:rsidRDefault="00435C70" w:rsidP="00435C70">
      <w:pPr>
        <w:ind w:right="-810"/>
        <w:rPr>
          <w:lang w:val="pt-BR"/>
        </w:rPr>
      </w:pPr>
    </w:p>
    <w:p w:rsidR="00435C70" w:rsidRPr="00E47ECF" w:rsidRDefault="00435C70" w:rsidP="00435C70">
      <w:pPr>
        <w:ind w:right="-810"/>
        <w:rPr>
          <w:lang w:val="pt-BR"/>
        </w:rPr>
      </w:pPr>
    </w:p>
    <w:p w:rsidR="00B73A46" w:rsidRPr="00416070" w:rsidRDefault="00B26237" w:rsidP="00B73A46">
      <w:pPr>
        <w:pStyle w:val="Heading3"/>
      </w:pPr>
      <w:bookmarkStart w:id="1126" w:name="_28_Atualização_para"/>
      <w:bookmarkStart w:id="1127" w:name="_Toc336338286"/>
      <w:bookmarkStart w:id="1128" w:name="_Toc352234353"/>
      <w:bookmarkStart w:id="1129" w:name="Sys_27Win7ProUpgradeWinIntune"/>
      <w:bookmarkStart w:id="1130" w:name="Sys_26WinVistaBizUpgrade"/>
      <w:bookmarkStart w:id="1131" w:name="Sys_23Windows7ProUpgrade"/>
      <w:bookmarkStart w:id="1132" w:name="Sys_27WindowsVistaProUpgrade"/>
      <w:bookmarkEnd w:id="1126"/>
      <w:r w:rsidRPr="00416070">
        <w:rPr>
          <w:rFonts w:ascii="Tahoma" w:hAnsi="Tahoma"/>
          <w:caps/>
          <w:color w:val="F66400"/>
          <w:sz w:val="22"/>
          <w:vertAlign w:val="superscript"/>
        </w:rPr>
        <w:t>28</w:t>
      </w:r>
      <w:r w:rsidRPr="00416070">
        <w:rPr>
          <w:rFonts w:ascii="Tahoma" w:hAnsi="Tahoma"/>
          <w:color w:val="F66400"/>
          <w:sz w:val="22"/>
        </w:rPr>
        <w:t xml:space="preserve"> </w:t>
      </w:r>
      <w:r w:rsidRPr="00416070">
        <w:rPr>
          <w:rFonts w:ascii="Tahoma" w:hAnsi="Tahoma"/>
          <w:color w:val="FF6D09"/>
          <w:sz w:val="22"/>
        </w:rPr>
        <w:t>Atualização para Windows</w:t>
      </w:r>
      <w:r w:rsidR="00510A6E" w:rsidRPr="00416070">
        <w:rPr>
          <w:rFonts w:ascii="Tahoma" w:hAnsi="Tahoma"/>
          <w:color w:val="FF6D09"/>
          <w:sz w:val="22"/>
          <w:vertAlign w:val="superscript"/>
        </w:rPr>
        <w:t>®</w:t>
      </w:r>
      <w:r w:rsidRPr="00416070">
        <w:rPr>
          <w:rFonts w:ascii="Tahoma" w:hAnsi="Tahoma"/>
          <w:color w:val="FF6D09"/>
          <w:sz w:val="22"/>
        </w:rPr>
        <w:t xml:space="preserve"> 8 Pro e Windows Intune</w:t>
      </w:r>
      <w:bookmarkEnd w:id="1127"/>
      <w:r w:rsidRPr="00416070">
        <w:rPr>
          <w:rFonts w:ascii="Tahoma" w:hAnsi="Tahoma"/>
          <w:color w:val="FF6D09"/>
          <w:sz w:val="22"/>
        </w:rPr>
        <w:t xml:space="preserve"> (Por Dispositivo)</w:t>
      </w:r>
      <w:bookmarkEnd w:id="1128"/>
    </w:p>
    <w:bookmarkEnd w:id="1129"/>
    <w:p w:rsidR="003C65F4" w:rsidRPr="00E47ECF" w:rsidRDefault="003C65F4" w:rsidP="003C65F4">
      <w:pPr>
        <w:rPr>
          <w:lang w:val="pt-BR"/>
        </w:rPr>
      </w:pPr>
    </w:p>
    <w:p w:rsidR="00B73A46" w:rsidRPr="00E47ECF" w:rsidRDefault="00B73A46" w:rsidP="00435C70">
      <w:pPr>
        <w:pStyle w:val="FootnoteBulletLevel1"/>
        <w:tabs>
          <w:tab w:val="clear" w:pos="900"/>
        </w:tabs>
        <w:adjustRightInd/>
        <w:spacing w:before="0" w:after="60"/>
        <w:ind w:left="720" w:firstLine="0"/>
        <w:textAlignment w:val="auto"/>
        <w:rPr>
          <w:rFonts w:ascii="Tahoma" w:hAnsi="Tahoma" w:cs="Tahoma"/>
          <w:sz w:val="18"/>
          <w:szCs w:val="18"/>
          <w:lang w:val="pt-BR"/>
        </w:rPr>
      </w:pPr>
      <w:r w:rsidRPr="00E47ECF">
        <w:rPr>
          <w:rFonts w:ascii="Tahoma" w:hAnsi="Tahoma" w:cs="Tahoma"/>
          <w:b/>
          <w:bCs/>
          <w:sz w:val="18"/>
          <w:szCs w:val="18"/>
          <w:lang w:val="pt-BR"/>
        </w:rPr>
        <w:t>Atualização do Windows 8 Pro</w:t>
      </w:r>
    </w:p>
    <w:p w:rsidR="00B73A46" w:rsidRPr="00E47ECF" w:rsidRDefault="00B73A46" w:rsidP="00435C70">
      <w:pPr>
        <w:ind w:left="720"/>
        <w:rPr>
          <w:rFonts w:cs="Tahoma"/>
          <w:szCs w:val="18"/>
          <w:lang w:val="pt-BR"/>
        </w:rPr>
      </w:pPr>
      <w:r w:rsidRPr="00E47ECF">
        <w:rPr>
          <w:rFonts w:cs="Tahoma"/>
          <w:szCs w:val="18"/>
          <w:u w:val="single"/>
          <w:lang w:val="pt-BR"/>
        </w:rPr>
        <w:t>Licença de Atualização de Sistema Operacional (SO)</w:t>
      </w:r>
    </w:p>
    <w:p w:rsidR="00B73A46" w:rsidRPr="00E47ECF" w:rsidRDefault="00B73A46" w:rsidP="00435C70">
      <w:pPr>
        <w:pStyle w:val="FootnoteBulletLevel1"/>
        <w:tabs>
          <w:tab w:val="clear" w:pos="900"/>
        </w:tabs>
        <w:adjustRightInd/>
        <w:spacing w:before="0" w:after="0"/>
        <w:ind w:left="720" w:hanging="7"/>
        <w:textAlignment w:val="auto"/>
        <w:rPr>
          <w:rFonts w:ascii="Tahoma" w:hAnsi="Tahoma" w:cs="Tahoma"/>
          <w:sz w:val="18"/>
          <w:szCs w:val="18"/>
          <w:lang w:val="pt-BR"/>
        </w:rPr>
      </w:pPr>
      <w:r w:rsidRPr="00E47ECF">
        <w:rPr>
          <w:rFonts w:ascii="Tahoma" w:hAnsi="Tahoma" w:cs="Tahoma"/>
          <w:sz w:val="18"/>
          <w:szCs w:val="18"/>
          <w:lang w:val="pt-BR"/>
        </w:rPr>
        <w:t>As licenças de sistema operacional de desktop concedidas nestes programas são apenas licenças de atualização. Não há licenças integrais de sistema operacional de desktop disponíveis nestes programas. Portanto, cada desktop para o qual você adquirir e no qual executar a Atualização para Windows 8 Pro deverá estar licenciado para executar um dos sistemas operacionais qualificados identificados abaixo.</w:t>
      </w:r>
    </w:p>
    <w:p w:rsidR="00435C70" w:rsidRPr="00E47ECF" w:rsidRDefault="00435C70" w:rsidP="00435C70">
      <w:pPr>
        <w:ind w:left="720"/>
        <w:rPr>
          <w:rFonts w:cs="Tahoma"/>
          <w:szCs w:val="18"/>
          <w:lang w:val="pt-BR"/>
        </w:rPr>
      </w:pPr>
    </w:p>
    <w:p w:rsidR="00B24C9D" w:rsidRPr="009D57D2" w:rsidRDefault="00B73A46" w:rsidP="009C2B6B">
      <w:pPr>
        <w:ind w:left="720"/>
        <w:rPr>
          <w:rFonts w:cs="Tahoma"/>
          <w:szCs w:val="18"/>
        </w:rPr>
      </w:pPr>
      <w:r w:rsidRPr="009D57D2">
        <w:rPr>
          <w:rFonts w:cs="Tahoma"/>
          <w:szCs w:val="18"/>
          <w:u w:val="single"/>
        </w:rPr>
        <w:t>Regras de Sistemas Operacionais Qualificados</w:t>
      </w:r>
    </w:p>
    <w:p w:rsidR="00B73A46" w:rsidRPr="00E47ECF" w:rsidRDefault="00B73A46" w:rsidP="00B24C9D">
      <w:pPr>
        <w:numPr>
          <w:ilvl w:val="1"/>
          <w:numId w:val="102"/>
        </w:numPr>
        <w:spacing w:after="60"/>
        <w:ind w:left="1440"/>
        <w:rPr>
          <w:rFonts w:cs="Tahoma"/>
          <w:szCs w:val="18"/>
          <w:lang w:val="pt-BR"/>
        </w:rPr>
      </w:pPr>
      <w:r w:rsidRPr="00E47ECF">
        <w:rPr>
          <w:rFonts w:cs="Tahoma"/>
          <w:szCs w:val="18"/>
          <w:lang w:val="pt-BR"/>
        </w:rPr>
        <w:t>O SO qualificado deverá estar instalado no dispositivo ao qual a licença de Atualização de VL</w:t>
      </w:r>
      <w:r w:rsidR="00F435F1" w:rsidRPr="00E47ECF">
        <w:rPr>
          <w:rFonts w:cs="Tahoma"/>
          <w:szCs w:val="18"/>
          <w:lang w:val="pt-BR"/>
        </w:rPr>
        <w:t> sera </w:t>
      </w:r>
      <w:r w:rsidRPr="00E47ECF">
        <w:rPr>
          <w:rFonts w:cs="Tahoma"/>
          <w:szCs w:val="18"/>
          <w:lang w:val="pt-BR"/>
        </w:rPr>
        <w:t>cedida.</w:t>
      </w:r>
    </w:p>
    <w:p w:rsidR="00827F06" w:rsidRPr="00E47ECF" w:rsidRDefault="00827F06" w:rsidP="00B24C9D">
      <w:pPr>
        <w:numPr>
          <w:ilvl w:val="2"/>
          <w:numId w:val="103"/>
        </w:numPr>
        <w:spacing w:after="60"/>
        <w:ind w:left="1980"/>
        <w:rPr>
          <w:rFonts w:cs="Tahoma"/>
          <w:szCs w:val="18"/>
          <w:lang w:val="pt-BR"/>
        </w:rPr>
      </w:pPr>
      <w:r w:rsidRPr="00E47ECF">
        <w:rPr>
          <w:rFonts w:cs="Tahoma"/>
          <w:color w:val="000000"/>
          <w:szCs w:val="18"/>
          <w:lang w:val="pt-BR"/>
        </w:rPr>
        <w:t>Apple Macintosh só será um sistema operacional qualificado se ele for pré-instalado pelo</w:t>
      </w:r>
      <w:r w:rsidR="00F435F1" w:rsidRPr="00E47ECF">
        <w:rPr>
          <w:rFonts w:cs="Tahoma"/>
          <w:color w:val="000000"/>
          <w:szCs w:val="18"/>
          <w:lang w:val="pt-BR"/>
        </w:rPr>
        <w:t> </w:t>
      </w:r>
      <w:r w:rsidRPr="00E47ECF">
        <w:rPr>
          <w:rFonts w:cs="Tahoma"/>
          <w:color w:val="000000"/>
          <w:szCs w:val="18"/>
          <w:lang w:val="pt-BR"/>
        </w:rPr>
        <w:t>fabricante autorizado antes da venda inicial do computador.</w:t>
      </w:r>
    </w:p>
    <w:p w:rsidR="00B73A46" w:rsidRPr="00E47ECF" w:rsidRDefault="00B73A46" w:rsidP="00B24C9D">
      <w:pPr>
        <w:numPr>
          <w:ilvl w:val="1"/>
          <w:numId w:val="104"/>
        </w:numPr>
        <w:spacing w:after="60"/>
        <w:ind w:left="1440"/>
        <w:rPr>
          <w:rFonts w:cs="Tahoma"/>
          <w:szCs w:val="18"/>
          <w:lang w:val="pt-BR"/>
        </w:rPr>
      </w:pPr>
      <w:r w:rsidRPr="00E47ECF">
        <w:rPr>
          <w:rFonts w:cs="Tahoma"/>
          <w:szCs w:val="18"/>
          <w:lang w:val="pt-BR"/>
        </w:rPr>
        <w:t xml:space="preserve">Salvo conforme estabelecido a seguir, os clientes devem remover o Sistema Operacional qualificado do dispositivo para implantar a licença de Atualização de VL. </w:t>
      </w:r>
    </w:p>
    <w:p w:rsidR="00B31BB3" w:rsidRPr="00E47ECF" w:rsidRDefault="00B73A46" w:rsidP="00B24C9D">
      <w:pPr>
        <w:numPr>
          <w:ilvl w:val="1"/>
          <w:numId w:val="104"/>
        </w:numPr>
        <w:spacing w:after="60"/>
        <w:ind w:left="1440"/>
        <w:rPr>
          <w:rFonts w:cs="Tahoma"/>
          <w:szCs w:val="18"/>
          <w:lang w:val="pt-BR"/>
        </w:rPr>
      </w:pPr>
      <w:r w:rsidRPr="00E47ECF">
        <w:rPr>
          <w:rFonts w:cs="Tahoma"/>
          <w:szCs w:val="18"/>
          <w:lang w:val="pt-BR"/>
        </w:rPr>
        <w:t>Os clientes que desejarem instalar ou executar mais de um sistema operacional licenciado de</w:t>
      </w:r>
      <w:r w:rsidR="00F435F1" w:rsidRPr="00E47ECF">
        <w:rPr>
          <w:rFonts w:cs="Tahoma"/>
          <w:szCs w:val="18"/>
          <w:lang w:val="pt-BR"/>
        </w:rPr>
        <w:t> </w:t>
      </w:r>
      <w:r w:rsidRPr="00E47ECF">
        <w:rPr>
          <w:rFonts w:cs="Tahoma"/>
          <w:szCs w:val="18"/>
          <w:lang w:val="pt-BR"/>
        </w:rPr>
        <w:t>uma</w:t>
      </w:r>
      <w:r w:rsidR="00F435F1" w:rsidRPr="00E47ECF">
        <w:rPr>
          <w:rFonts w:cs="Tahoma"/>
          <w:szCs w:val="18"/>
          <w:lang w:val="pt-BR"/>
        </w:rPr>
        <w:t> </w:t>
      </w:r>
      <w:r w:rsidRPr="00E47ECF">
        <w:rPr>
          <w:rFonts w:cs="Tahoma"/>
          <w:szCs w:val="18"/>
          <w:lang w:val="pt-BR"/>
        </w:rPr>
        <w:t>vez (incluindo o sistema operacional qualificado) poderão adquirir Software Assurance para</w:t>
      </w:r>
      <w:r w:rsidR="00F435F1" w:rsidRPr="00E47ECF">
        <w:rPr>
          <w:rFonts w:cs="Tahoma"/>
          <w:szCs w:val="18"/>
          <w:lang w:val="pt-BR"/>
        </w:rPr>
        <w:t> </w:t>
      </w:r>
      <w:r w:rsidRPr="00E47ECF">
        <w:rPr>
          <w:rFonts w:cs="Tahoma"/>
          <w:szCs w:val="18"/>
          <w:lang w:val="pt-BR"/>
        </w:rPr>
        <w:t>sua licença de Atualização de VL.</w:t>
      </w:r>
    </w:p>
    <w:p w:rsidR="00B73A46" w:rsidRPr="00E47ECF" w:rsidRDefault="00B73A46" w:rsidP="00B24C9D">
      <w:pPr>
        <w:numPr>
          <w:ilvl w:val="1"/>
          <w:numId w:val="104"/>
        </w:numPr>
        <w:spacing w:after="60"/>
        <w:ind w:left="1440"/>
        <w:rPr>
          <w:rFonts w:cs="Tahoma"/>
          <w:szCs w:val="18"/>
          <w:lang w:val="pt-BR"/>
        </w:rPr>
      </w:pPr>
      <w:r w:rsidRPr="00E47ECF">
        <w:rPr>
          <w:rFonts w:cs="Tahoma"/>
          <w:szCs w:val="18"/>
          <w:lang w:val="pt-BR"/>
        </w:rPr>
        <w:t>Os clientes que tiverem cobertura do Software Assurance ativa não precisarão desinstalar o SO</w:t>
      </w:r>
      <w:r w:rsidR="007009C5" w:rsidRPr="00E47ECF">
        <w:rPr>
          <w:rFonts w:cs="Tahoma"/>
          <w:szCs w:val="18"/>
          <w:lang w:val="pt-BR"/>
        </w:rPr>
        <w:t> </w:t>
      </w:r>
      <w:r w:rsidRPr="00E47ECF">
        <w:rPr>
          <w:rFonts w:cs="Tahoma"/>
          <w:szCs w:val="18"/>
          <w:lang w:val="pt-BR"/>
        </w:rPr>
        <w:t xml:space="preserve">qualificado e poderão instalar e executar o SO qualificado e o Windows 8 ao mesmo tempo. </w:t>
      </w:r>
    </w:p>
    <w:p w:rsidR="00290BBF" w:rsidRPr="00E47ECF" w:rsidRDefault="00290BBF" w:rsidP="00B73A46">
      <w:pPr>
        <w:pStyle w:val="EndnoteText"/>
        <w:rPr>
          <w:rFonts w:ascii="Tahoma" w:hAnsi="Tahoma" w:cs="Tahoma"/>
          <w:sz w:val="18"/>
          <w:szCs w:val="18"/>
          <w:lang w:val="pt-BR"/>
        </w:rPr>
      </w:pPr>
    </w:p>
    <w:p w:rsidR="00D54BE1" w:rsidRPr="00E47ECF" w:rsidRDefault="00D54BE1" w:rsidP="00B73A46">
      <w:pPr>
        <w:pStyle w:val="EndnoteText"/>
        <w:rPr>
          <w:rFonts w:ascii="Tahoma" w:hAnsi="Tahoma" w:cs="Tahoma"/>
          <w:sz w:val="18"/>
          <w:szCs w:val="18"/>
          <w:lang w:val="pt-BR"/>
        </w:rPr>
      </w:pPr>
    </w:p>
    <w:p w:rsidR="002512D3" w:rsidRPr="00E47ECF" w:rsidRDefault="002512D3">
      <w:pPr>
        <w:rPr>
          <w:lang w:val="pt-BR"/>
        </w:rPr>
      </w:pPr>
      <w:r w:rsidRPr="00E47ECF">
        <w:rPr>
          <w:rFonts w:cs="Tahoma"/>
          <w:szCs w:val="18"/>
          <w:lang w:val="pt-BR"/>
        </w:rPr>
        <w:br w:type="page"/>
      </w:r>
    </w:p>
    <w:p w:rsidR="00B73A46" w:rsidRPr="00416070" w:rsidRDefault="00B73A46" w:rsidP="002A6416">
      <w:pPr>
        <w:pStyle w:val="EndnoteText"/>
        <w:ind w:left="770"/>
      </w:pPr>
      <w:r w:rsidRPr="00416070">
        <w:rPr>
          <w:rFonts w:ascii="Tahoma" w:hAnsi="Tahoma" w:cs="Tahoma"/>
          <w:sz w:val="18"/>
          <w:szCs w:val="18"/>
        </w:rPr>
        <w:lastRenderedPageBreak/>
        <w:t>Os sistemas operacionais qualificados por tipo de Programa são:</w:t>
      </w:r>
    </w:p>
    <w:p w:rsidR="00B73A46" w:rsidRPr="00416070" w:rsidRDefault="00B73A46" w:rsidP="00B73A46">
      <w:pPr>
        <w:pStyle w:val="EndnoteText"/>
        <w:rPr>
          <w:rFonts w:ascii="Tahoma"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416070"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16070" w:rsidRDefault="009B3FA2" w:rsidP="00026546">
            <w:pPr>
              <w:jc w:val="center"/>
              <w:rPr>
                <w:rFonts w:eastAsia="Calibri" w:cs="Tahoma"/>
                <w:b/>
                <w:bCs/>
                <w:szCs w:val="18"/>
              </w:rPr>
            </w:pPr>
            <w:r w:rsidRPr="00416070">
              <w:rPr>
                <w:rFonts w:cs="Tahoma"/>
                <w:b/>
                <w:bCs/>
                <w:szCs w:val="18"/>
              </w:rPr>
              <w:t>Sistemas operacionais qualificados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070" w:rsidRDefault="00B73A46" w:rsidP="009B3FA2">
            <w:pPr>
              <w:jc w:val="center"/>
              <w:rPr>
                <w:rFonts w:eastAsia="Calibri" w:cs="Tahoma"/>
                <w:b/>
                <w:bCs/>
                <w:sz w:val="16"/>
                <w:szCs w:val="18"/>
              </w:rPr>
            </w:pPr>
            <w:r w:rsidRPr="00416070">
              <w:rPr>
                <w:rFonts w:cs="Tahoma"/>
                <w:b/>
                <w:bCs/>
                <w:sz w:val="16"/>
                <w:szCs w:val="18"/>
              </w:rPr>
              <w:t>Novo EA/</w:t>
            </w:r>
            <w:r w:rsidRPr="00416070">
              <w:rPr>
                <w:rFonts w:cs="Tahoma"/>
                <w:b/>
                <w:bCs/>
                <w:sz w:val="16"/>
                <w:szCs w:val="18"/>
              </w:rPr>
              <w:br/>
              <w:t>OV-TE</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070" w:rsidRDefault="00B73A46" w:rsidP="009B3FA2">
            <w:pPr>
              <w:jc w:val="center"/>
              <w:rPr>
                <w:rFonts w:eastAsia="Calibri" w:cs="Tahoma"/>
                <w:b/>
                <w:bCs/>
                <w:sz w:val="16"/>
                <w:szCs w:val="18"/>
              </w:rPr>
            </w:pPr>
            <w:r w:rsidRPr="00416070">
              <w:rPr>
                <w:rFonts w:cs="Tahoma"/>
                <w:b/>
                <w:bCs/>
                <w:sz w:val="16"/>
                <w:szCs w:val="18"/>
              </w:rPr>
              <w:t>EA/OV-TE existente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070" w:rsidRDefault="00B73A46" w:rsidP="009B3FA2">
            <w:pPr>
              <w:jc w:val="center"/>
              <w:rPr>
                <w:rFonts w:eastAsia="Calibri" w:cs="Tahoma"/>
                <w:b/>
                <w:bCs/>
                <w:sz w:val="16"/>
                <w:szCs w:val="18"/>
              </w:rPr>
            </w:pPr>
            <w:r w:rsidRPr="00416070">
              <w:rPr>
                <w:rFonts w:cs="Tahoma"/>
                <w:b/>
                <w:bCs/>
                <w:sz w:val="16"/>
                <w:szCs w:val="18"/>
              </w:rPr>
              <w:t>Select (todos exceto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070" w:rsidRDefault="00B73A46" w:rsidP="00F435F1">
            <w:pPr>
              <w:jc w:val="center"/>
              <w:rPr>
                <w:rFonts w:eastAsia="Calibri" w:cs="Tahoma"/>
                <w:b/>
                <w:bCs/>
                <w:sz w:val="16"/>
                <w:szCs w:val="18"/>
              </w:rPr>
            </w:pPr>
            <w:r w:rsidRPr="00416070">
              <w:rPr>
                <w:rFonts w:cs="Tahoma"/>
                <w:b/>
                <w:bCs/>
                <w:sz w:val="16"/>
                <w:szCs w:val="18"/>
              </w:rPr>
              <w:t>Open (todos exceto Academic, Charity e</w:t>
            </w:r>
            <w:r w:rsidR="00F435F1" w:rsidRPr="00416070">
              <w:rPr>
                <w:rFonts w:cs="Tahoma"/>
                <w:b/>
                <w:bCs/>
                <w:sz w:val="16"/>
                <w:szCs w:val="18"/>
              </w:rPr>
              <w:t> </w:t>
            </w:r>
            <w:r w:rsidRPr="00416070">
              <w:rPr>
                <w:rFonts w:cs="Tahoma"/>
                <w:b/>
                <w:bCs/>
                <w:sz w:val="16"/>
                <w:szCs w:val="18"/>
              </w:rPr>
              <w:t>OV-TE)</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070" w:rsidRDefault="00B73A46" w:rsidP="0050116B">
            <w:pPr>
              <w:jc w:val="center"/>
              <w:rPr>
                <w:rFonts w:eastAsia="Calibri" w:cs="Tahoma"/>
                <w:b/>
                <w:bCs/>
                <w:sz w:val="16"/>
                <w:szCs w:val="18"/>
              </w:rPr>
            </w:pPr>
            <w:r w:rsidRPr="00416070">
              <w:rPr>
                <w:rFonts w:cs="Tahoma"/>
                <w:b/>
                <w:bCs/>
                <w:sz w:val="16"/>
                <w:szCs w:val="18"/>
              </w:rPr>
              <w:t>Academic e Charity</w:t>
            </w:r>
          </w:p>
        </w:tc>
      </w:tr>
      <w:tr w:rsidR="008643A3"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713A6C">
            <w:pPr>
              <w:rPr>
                <w:rFonts w:cs="Tahoma"/>
                <w:b/>
                <w:bCs/>
                <w:szCs w:val="18"/>
              </w:rPr>
            </w:pPr>
            <w:r w:rsidRPr="00416070">
              <w:rPr>
                <w:rFonts w:cs="Tahoma"/>
                <w:b/>
                <w:bCs/>
                <w:szCs w:val="18"/>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713A6C">
            <w:pPr>
              <w:jc w:val="center"/>
              <w:rPr>
                <w:rFonts w:cs="Tahoma"/>
                <w:szCs w:val="18"/>
              </w:rPr>
            </w:pPr>
          </w:p>
        </w:tc>
      </w:tr>
      <w:tr w:rsidR="008643A3"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EF7CDD">
            <w:pPr>
              <w:ind w:left="522"/>
              <w:rPr>
                <w:rFonts w:cs="Tahoma"/>
                <w:b/>
                <w:bCs/>
                <w:szCs w:val="18"/>
              </w:rPr>
            </w:pPr>
            <w:r w:rsidRPr="0041607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713A6C">
            <w:pPr>
              <w:jc w:val="center"/>
              <w:rPr>
                <w:rFonts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713A6C">
            <w:pPr>
              <w:jc w:val="center"/>
              <w:rPr>
                <w:rFonts w:cs="Tahoma"/>
                <w:szCs w:val="18"/>
              </w:rPr>
            </w:pPr>
            <w:r w:rsidRPr="0041607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713A6C">
            <w:pPr>
              <w:jc w:val="center"/>
              <w:rPr>
                <w:rFonts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713A6C">
            <w:pPr>
              <w:jc w:val="center"/>
              <w:rPr>
                <w:rFonts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335B9" w:rsidP="00713A6C">
            <w:pPr>
              <w:jc w:val="center"/>
              <w:rPr>
                <w:rFonts w:cs="Tahoma"/>
                <w:szCs w:val="18"/>
              </w:rPr>
            </w:pPr>
            <w:r w:rsidRPr="00416070">
              <w:rPr>
                <w:rFonts w:cs="Tahoma"/>
                <w:szCs w:val="18"/>
              </w:rPr>
              <w:t>x</w:t>
            </w:r>
          </w:p>
        </w:tc>
      </w:tr>
      <w:tr w:rsidR="008643A3"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394D71">
            <w:pPr>
              <w:ind w:left="522"/>
              <w:rPr>
                <w:rFonts w:cs="Tahoma"/>
                <w:b/>
                <w:bCs/>
                <w:szCs w:val="18"/>
              </w:rPr>
            </w:pPr>
            <w:r w:rsidRPr="00416070">
              <w:rPr>
                <w:rFonts w:cs="Tahoma"/>
                <w:szCs w:val="18"/>
              </w:rPr>
              <w:t>Pro (N, K, JN)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713A6C">
            <w:pPr>
              <w:jc w:val="center"/>
              <w:rPr>
                <w:rFonts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713A6C">
            <w:pPr>
              <w:jc w:val="center"/>
              <w:rPr>
                <w:rFonts w:cs="Tahoma"/>
                <w:szCs w:val="18"/>
              </w:rPr>
            </w:pPr>
            <w:r w:rsidRPr="0041607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713A6C">
            <w:pPr>
              <w:jc w:val="center"/>
              <w:rPr>
                <w:rFonts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713A6C">
            <w:pPr>
              <w:jc w:val="center"/>
              <w:rPr>
                <w:rFonts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335B9" w:rsidP="00713A6C">
            <w:pPr>
              <w:jc w:val="center"/>
              <w:rPr>
                <w:rFonts w:cs="Tahoma"/>
                <w:szCs w:val="18"/>
              </w:rPr>
            </w:pPr>
            <w:r w:rsidRPr="00416070">
              <w:rPr>
                <w:rFonts w:cs="Tahoma"/>
                <w:szCs w:val="18"/>
              </w:rPr>
              <w:t>x</w:t>
            </w:r>
          </w:p>
        </w:tc>
      </w:tr>
      <w:tr w:rsidR="008643A3"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EF7CDD">
            <w:pPr>
              <w:ind w:left="522"/>
              <w:rPr>
                <w:rFonts w:cs="Tahoma"/>
                <w:b/>
                <w:bCs/>
                <w:szCs w:val="18"/>
              </w:rPr>
            </w:pPr>
            <w:r w:rsidRPr="00416070">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070" w:rsidRDefault="006C2A69" w:rsidP="00713A6C">
            <w:pPr>
              <w:jc w:val="center"/>
              <w:rPr>
                <w:rFonts w:cs="Tahoma"/>
                <w:szCs w:val="18"/>
              </w:rPr>
            </w:pPr>
            <w:r w:rsidRPr="00416070">
              <w:rPr>
                <w:rFonts w:cs="Tahoma"/>
                <w:szCs w:val="18"/>
              </w:rPr>
              <w:t>x</w:t>
            </w:r>
          </w:p>
        </w:tc>
      </w:tr>
      <w:tr w:rsidR="00EF7CDD"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416070" w:rsidRDefault="00EF7CDD" w:rsidP="00EF7CDD">
            <w:pPr>
              <w:ind w:left="522"/>
              <w:rPr>
                <w:rFonts w:cs="Tahoma"/>
                <w:szCs w:val="18"/>
              </w:rPr>
            </w:pPr>
            <w:r w:rsidRPr="00416070">
              <w:rPr>
                <w:rFonts w:cs="Tahoma"/>
                <w:szCs w:val="18"/>
              </w:rPr>
              <w:t>Windows 8 – Um Idioma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6070"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6070"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6070"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6070"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6070" w:rsidRDefault="00EF7CDD" w:rsidP="00713A6C">
            <w:pPr>
              <w:jc w:val="center"/>
              <w:rPr>
                <w:rFonts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rPr>
                <w:rFonts w:eastAsia="Calibri" w:cs="Tahoma"/>
                <w:b/>
                <w:bCs/>
                <w:szCs w:val="18"/>
              </w:rPr>
            </w:pPr>
            <w:r w:rsidRPr="00416070">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firstLine="540"/>
              <w:rPr>
                <w:rFonts w:eastAsia="Calibri" w:cs="Tahoma"/>
                <w:szCs w:val="18"/>
              </w:rPr>
            </w:pPr>
            <w:r w:rsidRPr="0041607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47ECF" w:rsidRDefault="00B73A46" w:rsidP="00D47417">
            <w:pPr>
              <w:ind w:left="522" w:firstLine="18"/>
              <w:rPr>
                <w:rFonts w:eastAsia="Calibri" w:cs="Tahoma"/>
                <w:szCs w:val="18"/>
                <w:lang w:val="pt-BR"/>
              </w:rPr>
            </w:pPr>
            <w:r w:rsidRPr="00E47ECF">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firstLine="540"/>
              <w:rPr>
                <w:rFonts w:eastAsia="Calibri" w:cs="Tahoma"/>
                <w:szCs w:val="18"/>
              </w:rPr>
            </w:pPr>
            <w:r w:rsidRPr="0041607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firstLine="540"/>
              <w:rPr>
                <w:rFonts w:eastAsia="Calibri" w:cs="Tahoma"/>
                <w:szCs w:val="18"/>
              </w:rPr>
            </w:pPr>
            <w:r w:rsidRPr="0041607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firstLine="540"/>
              <w:rPr>
                <w:rFonts w:eastAsia="Calibri" w:cs="Tahoma"/>
                <w:szCs w:val="18"/>
              </w:rPr>
            </w:pPr>
            <w:r w:rsidRPr="0041607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EF7CDD">
            <w:pPr>
              <w:ind w:left="522"/>
              <w:rPr>
                <w:rFonts w:eastAsia="Calibri" w:cs="Tahoma"/>
                <w:szCs w:val="18"/>
              </w:rPr>
            </w:pPr>
            <w:r w:rsidRPr="0041607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2B5F9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47ECF" w:rsidRDefault="00B73A46" w:rsidP="00F435F1">
            <w:pPr>
              <w:rPr>
                <w:rFonts w:eastAsia="Calibri" w:cs="Tahoma"/>
                <w:b/>
                <w:bCs/>
                <w:szCs w:val="18"/>
                <w:lang w:val="pt-BR"/>
              </w:rPr>
            </w:pPr>
            <w:r w:rsidRPr="00E47ECF">
              <w:rPr>
                <w:rFonts w:cs="Tahoma"/>
                <w:b/>
                <w:bCs/>
                <w:szCs w:val="18"/>
                <w:lang w:val="pt-BR"/>
              </w:rPr>
              <w:t>Windows Vista (32</w:t>
            </w:r>
            <w:r w:rsidR="00F435F1" w:rsidRPr="00E47ECF">
              <w:rPr>
                <w:rFonts w:cs="Tahoma"/>
                <w:b/>
                <w:bCs/>
                <w:szCs w:val="18"/>
                <w:lang w:val="pt-BR"/>
              </w:rPr>
              <w:t> </w:t>
            </w:r>
            <w:r w:rsidRPr="00E47ECF">
              <w:rPr>
                <w:rFonts w:cs="Tahoma"/>
                <w:b/>
                <w:bCs/>
                <w:szCs w:val="18"/>
                <w:lang w:val="pt-BR"/>
              </w:rPr>
              <w:t>bits</w:t>
            </w:r>
            <w:r w:rsidR="00F435F1" w:rsidRPr="00E47ECF">
              <w:rPr>
                <w:rFonts w:cs="Tahoma"/>
                <w:b/>
                <w:bCs/>
                <w:szCs w:val="18"/>
                <w:lang w:val="pt-BR"/>
              </w:rPr>
              <w:t> </w:t>
            </w:r>
            <w:r w:rsidRPr="00E47ECF">
              <w:rPr>
                <w:rFonts w:cs="Tahoma"/>
                <w:b/>
                <w:bCs/>
                <w:szCs w:val="18"/>
                <w:lang w:val="pt-BR"/>
              </w:rPr>
              <w:t>ou</w:t>
            </w:r>
            <w:r w:rsidR="00F435F1" w:rsidRPr="00E47ECF">
              <w:rPr>
                <w:rFonts w:cs="Tahoma"/>
                <w:b/>
                <w:bCs/>
                <w:szCs w:val="18"/>
                <w:lang w:val="pt-BR"/>
              </w:rPr>
              <w:t> </w:t>
            </w:r>
            <w:r w:rsidRPr="00E47ECF">
              <w:rPr>
                <w:rFonts w:cs="Tahoma"/>
                <w:b/>
                <w:bCs/>
                <w:szCs w:val="18"/>
                <w:lang w:val="pt-BR"/>
              </w:rPr>
              <w:t>64</w:t>
            </w:r>
            <w:r w:rsidR="00F435F1" w:rsidRPr="00E47ECF">
              <w:rPr>
                <w:rFonts w:cs="Tahoma"/>
                <w:b/>
                <w:bCs/>
                <w:szCs w:val="18"/>
                <w:lang w:val="pt-BR"/>
              </w:rPr>
              <w:t> </w:t>
            </w:r>
            <w:r w:rsidRPr="00E47ECF">
              <w:rPr>
                <w:rFonts w:cs="Tahoma"/>
                <w:b/>
                <w:bCs/>
                <w:szCs w:val="18"/>
                <w:lang w:val="pt-BR"/>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47ECF" w:rsidRDefault="00C45359" w:rsidP="00713A6C">
            <w:pPr>
              <w:jc w:val="center"/>
              <w:rPr>
                <w:rFonts w:eastAsia="Calibri" w:cs="Tahoma"/>
                <w:szCs w:val="18"/>
                <w:lang w:val="pt-BR"/>
              </w:rPr>
            </w:pPr>
            <w:r w:rsidRPr="00E47ECF">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47ECF" w:rsidRDefault="00C45359" w:rsidP="00713A6C">
            <w:pPr>
              <w:jc w:val="center"/>
              <w:rPr>
                <w:rFonts w:eastAsia="Calibri" w:cs="Tahoma"/>
                <w:szCs w:val="18"/>
                <w:lang w:val="pt-BR"/>
              </w:rPr>
            </w:pPr>
            <w:r w:rsidRPr="00E47ECF">
              <w:rPr>
                <w:rFonts w:cs="Tahoma"/>
                <w:szCs w:val="18"/>
                <w:lang w:val="pt-B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47ECF" w:rsidRDefault="00C45359" w:rsidP="00713A6C">
            <w:pPr>
              <w:jc w:val="center"/>
              <w:rPr>
                <w:rFonts w:eastAsia="Calibri" w:cs="Tahoma"/>
                <w:szCs w:val="18"/>
                <w:lang w:val="pt-BR"/>
              </w:rPr>
            </w:pPr>
            <w:r w:rsidRPr="00E47ECF">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47ECF" w:rsidRDefault="00C45359" w:rsidP="00713A6C">
            <w:pPr>
              <w:jc w:val="center"/>
              <w:rPr>
                <w:rFonts w:eastAsia="Calibri" w:cs="Tahoma"/>
                <w:szCs w:val="18"/>
                <w:lang w:val="pt-BR"/>
              </w:rPr>
            </w:pPr>
            <w:r w:rsidRPr="00E47ECF">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47ECF" w:rsidRDefault="00C45359" w:rsidP="00713A6C">
            <w:pPr>
              <w:jc w:val="center"/>
              <w:rPr>
                <w:rFonts w:eastAsia="Calibri" w:cs="Tahoma"/>
                <w:szCs w:val="18"/>
                <w:lang w:val="pt-BR"/>
              </w:rPr>
            </w:pPr>
            <w:r w:rsidRPr="00E47ECF">
              <w:rPr>
                <w:rFonts w:cs="Tahoma"/>
                <w:szCs w:val="18"/>
                <w:lang w:val="pt-BR"/>
              </w:rPr>
              <w:t xml:space="preserve"> </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firstLine="540"/>
              <w:rPr>
                <w:rFonts w:eastAsia="Calibri" w:cs="Tahoma"/>
                <w:szCs w:val="18"/>
              </w:rPr>
            </w:pPr>
            <w:r w:rsidRPr="0041607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firstLine="540"/>
              <w:rPr>
                <w:rFonts w:eastAsia="Calibri" w:cs="Tahoma"/>
                <w:szCs w:val="18"/>
              </w:rPr>
            </w:pPr>
            <w:r w:rsidRPr="00416070">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firstLine="540"/>
              <w:rPr>
                <w:rFonts w:eastAsia="Calibri" w:cs="Tahoma"/>
                <w:szCs w:val="18"/>
              </w:rPr>
            </w:pPr>
            <w:r w:rsidRPr="0041607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firstLine="540"/>
              <w:rPr>
                <w:rFonts w:eastAsia="Calibri" w:cs="Tahoma"/>
                <w:szCs w:val="18"/>
              </w:rPr>
            </w:pPr>
            <w:r w:rsidRPr="00416070">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firstLine="540"/>
              <w:rPr>
                <w:rFonts w:eastAsia="Calibri" w:cs="Tahoma"/>
                <w:szCs w:val="18"/>
              </w:rPr>
            </w:pPr>
            <w:r w:rsidRPr="0041607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4C3222">
            <w:pPr>
              <w:ind w:left="522"/>
              <w:rPr>
                <w:rFonts w:eastAsia="Calibri" w:cs="Tahoma"/>
                <w:bCs/>
                <w:szCs w:val="18"/>
              </w:rPr>
            </w:pPr>
            <w:r w:rsidRPr="0041607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rPr>
                <w:rFonts w:eastAsia="Calibri" w:cs="Tahoma"/>
                <w:b/>
                <w:szCs w:val="18"/>
              </w:rPr>
            </w:pPr>
            <w:r w:rsidRPr="00416070">
              <w:rPr>
                <w:rFonts w:cs="Tahoma"/>
                <w:b/>
                <w:bCs/>
                <w:szCs w:val="18"/>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left="564"/>
              <w:rPr>
                <w:rFonts w:eastAsia="Calibri" w:cs="Tahoma"/>
                <w:szCs w:val="18"/>
                <w:lang w:val="pt-BR"/>
              </w:rPr>
            </w:pPr>
            <w:r w:rsidRPr="00E47ECF">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47ECF" w:rsidRDefault="00B73A46" w:rsidP="00713A6C">
            <w:pPr>
              <w:ind w:left="564"/>
              <w:rPr>
                <w:rFonts w:eastAsia="Calibri" w:cs="Tahoma"/>
                <w:szCs w:val="18"/>
                <w:lang w:val="da-DK"/>
              </w:rPr>
            </w:pPr>
            <w:r w:rsidRPr="00E47ECF">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left="564"/>
              <w:rPr>
                <w:rFonts w:eastAsia="Calibri" w:cs="Tahoma"/>
                <w:szCs w:val="18"/>
              </w:rPr>
            </w:pPr>
            <w:r w:rsidRPr="00416070">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left="564"/>
              <w:rPr>
                <w:rFonts w:eastAsia="Calibri" w:cs="Tahoma"/>
                <w:szCs w:val="18"/>
              </w:rPr>
            </w:pPr>
            <w:r w:rsidRPr="00416070">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070"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left="564"/>
              <w:rPr>
                <w:rFonts w:eastAsia="Calibri" w:cs="Tahoma"/>
                <w:szCs w:val="18"/>
              </w:rPr>
            </w:pPr>
            <w:r w:rsidRPr="00416070">
              <w:rPr>
                <w:rFonts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C45359" w:rsidP="00713A6C">
            <w:pPr>
              <w:jc w:val="center"/>
              <w:rPr>
                <w:rFonts w:eastAsia="Calibri" w:cs="Tahoma"/>
                <w:szCs w:val="18"/>
              </w:rPr>
            </w:pPr>
            <w:r w:rsidRPr="0041607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6070" w:rsidRDefault="00B73A46" w:rsidP="00713A6C">
            <w:pPr>
              <w:rPr>
                <w:rFonts w:eastAsia="Calibri" w:cs="Tahoma"/>
                <w:b/>
                <w:szCs w:val="18"/>
              </w:rPr>
            </w:pPr>
            <w:r w:rsidRPr="00416070">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6070" w:rsidRDefault="00B73A46" w:rsidP="00713A6C">
            <w:pPr>
              <w:rPr>
                <w:rFonts w:eastAsia="Calibri" w:cs="Tahoma"/>
                <w:b/>
                <w:bCs/>
                <w:szCs w:val="18"/>
              </w:rPr>
            </w:pPr>
            <w:r w:rsidRPr="00416070">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6070" w:rsidRDefault="00B73A46" w:rsidP="00F435F1">
            <w:pPr>
              <w:rPr>
                <w:rFonts w:eastAsia="Calibri" w:cs="Tahoma"/>
                <w:b/>
                <w:bCs/>
                <w:szCs w:val="18"/>
              </w:rPr>
            </w:pPr>
            <w:r w:rsidRPr="00416070">
              <w:rPr>
                <w:rFonts w:cs="Tahoma"/>
                <w:b/>
                <w:bCs/>
                <w:szCs w:val="18"/>
              </w:rPr>
              <w:t>Windows 98 (incluindo</w:t>
            </w:r>
            <w:r w:rsidR="00F435F1" w:rsidRPr="00416070">
              <w:rPr>
                <w:rFonts w:cs="Tahoma"/>
                <w:b/>
                <w:bCs/>
                <w:szCs w:val="18"/>
              </w:rPr>
              <w:t> </w:t>
            </w:r>
            <w:r w:rsidRPr="00416070">
              <w:rPr>
                <w:rFonts w:cs="Tahoma"/>
                <w:b/>
                <w:bCs/>
                <w:szCs w:val="18"/>
              </w:rPr>
              <w:t>2ª</w:t>
            </w:r>
            <w:r w:rsidR="00F435F1" w:rsidRPr="00416070">
              <w:rPr>
                <w:rFonts w:cs="Tahoma"/>
                <w:b/>
                <w:bCs/>
                <w:szCs w:val="18"/>
              </w:rPr>
              <w:t> </w:t>
            </w:r>
            <w:r w:rsidRPr="00416070">
              <w:rPr>
                <w:rFonts w:cs="Tahoma"/>
                <w:b/>
                <w:bCs/>
                <w:szCs w:val="18"/>
              </w:rPr>
              <w:t>Edição)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r w:rsidR="00290BBF" w:rsidRPr="00416070"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6070" w:rsidRDefault="00B73A46" w:rsidP="00713A6C">
            <w:pPr>
              <w:rPr>
                <w:rFonts w:eastAsia="Calibri" w:cs="Tahoma"/>
                <w:b/>
                <w:bCs/>
                <w:szCs w:val="18"/>
              </w:rPr>
            </w:pPr>
            <w:r w:rsidRPr="00416070">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r>
    </w:tbl>
    <w:p w:rsidR="00B73A46" w:rsidRPr="00E47ECF" w:rsidRDefault="00B73A46" w:rsidP="002A6416">
      <w:pPr>
        <w:ind w:left="770"/>
        <w:rPr>
          <w:lang w:val="pt-BR"/>
        </w:rPr>
      </w:pPr>
      <w:r w:rsidRPr="00E47ECF">
        <w:rPr>
          <w:rFonts w:cs="Tahoma"/>
          <w:bCs/>
          <w:i/>
          <w:iCs/>
          <w:sz w:val="14"/>
          <w:szCs w:val="14"/>
          <w:u w:val="single"/>
          <w:lang w:val="pt-BR"/>
        </w:rPr>
        <w:t>Observação</w:t>
      </w:r>
      <w:r w:rsidRPr="00E47ECF">
        <w:rPr>
          <w:rFonts w:cs="Tahoma"/>
          <w:i/>
          <w:iCs/>
          <w:sz w:val="14"/>
          <w:szCs w:val="14"/>
          <w:lang w:val="pt-BR"/>
        </w:rPr>
        <w:t xml:space="preserve">: </w:t>
      </w:r>
      <w:r w:rsidRPr="00E47ECF">
        <w:rPr>
          <w:rFonts w:cs="Tahoma"/>
          <w:i/>
          <w:iCs/>
          <w:sz w:val="14"/>
          <w:szCs w:val="14"/>
          <w:lang w:val="pt-BR"/>
        </w:rPr>
        <w:br/>
        <w:t xml:space="preserve">Academic inclui os Contratos Campus e School, Open Value Subscription - Soluções Educacionais, Programas Select - </w:t>
      </w:r>
      <w:r w:rsidR="007009C5" w:rsidRPr="00E47ECF">
        <w:rPr>
          <w:rFonts w:cs="Tahoma"/>
          <w:i/>
          <w:iCs/>
          <w:sz w:val="14"/>
          <w:szCs w:val="14"/>
          <w:lang w:val="pt-BR"/>
        </w:rPr>
        <w:br/>
      </w:r>
      <w:r w:rsidRPr="00E47ECF">
        <w:rPr>
          <w:rFonts w:cs="Tahoma"/>
          <w:i/>
          <w:iCs/>
          <w:sz w:val="14"/>
          <w:szCs w:val="14"/>
          <w:lang w:val="pt-BR"/>
        </w:rPr>
        <w:t>Academic e Open - Academic</w:t>
      </w:r>
      <w:r w:rsidRPr="00E47ECF">
        <w:rPr>
          <w:rFonts w:cs="Tahoma"/>
          <w:i/>
          <w:iCs/>
          <w:sz w:val="14"/>
          <w:szCs w:val="14"/>
          <w:lang w:val="pt-BR"/>
        </w:rPr>
        <w:br/>
        <w:t>EA = Contrato Enterprise</w:t>
      </w:r>
      <w:r w:rsidRPr="00E47ECF">
        <w:rPr>
          <w:rFonts w:cs="Tahoma"/>
          <w:i/>
          <w:iCs/>
          <w:sz w:val="14"/>
          <w:szCs w:val="14"/>
          <w:lang w:val="pt-BR"/>
        </w:rPr>
        <w:br/>
        <w:t>OV-TE = Open Value – Opção para toda a empresa</w:t>
      </w:r>
    </w:p>
    <w:p w:rsidR="00B73A46" w:rsidRPr="00E47ECF" w:rsidRDefault="00B73A46" w:rsidP="002A6416">
      <w:pPr>
        <w:ind w:left="770"/>
        <w:rPr>
          <w:lang w:val="pt-BR"/>
        </w:rPr>
      </w:pPr>
      <w:r w:rsidRPr="00E47ECF">
        <w:rPr>
          <w:rFonts w:cs="Tahoma"/>
          <w:i/>
          <w:iCs/>
          <w:sz w:val="14"/>
          <w:szCs w:val="14"/>
          <w:lang w:val="pt-BR"/>
        </w:rPr>
        <w:t>‘N’, ‘K’ e ‘KN’ são edições especializadas disponíveis em determinados mercados.</w:t>
      </w:r>
    </w:p>
    <w:p w:rsidR="00B73A46" w:rsidRPr="00E47ECF" w:rsidRDefault="00B73A46" w:rsidP="00B73A46">
      <w:pPr>
        <w:ind w:left="720"/>
        <w:rPr>
          <w:lang w:val="pt-BR"/>
        </w:rPr>
      </w:pPr>
    </w:p>
    <w:p w:rsidR="002512D3" w:rsidRPr="00E47ECF" w:rsidRDefault="002512D3">
      <w:pPr>
        <w:rPr>
          <w:lang w:val="pt-BR"/>
        </w:rPr>
      </w:pPr>
      <w:r w:rsidRPr="00E47ECF">
        <w:rPr>
          <w:rFonts w:cs="Tahoma"/>
          <w:szCs w:val="18"/>
          <w:lang w:val="pt-BR"/>
        </w:rPr>
        <w:br w:type="page"/>
      </w:r>
    </w:p>
    <w:p w:rsidR="00B73A46" w:rsidRPr="00E47ECF" w:rsidRDefault="00B73A46" w:rsidP="00B24C9D">
      <w:pPr>
        <w:ind w:left="720"/>
        <w:rPr>
          <w:lang w:val="pt-BR"/>
        </w:rPr>
      </w:pPr>
      <w:r w:rsidRPr="00E47ECF">
        <w:rPr>
          <w:rFonts w:cs="Tahoma"/>
          <w:szCs w:val="18"/>
          <w:lang w:val="pt-BR"/>
        </w:rPr>
        <w:lastRenderedPageBreak/>
        <w:t>As seguintes condições se aplicam ao Windows XP Starter Edition (SE), ao Windows Vista Starter Edition (SE) e ao Windows 7 Starter Edition:</w:t>
      </w:r>
    </w:p>
    <w:p w:rsidR="00B73A46" w:rsidRPr="00E47ECF" w:rsidRDefault="00B73A46" w:rsidP="00B24C9D">
      <w:pPr>
        <w:ind w:left="720"/>
        <w:rPr>
          <w:lang w:val="pt-BR"/>
        </w:rPr>
      </w:pPr>
    </w:p>
    <w:p w:rsidR="00B73A46" w:rsidRPr="00E47ECF" w:rsidRDefault="00B73A46" w:rsidP="00B24C9D">
      <w:pPr>
        <w:pStyle w:val="ColorfulList-Accent11"/>
        <w:numPr>
          <w:ilvl w:val="0"/>
          <w:numId w:val="42"/>
        </w:numPr>
        <w:ind w:left="1440"/>
        <w:rPr>
          <w:lang w:val="pt-BR"/>
        </w:rPr>
      </w:pPr>
      <w:r w:rsidRPr="00E47ECF">
        <w:rPr>
          <w:rFonts w:ascii="Tahoma" w:hAnsi="Tahoma" w:cs="Tahoma"/>
          <w:sz w:val="18"/>
          <w:szCs w:val="18"/>
          <w:lang w:val="pt-BR"/>
        </w:rPr>
        <w:t xml:space="preserve">Os clientes Academic (Academic Select, Academic Open e CASA, Open Value Subscription – Soluções Educacionais) têm permissão de adquirir uma licença de Atualização do Windows usando o Windows XP Starter Edition, o Windows Vista Starter Edition ou o Windows 7 Starter Edition como SO qualificado. </w:t>
      </w:r>
    </w:p>
    <w:p w:rsidR="00B73A46" w:rsidRPr="00E47ECF" w:rsidRDefault="00B73A46" w:rsidP="00B24C9D">
      <w:pPr>
        <w:pStyle w:val="ColorfulList-Accent11"/>
        <w:rPr>
          <w:rFonts w:ascii="Tahoma" w:hAnsi="Tahoma" w:cs="Tahoma"/>
          <w:sz w:val="18"/>
          <w:szCs w:val="18"/>
          <w:lang w:val="pt-BR"/>
        </w:rPr>
      </w:pPr>
    </w:p>
    <w:p w:rsidR="00B73A46" w:rsidRPr="006301EB" w:rsidRDefault="00B73A46" w:rsidP="00B24C9D">
      <w:pPr>
        <w:pStyle w:val="ColorfulList-Accent11"/>
        <w:rPr>
          <w:lang w:val="pt-BR"/>
        </w:rPr>
      </w:pPr>
      <w:r w:rsidRPr="006301EB">
        <w:rPr>
          <w:rFonts w:ascii="Tahoma" w:hAnsi="Tahoma" w:cs="Tahoma"/>
          <w:sz w:val="18"/>
          <w:szCs w:val="18"/>
          <w:lang w:val="pt-BR"/>
        </w:rPr>
        <w:t xml:space="preserve">Os clientes que adquirirem a atualização dessa forma renunciam a qualquer direito de transferir essa licença fora do país onde a compra foi efetuada. </w:t>
      </w:r>
    </w:p>
    <w:p w:rsidR="00B73A46" w:rsidRPr="00416070" w:rsidRDefault="00B73A46" w:rsidP="00B24C9D">
      <w:pPr>
        <w:pStyle w:val="EndnoteText"/>
        <w:ind w:left="360"/>
        <w:rPr>
          <w:rFonts w:ascii="Tahoma" w:hAnsi="Tahoma" w:cs="Tahoma"/>
          <w:sz w:val="18"/>
          <w:szCs w:val="18"/>
        </w:rPr>
      </w:pPr>
    </w:p>
    <w:p w:rsidR="00B73A46" w:rsidRPr="006301EB" w:rsidRDefault="00B73A46" w:rsidP="00B24C9D">
      <w:pPr>
        <w:pStyle w:val="FootnoteBulletLevel1"/>
        <w:tabs>
          <w:tab w:val="clear" w:pos="900"/>
        </w:tabs>
        <w:spacing w:before="0" w:after="0"/>
        <w:ind w:left="720" w:firstLine="0"/>
        <w:rPr>
          <w:lang w:val="pt-BR"/>
        </w:rPr>
      </w:pPr>
      <w:r w:rsidRPr="006301EB">
        <w:rPr>
          <w:rFonts w:ascii="Tahoma" w:hAnsi="Tahoma" w:cs="Tahoma"/>
          <w:sz w:val="18"/>
          <w:szCs w:val="18"/>
          <w:lang w:val="pt-BR"/>
        </w:rPr>
        <w:t>Qualquer sistema operacional não listado acima não é um SO qualificado; por exemplo:</w:t>
      </w:r>
    </w:p>
    <w:p w:rsidR="00B24C9D" w:rsidRPr="006301EB" w:rsidRDefault="00B24C9D" w:rsidP="00B24C9D">
      <w:pPr>
        <w:pStyle w:val="FootnoteBulletLevel1"/>
        <w:tabs>
          <w:tab w:val="clear" w:pos="900"/>
        </w:tabs>
        <w:spacing w:before="0" w:after="0"/>
        <w:ind w:left="720" w:firstLine="0"/>
        <w:rPr>
          <w:rFonts w:ascii="Tahoma" w:hAnsi="Tahoma" w:cs="Tahoma"/>
          <w:sz w:val="18"/>
          <w:szCs w:val="18"/>
          <w:lang w:val="pt-BR"/>
        </w:rPr>
      </w:pPr>
    </w:p>
    <w:p w:rsidR="00B73A46" w:rsidRPr="006301EB" w:rsidRDefault="00B73A46" w:rsidP="009D57D2">
      <w:pPr>
        <w:pStyle w:val="FootnoteBulletLevel2"/>
        <w:numPr>
          <w:ilvl w:val="0"/>
          <w:numId w:val="43"/>
        </w:numPr>
        <w:adjustRightInd/>
        <w:spacing w:before="0" w:after="60"/>
        <w:ind w:left="1440"/>
        <w:textAlignment w:val="auto"/>
        <w:rPr>
          <w:lang w:val="pt-BR"/>
        </w:rPr>
      </w:pPr>
      <w:r w:rsidRPr="006301EB">
        <w:rPr>
          <w:rFonts w:ascii="Tahoma" w:hAnsi="Tahoma" w:cs="Tahoma"/>
          <w:sz w:val="18"/>
          <w:szCs w:val="18"/>
          <w:lang w:val="pt-BR"/>
        </w:rPr>
        <w:t>Sistemas Incorporados (por exemplo, Windows 9.x incorporado, Windows XP incorporado) não</w:t>
      </w:r>
      <w:r w:rsidR="009D57D2" w:rsidRPr="006301EB">
        <w:rPr>
          <w:rFonts w:ascii="Tahoma" w:hAnsi="Tahoma" w:cs="Tahoma"/>
          <w:sz w:val="18"/>
          <w:szCs w:val="18"/>
          <w:lang w:val="pt-BR"/>
        </w:rPr>
        <w:t> </w:t>
      </w:r>
      <w:r w:rsidRPr="006301EB">
        <w:rPr>
          <w:rFonts w:ascii="Tahoma" w:hAnsi="Tahoma" w:cs="Tahoma"/>
          <w:sz w:val="18"/>
          <w:szCs w:val="18"/>
          <w:lang w:val="pt-BR"/>
        </w:rPr>
        <w:t>estão qualificados para as Atualizações para Windows 8 Pro.</w:t>
      </w:r>
    </w:p>
    <w:p w:rsidR="00B73A46" w:rsidRPr="006301EB" w:rsidRDefault="00B73A46" w:rsidP="00B24C9D">
      <w:pPr>
        <w:pStyle w:val="FootnoteBulletLevel2"/>
        <w:numPr>
          <w:ilvl w:val="0"/>
          <w:numId w:val="43"/>
        </w:numPr>
        <w:adjustRightInd/>
        <w:spacing w:before="0" w:after="60"/>
        <w:ind w:left="1440"/>
        <w:textAlignment w:val="auto"/>
        <w:rPr>
          <w:lang w:val="pt-BR"/>
        </w:rPr>
      </w:pPr>
      <w:r w:rsidRPr="006301EB">
        <w:rPr>
          <w:rFonts w:ascii="Tahoma" w:hAnsi="Tahoma" w:cs="Tahoma"/>
          <w:sz w:val="18"/>
          <w:szCs w:val="18"/>
          <w:lang w:val="pt-BR"/>
        </w:rPr>
        <w:t>Linux ou OS/2 não estão qualificados para as Atualizações para Windows 8 Pro.</w:t>
      </w:r>
    </w:p>
    <w:p w:rsidR="00B73A46" w:rsidRPr="006301EB" w:rsidRDefault="00B73A46" w:rsidP="00B24C9D">
      <w:pPr>
        <w:pStyle w:val="FootnoteBulletLevel2"/>
        <w:numPr>
          <w:ilvl w:val="0"/>
          <w:numId w:val="43"/>
        </w:numPr>
        <w:adjustRightInd/>
        <w:spacing w:before="0" w:after="60"/>
        <w:ind w:left="1440"/>
        <w:textAlignment w:val="auto"/>
        <w:rPr>
          <w:lang w:val="pt-BR"/>
        </w:rPr>
      </w:pPr>
      <w:r w:rsidRPr="006301EB">
        <w:rPr>
          <w:rFonts w:ascii="Tahoma" w:hAnsi="Tahoma" w:cs="Tahoma"/>
          <w:sz w:val="18"/>
          <w:szCs w:val="18"/>
          <w:lang w:val="pt-BR"/>
        </w:rPr>
        <w:t>A Licença de Acesso para Cliente do Windows Terminal Services não está qualificada para as Atualizações para Windows 8 Pro.</w:t>
      </w:r>
    </w:p>
    <w:p w:rsidR="00B24C9D" w:rsidRPr="006301EB"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pt-BR"/>
        </w:rPr>
      </w:pPr>
    </w:p>
    <w:p w:rsidR="00B24C9D" w:rsidRPr="006301EB" w:rsidRDefault="00B73A46" w:rsidP="00B24C9D">
      <w:pPr>
        <w:pStyle w:val="FootnoteBulletLevel2"/>
        <w:tabs>
          <w:tab w:val="clear" w:pos="1260"/>
        </w:tabs>
        <w:spacing w:before="0"/>
        <w:ind w:left="720" w:firstLine="0"/>
        <w:rPr>
          <w:lang w:val="pt-BR"/>
        </w:rPr>
      </w:pPr>
      <w:r w:rsidRPr="006301EB">
        <w:rPr>
          <w:rFonts w:ascii="Tahoma" w:hAnsi="Tahoma" w:cs="Tahoma"/>
          <w:sz w:val="18"/>
          <w:szCs w:val="18"/>
          <w:lang w:val="pt-BR"/>
        </w:rPr>
        <w:t>Os requisitos a seguir se aplicam à restauração ao estado anterior do Windows:</w:t>
      </w:r>
    </w:p>
    <w:p w:rsidR="00B73A46" w:rsidRPr="006301EB" w:rsidRDefault="00B73A46" w:rsidP="00B24C9D">
      <w:pPr>
        <w:pStyle w:val="FootnoteBulletLevel2"/>
        <w:tabs>
          <w:tab w:val="clear" w:pos="1260"/>
        </w:tabs>
        <w:spacing w:before="0"/>
        <w:ind w:left="720" w:firstLine="0"/>
        <w:rPr>
          <w:rFonts w:ascii="Tahoma" w:hAnsi="Tahoma" w:cs="Tahoma"/>
          <w:sz w:val="18"/>
          <w:szCs w:val="18"/>
          <w:lang w:val="pt-BR"/>
        </w:rPr>
      </w:pPr>
    </w:p>
    <w:p w:rsidR="00B73A46" w:rsidRPr="006301EB" w:rsidRDefault="00B73A46" w:rsidP="00B24C9D">
      <w:pPr>
        <w:pStyle w:val="FootnoteBulletLevel2"/>
        <w:tabs>
          <w:tab w:val="clear" w:pos="1260"/>
        </w:tabs>
        <w:spacing w:before="0"/>
        <w:ind w:left="720" w:firstLine="0"/>
        <w:rPr>
          <w:lang w:val="pt-BR"/>
        </w:rPr>
      </w:pPr>
      <w:r w:rsidRPr="006301EB">
        <w:rPr>
          <w:rFonts w:ascii="Tahoma" w:hAnsi="Tahoma" w:cs="Tahoma"/>
          <w:sz w:val="18"/>
          <w:szCs w:val="18"/>
          <w:lang w:val="pt-BR"/>
        </w:rPr>
        <w:t>Se um terceiro for restaurar o Windows ao estado anterior nos PCs do cliente, o cliente deverá fornecer antes (a) o formulário preenchido de “Verificação da Licença de Cliente da Microsoft para Atualização dos Serviços de Instalação do Software do Sistema Operacional Microsoft Windows por Terceiros” ou (b) cópias do formulário de assinatura do Contrato de Licenciamento por Volume da Microsoft aplicável ao software de</w:t>
      </w:r>
      <w:r w:rsidR="00F435F1" w:rsidRPr="006301EB">
        <w:rPr>
          <w:rFonts w:ascii="Tahoma" w:hAnsi="Tahoma" w:cs="Tahoma"/>
          <w:sz w:val="18"/>
          <w:szCs w:val="18"/>
          <w:lang w:val="pt-BR"/>
        </w:rPr>
        <w:t> </w:t>
      </w:r>
      <w:r w:rsidRPr="006301EB">
        <w:rPr>
          <w:rFonts w:ascii="Tahoma" w:hAnsi="Tahoma" w:cs="Tahoma"/>
          <w:sz w:val="18"/>
          <w:szCs w:val="18"/>
          <w:lang w:val="pt-BR"/>
        </w:rPr>
        <w:t>atualização do sistema operacional Microsoft em instalação.</w:t>
      </w:r>
      <w:r w:rsidR="00FB5496" w:rsidRPr="006301EB">
        <w:rPr>
          <w:rFonts w:ascii="Tahoma" w:hAnsi="Tahoma" w:cs="Tahoma"/>
          <w:sz w:val="18"/>
          <w:szCs w:val="18"/>
          <w:lang w:val="pt-BR"/>
        </w:rPr>
        <w:t xml:space="preserve"> </w:t>
      </w:r>
      <w:r w:rsidRPr="006301EB">
        <w:rPr>
          <w:rFonts w:ascii="Tahoma" w:hAnsi="Tahoma" w:cs="Tahoma"/>
          <w:sz w:val="18"/>
          <w:szCs w:val="18"/>
          <w:lang w:val="pt-BR"/>
        </w:rPr>
        <w:t>O formulário de “Verificação da Licença da Microsoft para Restauração ao Estado Anterior/Instalação de Software do Sistema Operacional Microsoft por</w:t>
      </w:r>
      <w:r w:rsidR="00F435F1" w:rsidRPr="006301EB">
        <w:rPr>
          <w:rFonts w:ascii="Tahoma" w:hAnsi="Tahoma" w:cs="Tahoma"/>
          <w:sz w:val="18"/>
          <w:szCs w:val="18"/>
          <w:lang w:val="pt-BR"/>
        </w:rPr>
        <w:t> </w:t>
      </w:r>
      <w:r w:rsidRPr="006301EB">
        <w:rPr>
          <w:rFonts w:ascii="Tahoma" w:hAnsi="Tahoma" w:cs="Tahoma"/>
          <w:sz w:val="18"/>
          <w:szCs w:val="18"/>
          <w:lang w:val="pt-BR"/>
        </w:rPr>
        <w:t xml:space="preserve">Terceiros” está disponível no site </w:t>
      </w:r>
      <w:hyperlink r:id="rId48" w:history="1">
        <w:r w:rsidRPr="006301EB">
          <w:rPr>
            <w:rStyle w:val="Hyperlink"/>
            <w:rFonts w:ascii="Tahoma" w:hAnsi="Tahoma" w:cs="Tahoma"/>
            <w:color w:val="auto"/>
            <w:sz w:val="18"/>
            <w:szCs w:val="18"/>
            <w:u w:val="none"/>
            <w:lang w:val="pt-BR"/>
          </w:rPr>
          <w:t>www.microsoft.com/licensing/contracts</w:t>
        </w:r>
      </w:hyperlink>
      <w:r w:rsidRPr="006301EB">
        <w:rPr>
          <w:rFonts w:ascii="Tahoma" w:hAnsi="Tahoma" w:cs="Tahoma"/>
          <w:sz w:val="18"/>
          <w:szCs w:val="18"/>
          <w:lang w:val="pt-BR"/>
        </w:rPr>
        <w:t>.</w:t>
      </w:r>
    </w:p>
    <w:p w:rsidR="00B24C9D" w:rsidRPr="006301EB"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pt-BR"/>
        </w:rPr>
      </w:pPr>
    </w:p>
    <w:p w:rsidR="00B73A46" w:rsidRPr="006301EB" w:rsidRDefault="005D46BA" w:rsidP="00B24C9D">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Windows Intune (Por Dispositivo)</w:t>
      </w:r>
    </w:p>
    <w:p w:rsidR="00B24C9D" w:rsidRPr="006301EB" w:rsidRDefault="0071258F" w:rsidP="00B24C9D">
      <w:pPr>
        <w:ind w:left="720"/>
        <w:rPr>
          <w:lang w:val="pt-BR"/>
        </w:rPr>
      </w:pPr>
      <w:r w:rsidRPr="006301EB">
        <w:rPr>
          <w:rFonts w:cs="Tahoma"/>
          <w:szCs w:val="18"/>
          <w:lang w:val="pt-BR"/>
        </w:rPr>
        <w:t>O Windows Intune (Por Dispositivo) está disponível mediante licença de assinatura. Ele inclui direitos de atualização e uso do sistema operacional Windows Desktop.</w:t>
      </w:r>
      <w:r w:rsidR="00FB5496" w:rsidRPr="006301EB">
        <w:rPr>
          <w:rFonts w:cs="Tahoma"/>
          <w:szCs w:val="18"/>
          <w:lang w:val="pt-BR"/>
        </w:rPr>
        <w:t xml:space="preserve"> </w:t>
      </w:r>
      <w:r w:rsidRPr="006301EB">
        <w:rPr>
          <w:rFonts w:cs="Tahoma"/>
          <w:szCs w:val="18"/>
          <w:lang w:val="pt-BR"/>
        </w:rPr>
        <w:t>Portanto, com a Atualização para Windows Pro,</w:t>
      </w:r>
      <w:r w:rsidR="00B53674" w:rsidRPr="006301EB">
        <w:rPr>
          <w:rFonts w:cs="Tahoma"/>
          <w:szCs w:val="18"/>
          <w:lang w:val="pt-BR"/>
        </w:rPr>
        <w:t> </w:t>
      </w:r>
      <w:r w:rsidRPr="006301EB">
        <w:rPr>
          <w:rFonts w:cs="Tahoma"/>
          <w:szCs w:val="18"/>
          <w:lang w:val="pt-BR"/>
        </w:rPr>
        <w:t>cada desktop para o qual você adquirir e no qual executar o Windows Intune (Por Dispositivo) deverá estar licenciado para executar um dos sistemas operacionais qualificados aplicáveis identificados abaixo.</w:t>
      </w:r>
    </w:p>
    <w:p w:rsidR="00B73A46" w:rsidRPr="006301EB" w:rsidRDefault="00B73A46" w:rsidP="00B24C9D">
      <w:pPr>
        <w:ind w:left="720"/>
        <w:rPr>
          <w:lang w:val="pt-BR"/>
        </w:rPr>
      </w:pPr>
    </w:p>
    <w:p w:rsidR="00B73A46" w:rsidRPr="006301EB" w:rsidRDefault="00B73A46" w:rsidP="00B24C9D">
      <w:pPr>
        <w:ind w:left="720"/>
        <w:rPr>
          <w:lang w:val="pt-BR"/>
        </w:rPr>
      </w:pPr>
      <w:r w:rsidRPr="006301EB">
        <w:rPr>
          <w:rFonts w:cs="Tahoma"/>
          <w:szCs w:val="18"/>
          <w:lang w:val="pt-BR"/>
        </w:rPr>
        <w:t>As condições aplicáveis para aquisição da Licença de Atualização do Windows Pro, conforme descrito acima nas “Regras de SOs Qualificados” se aplicam na aquisição das licenças do Windows Intune (Por Dispositivo).</w:t>
      </w:r>
    </w:p>
    <w:p w:rsidR="00B24C9D" w:rsidRPr="006301EB" w:rsidRDefault="00B24C9D" w:rsidP="00B24C9D">
      <w:pPr>
        <w:ind w:left="720"/>
        <w:rPr>
          <w:lang w:val="pt-BR"/>
        </w:rPr>
      </w:pPr>
    </w:p>
    <w:p w:rsidR="00B24C9D" w:rsidRPr="006301EB" w:rsidRDefault="0085061F" w:rsidP="00B24C9D">
      <w:pPr>
        <w:keepNext/>
        <w:ind w:left="720"/>
        <w:rPr>
          <w:lang w:val="pt-BR"/>
        </w:rPr>
      </w:pPr>
      <w:r w:rsidRPr="006301EB">
        <w:rPr>
          <w:rFonts w:eastAsia="Calibri" w:cs="Tahoma"/>
          <w:szCs w:val="18"/>
          <w:lang w:val="pt-BR"/>
        </w:rPr>
        <w:t>Para Windows Intune (Por Dispositivo) adquirido como um Serviço Online Enterprise para atender aos requisitos do Produto Enterprise: Consulte a coluna “Novo EA/OV-TE” na tabela acima para licenças adquiridas na assinatura e a Coluna “EA/OV-TE existente” na tabela abaixo para licenças adquiridas em qualquer outro período ou realocadas conforme permitido na seção “Realocação de Licença” apresentada abaixo.</w:t>
      </w:r>
    </w:p>
    <w:p w:rsidR="0085061F" w:rsidRPr="006301EB" w:rsidRDefault="0085061F" w:rsidP="00B24C9D">
      <w:pPr>
        <w:keepNext/>
        <w:ind w:left="720"/>
        <w:rPr>
          <w:lang w:val="pt-BR"/>
        </w:rPr>
      </w:pPr>
    </w:p>
    <w:p w:rsidR="0053437B" w:rsidRPr="006301EB" w:rsidRDefault="0053437B" w:rsidP="00B24C9D">
      <w:pPr>
        <w:ind w:left="720"/>
        <w:rPr>
          <w:lang w:val="pt-BR"/>
        </w:rPr>
      </w:pPr>
      <w:r w:rsidRPr="006301EB">
        <w:rPr>
          <w:rFonts w:eastAsia="Calibri" w:cs="Tahoma"/>
          <w:szCs w:val="18"/>
          <w:lang w:val="pt-BR"/>
        </w:rPr>
        <w:t>Como exceção da regra acima, para o Windows Intune (Por Dispositivo) adquirido como um Serviço Online Enterprise, mas não para atender aos requisitos do Produto Enterprise: Consulte a coluna “Novo EA/OV-CW” na tabela acima para novas licenças.</w:t>
      </w:r>
    </w:p>
    <w:p w:rsidR="00B24C9D" w:rsidRPr="006301EB" w:rsidRDefault="00B24C9D" w:rsidP="00B24C9D">
      <w:pPr>
        <w:ind w:left="720"/>
        <w:rPr>
          <w:lang w:val="pt-BR"/>
        </w:rPr>
      </w:pPr>
    </w:p>
    <w:p w:rsidR="00B73A46" w:rsidRPr="006301EB" w:rsidRDefault="00B73A46" w:rsidP="00B24C9D">
      <w:pPr>
        <w:pStyle w:val="FootnoteBulletLevel2"/>
        <w:spacing w:before="0"/>
        <w:ind w:left="720" w:firstLine="0"/>
        <w:rPr>
          <w:lang w:val="pt-BR"/>
        </w:rPr>
      </w:pPr>
      <w:r w:rsidRPr="006301EB">
        <w:rPr>
          <w:rFonts w:ascii="Tahoma" w:hAnsi="Tahoma" w:cs="Tahoma"/>
          <w:sz w:val="18"/>
          <w:szCs w:val="18"/>
          <w:lang w:val="pt-BR"/>
        </w:rPr>
        <w:t>Os clientes que tiverem assinaturas do Windows Intune (Por Dispositivo) ativas não precisarão desinstalar o</w:t>
      </w:r>
      <w:r w:rsidR="00B53674" w:rsidRPr="006301EB">
        <w:rPr>
          <w:rFonts w:ascii="Tahoma" w:hAnsi="Tahoma" w:cs="Tahoma"/>
          <w:sz w:val="18"/>
          <w:szCs w:val="18"/>
          <w:lang w:val="pt-BR"/>
        </w:rPr>
        <w:t> </w:t>
      </w:r>
      <w:r w:rsidRPr="006301EB">
        <w:rPr>
          <w:rFonts w:ascii="Tahoma" w:hAnsi="Tahoma" w:cs="Tahoma"/>
          <w:sz w:val="18"/>
          <w:szCs w:val="18"/>
          <w:lang w:val="pt-BR"/>
        </w:rPr>
        <w:t>SO qualificado do dispositivo licenciado e poderão instalar e executar o SO qualificado e o sistema operacional Windows Desktop simultaneamente</w:t>
      </w:r>
      <w:r w:rsidR="009D57D2" w:rsidRPr="006301EB">
        <w:rPr>
          <w:rFonts w:ascii="Tahoma" w:hAnsi="Tahoma" w:cs="Tahoma"/>
          <w:sz w:val="18"/>
          <w:szCs w:val="18"/>
          <w:lang w:val="pt-BR"/>
        </w:rPr>
        <w:t>.</w:t>
      </w:r>
    </w:p>
    <w:p w:rsidR="00B73A46" w:rsidRPr="006301EB" w:rsidRDefault="00B73A46" w:rsidP="00B24C9D">
      <w:pPr>
        <w:pStyle w:val="FootnoteBulletLevel1"/>
        <w:spacing w:before="0" w:after="0"/>
        <w:ind w:left="720" w:firstLine="0"/>
        <w:rPr>
          <w:rFonts w:ascii="Tahoma" w:hAnsi="Tahoma" w:cs="Tahoma"/>
          <w:sz w:val="18"/>
          <w:szCs w:val="18"/>
          <w:lang w:val="pt-BR"/>
        </w:rPr>
      </w:pPr>
    </w:p>
    <w:p w:rsidR="00B24C9D" w:rsidRPr="006301EB" w:rsidRDefault="00B24C9D" w:rsidP="00B24C9D">
      <w:pPr>
        <w:tabs>
          <w:tab w:val="left" w:pos="900"/>
        </w:tabs>
        <w:ind w:left="720"/>
        <w:rPr>
          <w:lang w:val="pt-BR"/>
        </w:rPr>
      </w:pPr>
      <w:r w:rsidRPr="006301EB">
        <w:rPr>
          <w:rFonts w:cs="Tahoma"/>
          <w:szCs w:val="18"/>
          <w:u w:val="single"/>
          <w:lang w:val="pt-BR"/>
        </w:rPr>
        <w:t>Cessão da Licença</w:t>
      </w:r>
    </w:p>
    <w:p w:rsidR="00B73A46" w:rsidRPr="006301EB" w:rsidRDefault="00B73A46" w:rsidP="00B24C9D">
      <w:pPr>
        <w:tabs>
          <w:tab w:val="left" w:pos="900"/>
        </w:tabs>
        <w:ind w:left="720"/>
        <w:rPr>
          <w:lang w:val="pt-BR"/>
        </w:rPr>
      </w:pPr>
      <w:r w:rsidRPr="006301EB">
        <w:rPr>
          <w:rFonts w:cs="Tahoma"/>
          <w:szCs w:val="18"/>
          <w:lang w:val="pt-BR"/>
        </w:rPr>
        <w:t>Os clientes devem ceder a licença de assinatura do Windows Intune (Por Dispositivo) ao dispositivo no qual está instalado o s</w:t>
      </w:r>
      <w:r w:rsidR="009D57D2" w:rsidRPr="006301EB">
        <w:rPr>
          <w:rFonts w:cs="Tahoma"/>
          <w:szCs w:val="18"/>
          <w:lang w:val="pt-BR"/>
        </w:rPr>
        <w:t>istema operacional qualificado.</w:t>
      </w:r>
    </w:p>
    <w:p w:rsidR="00B73A46" w:rsidRPr="006301EB" w:rsidRDefault="00B73A46" w:rsidP="00B24C9D">
      <w:pPr>
        <w:pStyle w:val="FootnoteBulletLevel2"/>
        <w:spacing w:before="0"/>
        <w:ind w:left="907" w:firstLine="0"/>
        <w:rPr>
          <w:rFonts w:ascii="Tahoma" w:hAnsi="Tahoma" w:cs="Tahoma"/>
          <w:sz w:val="18"/>
          <w:szCs w:val="18"/>
          <w:lang w:val="pt-BR"/>
        </w:rPr>
      </w:pPr>
    </w:p>
    <w:p w:rsidR="00B53674" w:rsidRPr="006301EB" w:rsidRDefault="00B53674" w:rsidP="00B24C9D">
      <w:pPr>
        <w:pStyle w:val="FootnoteBulletLevel2"/>
        <w:spacing w:before="0"/>
        <w:ind w:left="907" w:firstLine="0"/>
        <w:rPr>
          <w:rFonts w:ascii="Tahoma" w:hAnsi="Tahoma" w:cs="Tahoma"/>
          <w:sz w:val="18"/>
          <w:szCs w:val="18"/>
          <w:lang w:val="pt-BR"/>
        </w:rPr>
      </w:pPr>
    </w:p>
    <w:p w:rsidR="00B53674" w:rsidRPr="006301EB" w:rsidRDefault="00B53674" w:rsidP="00B24C9D">
      <w:pPr>
        <w:pStyle w:val="FootnoteBulletLevel2"/>
        <w:spacing w:before="0"/>
        <w:ind w:left="907" w:firstLine="0"/>
        <w:rPr>
          <w:rFonts w:ascii="Tahoma" w:hAnsi="Tahoma" w:cs="Tahoma"/>
          <w:sz w:val="18"/>
          <w:szCs w:val="18"/>
          <w:lang w:val="pt-BR"/>
        </w:rPr>
      </w:pPr>
    </w:p>
    <w:p w:rsidR="00B73A46" w:rsidRPr="006301EB" w:rsidRDefault="00B73A46" w:rsidP="00B24C9D">
      <w:pPr>
        <w:pStyle w:val="FootnoteBulletLevel1"/>
        <w:tabs>
          <w:tab w:val="clear" w:pos="900"/>
        </w:tabs>
        <w:spacing w:before="0" w:after="60"/>
        <w:ind w:left="720" w:firstLine="0"/>
        <w:rPr>
          <w:lang w:val="pt-BR"/>
        </w:rPr>
      </w:pPr>
      <w:r w:rsidRPr="006301EB">
        <w:rPr>
          <w:rFonts w:ascii="Tahoma" w:hAnsi="Tahoma" w:cs="Tahoma"/>
          <w:b/>
          <w:sz w:val="18"/>
          <w:szCs w:val="18"/>
          <w:lang w:val="pt-BR"/>
        </w:rPr>
        <w:lastRenderedPageBreak/>
        <w:t>Realocação da Licença</w:t>
      </w:r>
      <w:r w:rsidRPr="006301EB">
        <w:rPr>
          <w:rFonts w:ascii="Tahoma" w:hAnsi="Tahoma" w:cs="Tahoma"/>
          <w:b/>
          <w:bCs/>
          <w:sz w:val="18"/>
          <w:szCs w:val="18"/>
          <w:lang w:val="pt-BR"/>
        </w:rPr>
        <w:t xml:space="preserve"> para Windows Intune (Por Dispositivo)</w:t>
      </w:r>
    </w:p>
    <w:p w:rsidR="00B73A46" w:rsidRPr="009D57D2" w:rsidRDefault="00B73A46" w:rsidP="00B24C9D">
      <w:pPr>
        <w:pStyle w:val="BodyText"/>
        <w:spacing w:before="0" w:after="0" w:line="240" w:lineRule="auto"/>
        <w:ind w:left="720"/>
        <w:rPr>
          <w:rFonts w:ascii="Tahoma" w:hAnsi="Tahoma" w:cs="Tahoma"/>
          <w:sz w:val="18"/>
          <w:szCs w:val="18"/>
        </w:rPr>
      </w:pPr>
      <w:r w:rsidRPr="009D57D2">
        <w:rPr>
          <w:rFonts w:ascii="Tahoma" w:hAnsi="Tahoma" w:cs="Tahoma"/>
          <w:color w:val="auto"/>
          <w:sz w:val="18"/>
          <w:szCs w:val="18"/>
        </w:rPr>
        <w:t>Os clientes poderão ceder licenças do Complemento do Windows Intune (Por Dispositivo), mas não a curto</w:t>
      </w:r>
      <w:r w:rsidR="00B53674" w:rsidRPr="006301EB">
        <w:rPr>
          <w:rFonts w:ascii="Tahoma" w:hAnsi="Tahoma" w:cs="Tahoma"/>
          <w:color w:val="auto"/>
          <w:sz w:val="18"/>
          <w:szCs w:val="18"/>
          <w:lang w:val="pt-BR"/>
        </w:rPr>
        <w:t> </w:t>
      </w:r>
      <w:r w:rsidRPr="009D57D2">
        <w:rPr>
          <w:rFonts w:ascii="Tahoma" w:hAnsi="Tahoma" w:cs="Tahoma"/>
          <w:color w:val="auto"/>
          <w:sz w:val="18"/>
          <w:szCs w:val="18"/>
        </w:rPr>
        <w:t>prazo (ou seja, não antes de 90 dias depois da última cessão).</w:t>
      </w:r>
      <w:r w:rsidR="00FB5496" w:rsidRPr="009D57D2">
        <w:rPr>
          <w:rFonts w:ascii="Tahoma" w:hAnsi="Tahoma" w:cs="Tahoma"/>
          <w:color w:val="auto"/>
          <w:sz w:val="18"/>
          <w:szCs w:val="18"/>
        </w:rPr>
        <w:t xml:space="preserve"> </w:t>
      </w:r>
      <w:r w:rsidRPr="009D57D2">
        <w:rPr>
          <w:rFonts w:ascii="Tahoma" w:hAnsi="Tahoma" w:cs="Tahoma"/>
          <w:color w:val="auto"/>
          <w:sz w:val="18"/>
          <w:szCs w:val="18"/>
        </w:rPr>
        <w:t>Eles poderão realocar uma licença do</w:t>
      </w:r>
      <w:r w:rsidR="00B53674" w:rsidRPr="006301EB">
        <w:rPr>
          <w:rFonts w:ascii="Tahoma" w:hAnsi="Tahoma" w:cs="Tahoma"/>
          <w:color w:val="auto"/>
          <w:sz w:val="18"/>
          <w:szCs w:val="18"/>
          <w:lang w:val="pt-BR"/>
        </w:rPr>
        <w:t> </w:t>
      </w:r>
      <w:r w:rsidRPr="009D57D2">
        <w:rPr>
          <w:rFonts w:ascii="Tahoma" w:hAnsi="Tahoma" w:cs="Tahoma"/>
          <w:color w:val="auto"/>
          <w:sz w:val="18"/>
          <w:szCs w:val="18"/>
        </w:rPr>
        <w:t>Windows Intune (Por Dispositivo) mais cedo se desativarem o dispositivo licenciado existente em decorrência de uma falha de hardware permanente.</w:t>
      </w:r>
      <w:r w:rsidR="00FB5496" w:rsidRPr="009D57D2">
        <w:rPr>
          <w:rFonts w:ascii="Tahoma" w:hAnsi="Tahoma" w:cs="Tahoma"/>
          <w:color w:val="auto"/>
          <w:sz w:val="18"/>
          <w:szCs w:val="18"/>
        </w:rPr>
        <w:t xml:space="preserve"> </w:t>
      </w:r>
      <w:r w:rsidRPr="009D57D2">
        <w:rPr>
          <w:rFonts w:ascii="Tahoma" w:hAnsi="Tahoma" w:cs="Tahoma"/>
          <w:color w:val="auto"/>
          <w:sz w:val="18"/>
          <w:szCs w:val="18"/>
        </w:rPr>
        <w:t>A licença para a qual o Windows Intune (Por Dispositivo) for transferido deverá atender aos requisitos de sistema operacional qualificado descritos acima.</w:t>
      </w:r>
      <w:r w:rsidR="00B53674" w:rsidRPr="006301EB">
        <w:rPr>
          <w:rFonts w:ascii="Tahoma" w:hAnsi="Tahoma" w:cs="Tahoma"/>
          <w:color w:val="auto"/>
          <w:sz w:val="18"/>
          <w:szCs w:val="18"/>
          <w:lang w:val="pt-BR"/>
        </w:rPr>
        <w:t> </w:t>
      </w:r>
      <w:r w:rsidRPr="009D57D2">
        <w:rPr>
          <w:rFonts w:ascii="Tahoma" w:hAnsi="Tahoma" w:cs="Tahoma"/>
          <w:color w:val="auto"/>
          <w:sz w:val="18"/>
          <w:szCs w:val="18"/>
        </w:rPr>
        <w:t>O software deverá ser removido e o uso ou acesso ao serviço Windows Intune (Por Dispositivo) descontinuado a partir do dispositivo do qual a licença foi transferida.</w:t>
      </w:r>
    </w:p>
    <w:p w:rsidR="00B24C9D" w:rsidRPr="00416070" w:rsidRDefault="00B24C9D" w:rsidP="00B24C9D">
      <w:pPr>
        <w:pStyle w:val="BodyText"/>
        <w:spacing w:before="0" w:after="0" w:line="240" w:lineRule="auto"/>
        <w:ind w:left="720"/>
        <w:rPr>
          <w:rFonts w:ascii="Tahoma" w:hAnsi="Tahoma" w:cs="Tahoma"/>
          <w:sz w:val="18"/>
          <w:szCs w:val="18"/>
        </w:rPr>
      </w:pPr>
    </w:p>
    <w:p w:rsidR="00B73A46" w:rsidRPr="006301EB" w:rsidRDefault="00B73A46" w:rsidP="00B24C9D">
      <w:pPr>
        <w:autoSpaceDN w:val="0"/>
        <w:ind w:left="720"/>
        <w:rPr>
          <w:lang w:val="pt-BR"/>
        </w:rPr>
      </w:pPr>
      <w:r w:rsidRPr="006301EB">
        <w:rPr>
          <w:rFonts w:cs="Tahoma"/>
          <w:szCs w:val="18"/>
          <w:lang w:val="pt-BR"/>
        </w:rPr>
        <w:t>Como exceção aos requisitos do SO qualificado para Windows Intune (Por Dispositivo) licenciado como Serviços Online Enterprise para atender aos requisitos do Produto En</w:t>
      </w:r>
      <w:r w:rsidRPr="006301EB">
        <w:rPr>
          <w:lang w:val="pt-BR"/>
        </w:rPr>
        <w:t xml:space="preserve">terprise, </w:t>
      </w:r>
      <w:r w:rsidRPr="006301EB">
        <w:rPr>
          <w:rFonts w:cs="Tahoma"/>
          <w:szCs w:val="18"/>
          <w:lang w:val="pt-BR"/>
        </w:rPr>
        <w:t>os clientes</w:t>
      </w:r>
      <w:r w:rsidRPr="006301EB">
        <w:rPr>
          <w:rFonts w:cs="Tahoma"/>
          <w:strike/>
          <w:szCs w:val="18"/>
          <w:lang w:val="pt-BR"/>
        </w:rPr>
        <w:t xml:space="preserve"> </w:t>
      </w:r>
      <w:r w:rsidRPr="006301EB">
        <w:rPr>
          <w:rFonts w:cs="Tahoma"/>
          <w:szCs w:val="18"/>
          <w:lang w:val="pt-BR"/>
        </w:rPr>
        <w:t xml:space="preserve">poderão realocar as licenças do Windows Intune (Por Dispositivo) para os dispositivos a seguir, contanto que eles estejam licenciados para um dos sistemas operacionais qualificados identificados na coluna “Novo EA/OV-TE” na tabela acima e que os sistemas operacionais qualificados estejam instalados neles: </w:t>
      </w:r>
    </w:p>
    <w:p w:rsidR="00B24C9D" w:rsidRPr="006301EB" w:rsidRDefault="00B24C9D" w:rsidP="00B24C9D">
      <w:pPr>
        <w:autoSpaceDN w:val="0"/>
        <w:ind w:left="720"/>
        <w:rPr>
          <w:lang w:val="pt-BR"/>
        </w:rPr>
      </w:pPr>
    </w:p>
    <w:p w:rsidR="00B73A46" w:rsidRPr="006301EB" w:rsidRDefault="00B73A46" w:rsidP="00B24C9D">
      <w:pPr>
        <w:numPr>
          <w:ilvl w:val="3"/>
          <w:numId w:val="30"/>
        </w:numPr>
        <w:autoSpaceDN w:val="0"/>
        <w:spacing w:after="60"/>
        <w:ind w:left="1440"/>
        <w:rPr>
          <w:lang w:val="pt-BR"/>
        </w:rPr>
      </w:pPr>
      <w:r w:rsidRPr="006301EB">
        <w:rPr>
          <w:rFonts w:cs="Tahoma"/>
          <w:szCs w:val="18"/>
          <w:lang w:val="pt-BR"/>
        </w:rPr>
        <w:t xml:space="preserve">dispositivos adquiridos em uma fusão ou aquisição e </w:t>
      </w:r>
    </w:p>
    <w:p w:rsidR="00DA7284" w:rsidRPr="006301EB" w:rsidRDefault="00B73A46" w:rsidP="00B24C9D">
      <w:pPr>
        <w:numPr>
          <w:ilvl w:val="3"/>
          <w:numId w:val="30"/>
        </w:numPr>
        <w:autoSpaceDN w:val="0"/>
        <w:spacing w:after="60"/>
        <w:ind w:left="1440"/>
        <w:rPr>
          <w:lang w:val="pt-BR"/>
        </w:rPr>
      </w:pPr>
      <w:r w:rsidRPr="006301EB">
        <w:rPr>
          <w:rFonts w:cs="Tahoma"/>
          <w:szCs w:val="18"/>
          <w:lang w:val="pt-BR"/>
        </w:rPr>
        <w:t>dispositivos pertencentes a terceiros e funcionários.</w:t>
      </w:r>
    </w:p>
    <w:p w:rsidR="00A84DF7" w:rsidRPr="006301EB" w:rsidRDefault="00A84DF7" w:rsidP="00A84DF7">
      <w:pPr>
        <w:autoSpaceDN w:val="0"/>
        <w:spacing w:after="60"/>
        <w:rPr>
          <w:lang w:val="pt-BR"/>
        </w:rPr>
      </w:pPr>
    </w:p>
    <w:p w:rsidR="00B73A46" w:rsidRPr="006301EB" w:rsidRDefault="00B73A46" w:rsidP="00A84DF7">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Software Assurance do Windows 8 Pro</w:t>
      </w:r>
      <w:r w:rsidR="00FB5496" w:rsidRPr="006301EB">
        <w:rPr>
          <w:rFonts w:ascii="Tahoma" w:hAnsi="Tahoma" w:cs="Tahoma"/>
          <w:b/>
          <w:bCs/>
          <w:i/>
          <w:iCs/>
          <w:sz w:val="18"/>
          <w:szCs w:val="18"/>
          <w:lang w:val="pt-BR"/>
        </w:rPr>
        <w:t xml:space="preserve"> </w:t>
      </w:r>
    </w:p>
    <w:p w:rsidR="00B73A46" w:rsidRPr="006301EB" w:rsidRDefault="00B73A46" w:rsidP="00A84DF7">
      <w:pPr>
        <w:pStyle w:val="FootnoteBulletLevel1"/>
        <w:spacing w:before="0" w:after="0"/>
        <w:ind w:left="720" w:firstLine="0"/>
        <w:rPr>
          <w:lang w:val="pt-BR"/>
        </w:rPr>
      </w:pPr>
      <w:r w:rsidRPr="006301EB">
        <w:rPr>
          <w:rFonts w:ascii="Tahoma" w:hAnsi="Tahoma" w:cs="Tahoma"/>
          <w:sz w:val="18"/>
          <w:szCs w:val="18"/>
          <w:lang w:val="pt-BR"/>
        </w:rPr>
        <w:t>Os clientes que desejarem se registrar no Software Assurance do Windows 8 Pro têm as seguintes opções:</w:t>
      </w:r>
    </w:p>
    <w:p w:rsidR="00A84DF7" w:rsidRPr="006301EB" w:rsidRDefault="00A84DF7" w:rsidP="00A84DF7">
      <w:pPr>
        <w:pStyle w:val="FootnoteBulletLevel1"/>
        <w:spacing w:before="0" w:after="0"/>
        <w:ind w:left="720" w:firstLine="0"/>
        <w:rPr>
          <w:rFonts w:ascii="Tahoma" w:hAnsi="Tahoma" w:cs="Tahoma"/>
          <w:sz w:val="18"/>
          <w:szCs w:val="18"/>
          <w:lang w:val="pt-BR"/>
        </w:rPr>
      </w:pPr>
    </w:p>
    <w:p w:rsidR="00A84DF7" w:rsidRPr="006301EB" w:rsidRDefault="00B73A46" w:rsidP="00A84DF7">
      <w:pPr>
        <w:pStyle w:val="FootnoteBulletLevel1"/>
        <w:numPr>
          <w:ilvl w:val="0"/>
          <w:numId w:val="33"/>
        </w:numPr>
        <w:adjustRightInd/>
        <w:spacing w:before="0" w:after="60"/>
        <w:textAlignment w:val="auto"/>
        <w:rPr>
          <w:lang w:val="pt-BR"/>
        </w:rPr>
      </w:pPr>
      <w:r w:rsidRPr="006301EB">
        <w:rPr>
          <w:rFonts w:ascii="Tahoma" w:hAnsi="Tahoma" w:cs="Tahoma"/>
          <w:sz w:val="18"/>
          <w:szCs w:val="18"/>
          <w:lang w:val="pt-BR"/>
        </w:rPr>
        <w:t xml:space="preserve">Select. Programas Open Value (Não extensivo a toda a empresa) e Licença Open </w:t>
      </w:r>
    </w:p>
    <w:p w:rsidR="00B73A46" w:rsidRPr="00416070" w:rsidRDefault="00B73A46" w:rsidP="00737AED">
      <w:pPr>
        <w:numPr>
          <w:ilvl w:val="0"/>
          <w:numId w:val="34"/>
        </w:numPr>
        <w:spacing w:after="60"/>
        <w:ind w:left="1800"/>
      </w:pPr>
      <w:r w:rsidRPr="006301EB">
        <w:rPr>
          <w:rFonts w:cs="Tahoma"/>
          <w:szCs w:val="18"/>
          <w:bdr w:val="none" w:sz="0" w:space="0" w:color="auto" w:frame="1"/>
          <w:lang w:val="pt-BR"/>
        </w:rPr>
        <w:t xml:space="preserve">Adquirir a cobertura do Software Assurance para Windows 8 Pro ou Windows 7 Professional (32 bits ou 64 bits ou edições N, K ou KN) licenciada por meio de OEM, Varejo ou Contrato Get Genuine Windows (GGWA) (também chamado, em certos países, de “Get Genuine Solution”) dentro de 90 dias a partir da data de compra da licença de OEM, Varejo ou GGWA. </w:t>
      </w:r>
      <w:r w:rsidRPr="00416070">
        <w:rPr>
          <w:rFonts w:cs="Tahoma"/>
          <w:szCs w:val="18"/>
          <w:bdr w:val="none" w:sz="0" w:space="0" w:color="auto" w:frame="1"/>
        </w:rPr>
        <w:t>(Início de vigência: 1</w:t>
      </w:r>
      <w:r w:rsidRPr="00A5145A">
        <w:rPr>
          <w:rFonts w:cs="Tahoma"/>
          <w:szCs w:val="18"/>
          <w:bdr w:val="none" w:sz="0" w:space="0" w:color="auto" w:frame="1"/>
          <w:vertAlign w:val="superscript"/>
        </w:rPr>
        <w:t>º</w:t>
      </w:r>
      <w:r w:rsidRPr="00416070">
        <w:rPr>
          <w:rFonts w:cs="Tahoma"/>
          <w:szCs w:val="18"/>
          <w:bdr w:val="none" w:sz="0" w:space="0" w:color="auto" w:frame="1"/>
        </w:rPr>
        <w:t xml:space="preserve"> de setembro de 2009)</w:t>
      </w:r>
    </w:p>
    <w:p w:rsidR="00B73A46" w:rsidRPr="006301EB" w:rsidRDefault="00B73A46" w:rsidP="00737AED">
      <w:pPr>
        <w:pStyle w:val="Footnotedash"/>
        <w:numPr>
          <w:ilvl w:val="0"/>
          <w:numId w:val="34"/>
        </w:numPr>
        <w:adjustRightInd/>
        <w:spacing w:before="0"/>
        <w:ind w:left="1800"/>
        <w:textAlignment w:val="auto"/>
        <w:rPr>
          <w:lang w:val="pt-BR"/>
        </w:rPr>
      </w:pPr>
      <w:r w:rsidRPr="006301EB">
        <w:rPr>
          <w:rFonts w:ascii="Tahoma" w:hAnsi="Tahoma" w:cs="Tahoma"/>
          <w:sz w:val="18"/>
          <w:szCs w:val="18"/>
          <w:lang w:val="pt-BR"/>
        </w:rPr>
        <w:t>Renovar o Software Assurance para o sistema operacional de desktop ao término da cobertura do Software Assurance do Windows 8</w:t>
      </w:r>
      <w:r w:rsidR="009D57D2" w:rsidRPr="006301EB">
        <w:rPr>
          <w:rFonts w:ascii="Tahoma" w:hAnsi="Tahoma" w:cs="Tahoma"/>
          <w:sz w:val="18"/>
          <w:szCs w:val="18"/>
          <w:lang w:val="pt-BR"/>
        </w:rPr>
        <w:t xml:space="preserve"> Pro ou Windows 7 Professional.</w:t>
      </w:r>
    </w:p>
    <w:p w:rsidR="00B73A46" w:rsidRPr="00416070" w:rsidRDefault="00B73A46" w:rsidP="00A84DF7">
      <w:pPr>
        <w:pStyle w:val="Footnotedash"/>
        <w:spacing w:before="0" w:after="0"/>
        <w:ind w:left="720" w:firstLine="0"/>
      </w:pPr>
      <w:r w:rsidRPr="006301EB">
        <w:rPr>
          <w:rFonts w:ascii="Tahoma" w:hAnsi="Tahoma" w:cs="Tahoma"/>
          <w:sz w:val="18"/>
          <w:szCs w:val="18"/>
          <w:lang w:val="pt-BR"/>
        </w:rPr>
        <w:t xml:space="preserve">O período de tempo estabelecido acima poderá ser expandido para fins promocionais por tempo limitado. </w:t>
      </w:r>
      <w:r w:rsidRPr="00416070">
        <w:rPr>
          <w:rFonts w:ascii="Tahoma" w:hAnsi="Tahoma" w:cs="Tahoma"/>
          <w:sz w:val="18"/>
          <w:szCs w:val="18"/>
        </w:rPr>
        <w:t xml:space="preserve">Consulte a </w:t>
      </w:r>
      <w:hyperlink w:anchor="_SECTION_3_–" w:history="1">
        <w:r w:rsidRPr="00416070">
          <w:rPr>
            <w:rStyle w:val="Hyperlink"/>
            <w:rFonts w:ascii="Tahoma" w:hAnsi="Tahoma" w:cs="Tahoma"/>
            <w:color w:val="auto"/>
            <w:sz w:val="18"/>
            <w:szCs w:val="18"/>
            <w:u w:val="none"/>
          </w:rPr>
          <w:t>Seção 3</w:t>
        </w:r>
      </w:hyperlink>
      <w:r w:rsidRPr="00416070">
        <w:rPr>
          <w:rFonts w:ascii="Tahoma" w:hAnsi="Tahoma" w:cs="Tahoma"/>
          <w:sz w:val="18"/>
          <w:szCs w:val="18"/>
        </w:rPr>
        <w:t xml:space="preserve"> para obter detalhes.</w:t>
      </w:r>
    </w:p>
    <w:p w:rsidR="00A84DF7" w:rsidRPr="00416070" w:rsidRDefault="00A84DF7" w:rsidP="00A84DF7">
      <w:pPr>
        <w:pStyle w:val="Footnotedash"/>
        <w:spacing w:before="0" w:after="0"/>
        <w:ind w:left="720" w:firstLine="0"/>
        <w:rPr>
          <w:rFonts w:ascii="Tahoma" w:hAnsi="Tahoma" w:cs="Tahoma"/>
          <w:sz w:val="18"/>
          <w:szCs w:val="18"/>
        </w:rPr>
      </w:pPr>
    </w:p>
    <w:p w:rsidR="00B73A46" w:rsidRPr="006301EB" w:rsidRDefault="00B73A46" w:rsidP="00A84DF7">
      <w:pPr>
        <w:pStyle w:val="FootnoteBulletLevel2"/>
        <w:numPr>
          <w:ilvl w:val="0"/>
          <w:numId w:val="28"/>
        </w:numPr>
        <w:adjustRightInd/>
        <w:spacing w:before="0"/>
        <w:ind w:left="1440"/>
        <w:textAlignment w:val="auto"/>
        <w:rPr>
          <w:lang w:val="pt-BR"/>
        </w:rPr>
      </w:pPr>
      <w:r w:rsidRPr="006301EB">
        <w:rPr>
          <w:rFonts w:ascii="Tahoma" w:hAnsi="Tahoma" w:cs="Tahoma"/>
          <w:sz w:val="18"/>
          <w:szCs w:val="18"/>
          <w:lang w:val="pt-BR"/>
        </w:rPr>
        <w:t>Registros Enterprise: ao término de um Registro Enterprise existente que cubra o Sistema Operacional Windows Desktop, renovar a respectiva cobertura sob um novo Registro Enterprise para o Sistema Operacional Windows Desktop.</w:t>
      </w:r>
    </w:p>
    <w:p w:rsidR="00A84DF7" w:rsidRPr="006301EB" w:rsidRDefault="00A84DF7" w:rsidP="00A84DF7">
      <w:pPr>
        <w:pStyle w:val="FootnoteBulletLevel2"/>
        <w:tabs>
          <w:tab w:val="clear" w:pos="1260"/>
        </w:tabs>
        <w:adjustRightInd/>
        <w:spacing w:before="0"/>
        <w:ind w:left="0" w:firstLine="0"/>
        <w:textAlignment w:val="auto"/>
        <w:rPr>
          <w:rFonts w:ascii="Tahoma" w:hAnsi="Tahoma" w:cs="Tahoma"/>
          <w:sz w:val="18"/>
          <w:szCs w:val="18"/>
          <w:lang w:val="pt-BR"/>
        </w:rPr>
      </w:pPr>
    </w:p>
    <w:p w:rsidR="002F7FB8" w:rsidRPr="006301EB" w:rsidRDefault="002F7FB8" w:rsidP="00846611">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Software Assurance e Atualização do Windows 8 Pro</w:t>
      </w:r>
    </w:p>
    <w:p w:rsidR="002F7FB8" w:rsidRPr="006301EB" w:rsidRDefault="002F7FB8" w:rsidP="00846611">
      <w:pPr>
        <w:pStyle w:val="FootnoteBulletLevel1"/>
        <w:spacing w:before="0" w:after="0"/>
        <w:ind w:left="720" w:firstLine="0"/>
        <w:rPr>
          <w:lang w:val="pt-BR"/>
        </w:rPr>
      </w:pPr>
      <w:r w:rsidRPr="006301EB">
        <w:rPr>
          <w:rFonts w:ascii="Tahoma" w:hAnsi="Tahoma" w:cs="Tahoma"/>
          <w:sz w:val="18"/>
          <w:szCs w:val="18"/>
          <w:u w:val="single"/>
          <w:lang w:val="pt-BR"/>
        </w:rPr>
        <w:t>Licença de Atualização de Sistema Operacional (SO)</w:t>
      </w:r>
    </w:p>
    <w:p w:rsidR="002F7FB8" w:rsidRPr="006301EB" w:rsidRDefault="002F7FB8" w:rsidP="00846611">
      <w:pPr>
        <w:pStyle w:val="FootnoteBulletLevel2"/>
        <w:tabs>
          <w:tab w:val="clear" w:pos="1260"/>
        </w:tabs>
        <w:adjustRightInd/>
        <w:spacing w:before="0"/>
        <w:ind w:left="720" w:firstLine="0"/>
        <w:textAlignment w:val="auto"/>
        <w:rPr>
          <w:lang w:val="pt-BR"/>
        </w:rPr>
      </w:pPr>
      <w:r w:rsidRPr="006301EB">
        <w:rPr>
          <w:rFonts w:ascii="Tahoma" w:hAnsi="Tahoma" w:cs="Tahoma"/>
          <w:sz w:val="18"/>
          <w:szCs w:val="18"/>
          <w:lang w:val="pt-BR"/>
        </w:rPr>
        <w:t>As licenças de sistema operacional de desktop concedidas nestes programas são apenas licenças de atualização. Não há licenças integrais de sistema operacional de desktop disponíveis nestes programas. Portanto, o cliente deve ter licenciado e instalado em cada desktop para o qual ele adquirir e no qual executar a Atualização para Windows 8 Pro um dos sistemas operacionais qualificados aplicáveis identificados na tabela abaixo.</w:t>
      </w:r>
    </w:p>
    <w:p w:rsidR="00846611" w:rsidRPr="006301EB" w:rsidRDefault="00846611" w:rsidP="00846611">
      <w:pPr>
        <w:pStyle w:val="FootnoteBulletLevel2"/>
        <w:tabs>
          <w:tab w:val="clear" w:pos="1260"/>
        </w:tabs>
        <w:adjustRightInd/>
        <w:spacing w:before="0"/>
        <w:ind w:left="720" w:firstLine="0"/>
        <w:textAlignment w:val="auto"/>
        <w:rPr>
          <w:rFonts w:ascii="Tahoma" w:hAnsi="Tahoma" w:cs="Tahoma"/>
          <w:sz w:val="18"/>
          <w:szCs w:val="18"/>
          <w:lang w:val="pt-BR"/>
        </w:rPr>
      </w:pPr>
    </w:p>
    <w:p w:rsidR="002F7FB8" w:rsidRPr="006301EB" w:rsidRDefault="002F7FB8" w:rsidP="00846611">
      <w:pPr>
        <w:pStyle w:val="FootnoteBulletLevel2"/>
        <w:tabs>
          <w:tab w:val="clear" w:pos="1260"/>
        </w:tabs>
        <w:adjustRightInd/>
        <w:spacing w:before="0"/>
        <w:ind w:left="720" w:firstLine="0"/>
        <w:textAlignment w:val="auto"/>
        <w:rPr>
          <w:lang w:val="pt-BR"/>
        </w:rPr>
      </w:pPr>
      <w:r w:rsidRPr="006301EB">
        <w:rPr>
          <w:rFonts w:ascii="Tahoma" w:hAnsi="Tahoma" w:cs="Tahoma"/>
          <w:sz w:val="18"/>
          <w:szCs w:val="18"/>
          <w:lang w:val="pt-BR"/>
        </w:rPr>
        <w:t>Os clientes que desejarem adquirir a Atualização e o Software Assurance do Windows 8 Pro em conjunto têm as seguintes opções:</w:t>
      </w:r>
    </w:p>
    <w:p w:rsidR="00B04B81" w:rsidRPr="006301EB" w:rsidRDefault="00B04B81" w:rsidP="00846611">
      <w:pPr>
        <w:pStyle w:val="FootnoteBulletLevel2"/>
        <w:tabs>
          <w:tab w:val="clear" w:pos="1260"/>
        </w:tabs>
        <w:adjustRightInd/>
        <w:spacing w:before="0"/>
        <w:ind w:left="720" w:firstLine="0"/>
        <w:textAlignment w:val="auto"/>
        <w:rPr>
          <w:rFonts w:ascii="Tahoma" w:hAnsi="Tahoma" w:cs="Tahoma"/>
          <w:sz w:val="18"/>
          <w:szCs w:val="18"/>
          <w:lang w:val="pt-BR"/>
        </w:rPr>
      </w:pPr>
    </w:p>
    <w:p w:rsidR="002F7FB8" w:rsidRPr="006301EB" w:rsidRDefault="002F7FB8" w:rsidP="00B04B81">
      <w:pPr>
        <w:pStyle w:val="FootnoteBulletLevel2"/>
        <w:numPr>
          <w:ilvl w:val="0"/>
          <w:numId w:val="28"/>
        </w:numPr>
        <w:adjustRightInd/>
        <w:spacing w:before="0" w:after="60"/>
        <w:ind w:left="1440"/>
        <w:textAlignment w:val="auto"/>
        <w:rPr>
          <w:lang w:val="pt-BR"/>
        </w:rPr>
      </w:pPr>
      <w:r w:rsidRPr="006301EB">
        <w:rPr>
          <w:rFonts w:ascii="Tahoma" w:hAnsi="Tahoma" w:cs="Tahoma"/>
          <w:sz w:val="18"/>
          <w:szCs w:val="18"/>
          <w:lang w:val="pt-BR"/>
        </w:rPr>
        <w:t>Programas Select, Open Value (Não extensivo a toda a empresa) e Licença Open:</w:t>
      </w:r>
    </w:p>
    <w:p w:rsidR="002F7FB8" w:rsidRPr="006301EB" w:rsidRDefault="002F7FB8" w:rsidP="00B04B81">
      <w:pPr>
        <w:pStyle w:val="Footnotedash"/>
        <w:numPr>
          <w:ilvl w:val="1"/>
          <w:numId w:val="36"/>
        </w:numPr>
        <w:spacing w:before="0"/>
        <w:ind w:left="1800"/>
        <w:rPr>
          <w:lang w:val="pt-BR"/>
        </w:rPr>
      </w:pPr>
      <w:r w:rsidRPr="006301EB">
        <w:rPr>
          <w:rFonts w:ascii="Tahoma" w:eastAsia="Calibri" w:hAnsi="Tahoma" w:cs="Tahoma"/>
          <w:color w:val="000000"/>
          <w:sz w:val="18"/>
          <w:szCs w:val="18"/>
          <w:lang w:val="pt-BR"/>
        </w:rPr>
        <w:t>Adquirir Atualizações e Software Assurance do Windows 8 Pro para desktops nos quais o cliente licenciou e instalou um dos sistemas operacionais qualificados listados na tabela de Atualização do Windows acima.</w:t>
      </w:r>
    </w:p>
    <w:p w:rsidR="002F7FB8" w:rsidRPr="006301EB" w:rsidRDefault="002F7FB8" w:rsidP="00B04B81">
      <w:pPr>
        <w:pStyle w:val="Footnotedash"/>
        <w:numPr>
          <w:ilvl w:val="2"/>
          <w:numId w:val="103"/>
        </w:numPr>
        <w:spacing w:before="0"/>
        <w:ind w:left="1800"/>
        <w:rPr>
          <w:lang w:val="pt-BR"/>
        </w:rPr>
      </w:pPr>
      <w:r w:rsidRPr="006301EB">
        <w:rPr>
          <w:rFonts w:ascii="Tahoma" w:eastAsia="Calibri" w:hAnsi="Tahoma" w:cs="Tahoma"/>
          <w:color w:val="000000"/>
          <w:sz w:val="18"/>
          <w:szCs w:val="18"/>
          <w:lang w:val="pt-BR"/>
        </w:rPr>
        <w:t>O Cliente pode realocar a cobertura do Software Assurance em atualizações de sistemas operacionais de desktop do desktop original para um desktop substituto, mas não a curto prazo (ou seja, em 90 dias da última alocação), desde que (1) o cliente licenciou e instalou no</w:t>
      </w:r>
      <w:r w:rsidR="00C91853"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desktop substituto a versão mais recente daquele sistema operacional e (2) o cliente remova quaisquer atualizações de sistema operacional de desktop do desktop original.</w:t>
      </w:r>
    </w:p>
    <w:p w:rsidR="00A84DF7" w:rsidRPr="006301EB" w:rsidRDefault="002F7FB8" w:rsidP="00B04B81">
      <w:pPr>
        <w:pStyle w:val="FootnoteBulletLevel2"/>
        <w:numPr>
          <w:ilvl w:val="0"/>
          <w:numId w:val="28"/>
        </w:numPr>
        <w:adjustRightInd/>
        <w:spacing w:before="0" w:after="60"/>
        <w:ind w:left="1440"/>
        <w:textAlignment w:val="auto"/>
        <w:rPr>
          <w:lang w:val="pt-BR"/>
        </w:rPr>
      </w:pPr>
      <w:r w:rsidRPr="006301EB">
        <w:rPr>
          <w:rFonts w:ascii="Tahoma" w:hAnsi="Tahoma" w:cs="Tahoma"/>
          <w:sz w:val="18"/>
          <w:szCs w:val="18"/>
          <w:lang w:val="pt-BR"/>
        </w:rPr>
        <w:lastRenderedPageBreak/>
        <w:t>Registros Enterprise e Contratos Open Value para toda a empresa (licença perpétua e assinatura):</w:t>
      </w:r>
    </w:p>
    <w:p w:rsidR="00A84DF7" w:rsidRPr="006301EB" w:rsidRDefault="002F7FB8" w:rsidP="00B04B81">
      <w:pPr>
        <w:pStyle w:val="Footnotedash"/>
        <w:numPr>
          <w:ilvl w:val="1"/>
          <w:numId w:val="36"/>
        </w:numPr>
        <w:spacing w:before="0"/>
        <w:ind w:left="1800"/>
        <w:rPr>
          <w:lang w:val="pt-BR"/>
        </w:rPr>
      </w:pPr>
      <w:r w:rsidRPr="006301EB">
        <w:rPr>
          <w:rFonts w:ascii="Tahoma" w:eastAsia="Calibri" w:hAnsi="Tahoma" w:cs="Tahoma"/>
          <w:color w:val="000000"/>
          <w:sz w:val="18"/>
          <w:szCs w:val="18"/>
          <w:lang w:val="pt-BR"/>
        </w:rPr>
        <w:t xml:space="preserve">Registros Enterprise ou Contratos Open Value iniciais (base instalada): </w:t>
      </w:r>
    </w:p>
    <w:p w:rsidR="00A84DF7" w:rsidRPr="006301EB" w:rsidRDefault="002F7FB8" w:rsidP="00B04B81">
      <w:pPr>
        <w:pStyle w:val="Footnotedash"/>
        <w:numPr>
          <w:ilvl w:val="1"/>
          <w:numId w:val="36"/>
        </w:numPr>
        <w:spacing w:before="0"/>
        <w:ind w:left="1800"/>
        <w:rPr>
          <w:lang w:val="pt-BR"/>
        </w:rPr>
      </w:pPr>
      <w:r w:rsidRPr="006301EB">
        <w:rPr>
          <w:rFonts w:ascii="Tahoma" w:eastAsia="Calibri" w:hAnsi="Tahoma" w:cs="Tahoma"/>
          <w:color w:val="000000"/>
          <w:sz w:val="18"/>
          <w:szCs w:val="18"/>
          <w:lang w:val="pt-BR"/>
        </w:rPr>
        <w:t>Adquirir a Atualização e o Software Assurance do Windows 8 Pro para todos os desktops qualificados na base instalada.</w:t>
      </w:r>
      <w:r w:rsidR="00FB5496" w:rsidRPr="006301EB">
        <w:rPr>
          <w:rFonts w:ascii="Tahoma" w:eastAsia="Calibri" w:hAnsi="Tahoma" w:cs="Tahoma"/>
          <w:color w:val="000000"/>
          <w:sz w:val="18"/>
          <w:szCs w:val="18"/>
          <w:lang w:val="pt-BR"/>
        </w:rPr>
        <w:t xml:space="preserve"> </w:t>
      </w:r>
      <w:r w:rsidRPr="006301EB">
        <w:rPr>
          <w:rFonts w:ascii="Tahoma" w:eastAsia="Calibri" w:hAnsi="Tahoma" w:cs="Tahoma"/>
          <w:color w:val="000000"/>
          <w:sz w:val="18"/>
          <w:szCs w:val="18"/>
          <w:lang w:val="pt-BR"/>
        </w:rPr>
        <w:t>A “base instalada” é formada por todos os desktops qualificados do cliente e das afiliadas cobertas do cliente a partir da data de início de vigência</w:t>
      </w:r>
      <w:r w:rsidR="00D52BBD"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do registro ou contrato.</w:t>
      </w:r>
      <w:r w:rsidR="00FB5496" w:rsidRPr="006301EB">
        <w:rPr>
          <w:rFonts w:ascii="Tahoma" w:eastAsia="Calibri" w:hAnsi="Tahoma" w:cs="Tahoma"/>
          <w:color w:val="000000"/>
          <w:sz w:val="18"/>
          <w:szCs w:val="18"/>
          <w:lang w:val="pt-BR"/>
        </w:rPr>
        <w:t xml:space="preserve"> </w:t>
      </w:r>
      <w:r w:rsidRPr="006301EB">
        <w:rPr>
          <w:rFonts w:ascii="Tahoma" w:eastAsia="Calibri" w:hAnsi="Tahoma" w:cs="Tahoma"/>
          <w:color w:val="000000"/>
          <w:sz w:val="18"/>
          <w:szCs w:val="18"/>
          <w:lang w:val="pt-BR"/>
        </w:rPr>
        <w:t>O cliente deverá ter licenciado e instalado um dos sistemas operacionais qualificados listados na tabela de Atualização do Windows acima na coluna “Novo</w:t>
      </w:r>
      <w:r w:rsidR="00C91853"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EA/OV-TE” em todos os desktops qualificados da base instalada nos quais o sistema operacional Windows será executado.</w:t>
      </w:r>
    </w:p>
    <w:p w:rsidR="002F7FB8" w:rsidRPr="006301EB" w:rsidRDefault="002F7FB8" w:rsidP="00B04B81">
      <w:pPr>
        <w:pStyle w:val="Footnotedash"/>
        <w:numPr>
          <w:ilvl w:val="1"/>
          <w:numId w:val="36"/>
        </w:numPr>
        <w:spacing w:before="0"/>
        <w:ind w:left="1800"/>
        <w:rPr>
          <w:lang w:val="pt-BR"/>
        </w:rPr>
      </w:pPr>
      <w:r w:rsidRPr="006301EB">
        <w:rPr>
          <w:rFonts w:ascii="Tahoma" w:eastAsia="Calibri" w:hAnsi="Tahoma" w:cs="Tahoma"/>
          <w:color w:val="000000"/>
          <w:sz w:val="18"/>
          <w:szCs w:val="18"/>
          <w:lang w:val="pt-BR"/>
        </w:rPr>
        <w:t>Registros Enterprise ou Contratos Open Value existentes [adequação (“true-up”) e</w:t>
      </w:r>
      <w:r w:rsidR="00D52BBD"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substituições]:</w:t>
      </w:r>
    </w:p>
    <w:p w:rsidR="002F7FB8" w:rsidRPr="006301EB" w:rsidRDefault="002F7FB8" w:rsidP="00B04B81">
      <w:pPr>
        <w:pStyle w:val="Footnotedash"/>
        <w:numPr>
          <w:ilvl w:val="1"/>
          <w:numId w:val="36"/>
        </w:numPr>
        <w:spacing w:before="0"/>
        <w:ind w:left="1800"/>
        <w:rPr>
          <w:lang w:val="pt-BR"/>
        </w:rPr>
      </w:pPr>
      <w:r w:rsidRPr="006301EB">
        <w:rPr>
          <w:rFonts w:ascii="Tahoma" w:eastAsia="Calibri" w:hAnsi="Tahoma" w:cs="Tahoma"/>
          <w:color w:val="000000"/>
          <w:sz w:val="18"/>
          <w:szCs w:val="18"/>
          <w:lang w:val="pt-BR"/>
        </w:rPr>
        <w:t>Adquirir Atualização e Software Assurance do Windows 8 Pro para dos os novos desktops qualificados ou dispositivos nos quais o sistema operacional Windows será executado.</w:t>
      </w:r>
      <w:r w:rsidR="00FB5496" w:rsidRPr="006301EB">
        <w:rPr>
          <w:rFonts w:ascii="Tahoma" w:eastAsia="Calibri" w:hAnsi="Tahoma" w:cs="Tahoma"/>
          <w:color w:val="000000"/>
          <w:sz w:val="18"/>
          <w:szCs w:val="18"/>
          <w:lang w:val="pt-BR"/>
        </w:rPr>
        <w:t xml:space="preserve"> </w:t>
      </w:r>
      <w:r w:rsidRPr="006301EB">
        <w:rPr>
          <w:rFonts w:ascii="Tahoma" w:eastAsia="Calibri" w:hAnsi="Tahoma" w:cs="Tahoma"/>
          <w:color w:val="000000"/>
          <w:sz w:val="18"/>
          <w:szCs w:val="18"/>
          <w:lang w:val="pt-BR"/>
        </w:rPr>
        <w:t>O</w:t>
      </w:r>
      <w:r w:rsidR="007009C5"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cliente deve ter licenciado e instalado em todos os desktops qualificados novos e de substituição ou dispositivos adquiridos de qualquer fonte que não seja por meio de uma fusão ou aquisição um dos sistemas operacionais qualificados listados na tabela de Atualização do Windows acima, na coluna “EA/OV-CW Existente”. O cliente deve ter licenciado e instalado em</w:t>
      </w:r>
      <w:r w:rsidR="00D52BBD"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todos os desktops qualificados novos ou de substituição adquiridos por meio de uma fusão</w:t>
      </w:r>
      <w:r w:rsidR="00D52BBD"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ou aquisição um dos sistemas operacionais qualificados listados na tabela de Atualização</w:t>
      </w:r>
      <w:r w:rsidR="00D52BBD"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do Windows acima, na coluna “Novo EA/OV-CW”.</w:t>
      </w:r>
    </w:p>
    <w:p w:rsidR="002F7FB8" w:rsidRPr="006301EB" w:rsidRDefault="002F7FB8" w:rsidP="00B04B81">
      <w:pPr>
        <w:pStyle w:val="FootnoteBulletLevel2"/>
        <w:numPr>
          <w:ilvl w:val="0"/>
          <w:numId w:val="28"/>
        </w:numPr>
        <w:adjustRightInd/>
        <w:spacing w:before="0" w:after="60"/>
        <w:ind w:left="1440"/>
        <w:textAlignment w:val="auto"/>
        <w:rPr>
          <w:lang w:val="pt-BR"/>
        </w:rPr>
      </w:pPr>
      <w:r w:rsidRPr="006301EB">
        <w:rPr>
          <w:rFonts w:ascii="Tahoma" w:hAnsi="Tahoma" w:cs="Tahoma"/>
          <w:sz w:val="18"/>
          <w:szCs w:val="18"/>
          <w:lang w:val="pt-BR"/>
        </w:rPr>
        <w:t>Clientes do Contrato para Campus e Contrato School e Open Value Subscr</w:t>
      </w:r>
      <w:r w:rsidR="009D57D2" w:rsidRPr="006301EB">
        <w:rPr>
          <w:rFonts w:ascii="Tahoma" w:hAnsi="Tahoma" w:cs="Tahoma"/>
          <w:sz w:val="18"/>
          <w:szCs w:val="18"/>
          <w:lang w:val="pt-BR"/>
        </w:rPr>
        <w:t>iption - Soluções Educacionais:</w:t>
      </w:r>
    </w:p>
    <w:p w:rsidR="002F7FB8" w:rsidRPr="006301EB" w:rsidRDefault="002F7FB8" w:rsidP="00B04B81">
      <w:pPr>
        <w:pStyle w:val="Footnotedash"/>
        <w:numPr>
          <w:ilvl w:val="1"/>
          <w:numId w:val="36"/>
        </w:numPr>
        <w:spacing w:before="0"/>
        <w:ind w:left="1800"/>
        <w:rPr>
          <w:lang w:val="pt-BR"/>
        </w:rPr>
      </w:pPr>
      <w:r w:rsidRPr="006301EB">
        <w:rPr>
          <w:rFonts w:ascii="Tahoma" w:eastAsia="Calibri" w:hAnsi="Tahoma" w:cs="Tahoma"/>
          <w:color w:val="000000"/>
          <w:sz w:val="18"/>
          <w:szCs w:val="18"/>
          <w:lang w:val="pt-BR"/>
        </w:rPr>
        <w:t>O sistema operacional Windows está licenciado apenas como uma atualização.</w:t>
      </w:r>
      <w:r w:rsidR="00FB5496" w:rsidRPr="006301EB">
        <w:rPr>
          <w:rFonts w:ascii="Tahoma" w:eastAsia="Calibri" w:hAnsi="Tahoma" w:cs="Tahoma"/>
          <w:color w:val="000000"/>
          <w:sz w:val="18"/>
          <w:szCs w:val="18"/>
          <w:lang w:val="pt-BR"/>
        </w:rPr>
        <w:t xml:space="preserve"> </w:t>
      </w:r>
      <w:r w:rsidRPr="006301EB">
        <w:rPr>
          <w:rFonts w:ascii="Tahoma" w:eastAsia="Calibri" w:hAnsi="Tahoma" w:cs="Tahoma"/>
          <w:color w:val="000000"/>
          <w:sz w:val="18"/>
          <w:szCs w:val="18"/>
          <w:lang w:val="pt-BR"/>
        </w:rPr>
        <w:t xml:space="preserve">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 Windows acima, </w:t>
      </w:r>
      <w:r w:rsidR="009D57D2" w:rsidRPr="006301EB">
        <w:rPr>
          <w:rFonts w:ascii="Tahoma" w:eastAsia="Calibri" w:hAnsi="Tahoma" w:cs="Tahoma"/>
          <w:color w:val="000000"/>
          <w:sz w:val="18"/>
          <w:szCs w:val="18"/>
          <w:lang w:val="pt-BR"/>
        </w:rPr>
        <w:t>na coluna “Academic”.</w:t>
      </w:r>
    </w:p>
    <w:p w:rsidR="00B47893" w:rsidRPr="006301EB" w:rsidRDefault="002F7FB8" w:rsidP="00AF3B19">
      <w:pPr>
        <w:pStyle w:val="Footnotedash"/>
        <w:numPr>
          <w:ilvl w:val="1"/>
          <w:numId w:val="36"/>
        </w:numPr>
        <w:spacing w:before="0" w:after="0"/>
        <w:ind w:left="1800"/>
        <w:rPr>
          <w:lang w:val="pt-BR"/>
        </w:rPr>
      </w:pPr>
      <w:r w:rsidRPr="006301EB">
        <w:rPr>
          <w:rFonts w:ascii="Tahoma" w:eastAsia="Calibri" w:hAnsi="Tahoma" w:cs="Tahoma"/>
          <w:color w:val="000000"/>
          <w:sz w:val="18"/>
          <w:szCs w:val="18"/>
          <w:lang w:val="pt-BR"/>
        </w:rPr>
        <w:t>Não obstante qualquer disposição contrária nos seus Direitos de Uso de Produto (PUR), as instituições que escolherem a Opção de Estudante poderão ter, no máximo, uma instância do</w:t>
      </w:r>
      <w:r w:rsidR="00D52BBD"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Windows To Go por dispositivo de estudante licenciado.</w:t>
      </w:r>
      <w:r w:rsidR="00FB5496" w:rsidRPr="006301EB">
        <w:rPr>
          <w:rFonts w:ascii="Tahoma" w:eastAsia="Calibri" w:hAnsi="Tahoma" w:cs="Tahoma"/>
          <w:color w:val="000000"/>
          <w:sz w:val="18"/>
          <w:szCs w:val="18"/>
          <w:lang w:val="pt-BR"/>
        </w:rPr>
        <w:t xml:space="preserve"> </w:t>
      </w:r>
      <w:r w:rsidRPr="006301EB">
        <w:rPr>
          <w:rFonts w:ascii="Tahoma" w:eastAsia="Calibri" w:hAnsi="Tahoma" w:cs="Tahoma"/>
          <w:color w:val="000000"/>
          <w:sz w:val="18"/>
          <w:szCs w:val="18"/>
          <w:lang w:val="pt-BR"/>
        </w:rPr>
        <w:t>As Instituições devem garantir que</w:t>
      </w:r>
      <w:r w:rsidR="00D52BBD"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os estudantes que não estejam mais inscritos na instituição parem de usar o Windows To</w:t>
      </w:r>
      <w:r w:rsidR="00D52BBD" w:rsidRPr="006301EB">
        <w:rPr>
          <w:rFonts w:ascii="Tahoma" w:eastAsia="Calibri" w:hAnsi="Tahoma" w:cs="Tahoma"/>
          <w:color w:val="000000"/>
          <w:sz w:val="18"/>
          <w:szCs w:val="18"/>
          <w:lang w:val="pt-BR"/>
        </w:rPr>
        <w:t> </w:t>
      </w:r>
      <w:r w:rsidRPr="006301EB">
        <w:rPr>
          <w:rFonts w:ascii="Tahoma" w:eastAsia="Calibri" w:hAnsi="Tahoma" w:cs="Tahoma"/>
          <w:color w:val="000000"/>
          <w:sz w:val="18"/>
          <w:szCs w:val="18"/>
          <w:lang w:val="pt-BR"/>
        </w:rPr>
        <w:t>Go e devolvam os dispositivos USB com uma instância deste para a Instituição.</w:t>
      </w:r>
      <w:r w:rsidR="00FB5496" w:rsidRPr="006301EB">
        <w:rPr>
          <w:rFonts w:ascii="Tahoma" w:eastAsia="Calibri" w:hAnsi="Tahoma" w:cs="Tahoma"/>
          <w:color w:val="000000"/>
          <w:sz w:val="18"/>
          <w:szCs w:val="18"/>
          <w:lang w:val="pt-BR"/>
        </w:rPr>
        <w:t xml:space="preserve"> </w:t>
      </w:r>
      <w:r w:rsidRPr="006301EB">
        <w:rPr>
          <w:rFonts w:ascii="Tahoma" w:hAnsi="Tahoma" w:cs="Tahoma"/>
          <w:sz w:val="18"/>
          <w:szCs w:val="18"/>
          <w:lang w:val="pt-BR"/>
        </w:rPr>
        <w:t>As</w:t>
      </w:r>
      <w:r w:rsidR="00D52BBD" w:rsidRPr="006301EB">
        <w:rPr>
          <w:rFonts w:ascii="Tahoma" w:eastAsia="Calibri" w:hAnsi="Tahoma" w:cs="Tahoma"/>
          <w:color w:val="000000"/>
          <w:sz w:val="18"/>
          <w:szCs w:val="18"/>
          <w:lang w:val="pt-BR"/>
        </w:rPr>
        <w:t> </w:t>
      </w:r>
      <w:r w:rsidRPr="006301EB">
        <w:rPr>
          <w:rFonts w:ascii="Tahoma" w:hAnsi="Tahoma" w:cs="Tahoma"/>
          <w:sz w:val="18"/>
          <w:szCs w:val="18"/>
          <w:lang w:val="pt-BR"/>
        </w:rPr>
        <w:t>Instituições que escolherem a Opção de Estudante não poderão instalar o Windows Enterprise em nenhum dispositivo pertencente a estudantes.</w:t>
      </w:r>
    </w:p>
    <w:p w:rsidR="00973A93" w:rsidRPr="006301EB" w:rsidRDefault="00973A93" w:rsidP="00AF3B19">
      <w:pPr>
        <w:rPr>
          <w:lang w:val="pt-BR"/>
        </w:rPr>
      </w:pPr>
    </w:p>
    <w:p w:rsidR="00B73A46" w:rsidRPr="006301EB" w:rsidRDefault="00B73A46" w:rsidP="00F64DEA">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Microsoft Windows XP Professional N (sem o Windows Media Player)</w:t>
      </w:r>
    </w:p>
    <w:p w:rsidR="00B73A46" w:rsidRPr="006301EB" w:rsidRDefault="00B73A46" w:rsidP="00F64DEA">
      <w:pPr>
        <w:pStyle w:val="FootnoteBulletLevel2"/>
        <w:tabs>
          <w:tab w:val="clear" w:pos="1260"/>
          <w:tab w:val="num" w:pos="900"/>
        </w:tabs>
        <w:spacing w:before="0"/>
        <w:ind w:left="720" w:firstLine="0"/>
        <w:rPr>
          <w:lang w:val="pt-BR"/>
        </w:rPr>
      </w:pPr>
      <w:r w:rsidRPr="006301EB">
        <w:rPr>
          <w:rFonts w:ascii="Tahoma" w:hAnsi="Tahoma" w:cs="Tahoma"/>
          <w:sz w:val="18"/>
          <w:szCs w:val="18"/>
          <w:u w:val="single"/>
          <w:lang w:val="pt-BR"/>
        </w:rPr>
        <w:t>Qualificação</w:t>
      </w:r>
      <w:r w:rsidRPr="006301EB">
        <w:rPr>
          <w:rFonts w:ascii="Tahoma" w:hAnsi="Tahoma" w:cs="Tahoma"/>
          <w:sz w:val="18"/>
          <w:szCs w:val="18"/>
          <w:lang w:val="pt-BR"/>
        </w:rPr>
        <w:br/>
        <w:t>Os clientes de licenças por volume que atenderem a todos os critérios a seguir estarão qualificados para comprar a mídia do Microsoft Windows XP Professional N.</w:t>
      </w:r>
    </w:p>
    <w:p w:rsidR="00F64DEA" w:rsidRPr="006301EB" w:rsidRDefault="00F64DEA" w:rsidP="00F64DEA">
      <w:pPr>
        <w:pStyle w:val="FootnoteBulletLevel2"/>
        <w:tabs>
          <w:tab w:val="clear" w:pos="1260"/>
          <w:tab w:val="num" w:pos="900"/>
        </w:tabs>
        <w:spacing w:before="0"/>
        <w:ind w:left="720" w:firstLine="0"/>
        <w:rPr>
          <w:rFonts w:ascii="Tahoma" w:hAnsi="Tahoma" w:cs="Tahoma"/>
          <w:sz w:val="18"/>
          <w:szCs w:val="18"/>
          <w:lang w:val="pt-BR"/>
        </w:rPr>
      </w:pPr>
    </w:p>
    <w:p w:rsidR="00B73A46" w:rsidRPr="006301EB" w:rsidRDefault="00B73A46" w:rsidP="00F64DEA">
      <w:pPr>
        <w:pStyle w:val="Footnotedash"/>
        <w:tabs>
          <w:tab w:val="clear" w:pos="1620"/>
          <w:tab w:val="num" w:pos="2160"/>
        </w:tabs>
        <w:spacing w:before="0" w:after="0"/>
        <w:ind w:left="720" w:firstLine="7"/>
        <w:rPr>
          <w:lang w:val="pt-BR"/>
        </w:rPr>
      </w:pPr>
      <w:r w:rsidRPr="006301EB">
        <w:rPr>
          <w:rFonts w:ascii="Tahoma" w:hAnsi="Tahoma" w:cs="Tahoma"/>
          <w:sz w:val="18"/>
          <w:szCs w:val="18"/>
          <w:lang w:val="pt-BR"/>
        </w:rPr>
        <w:t xml:space="preserve">Eles deverão ter pelo menos um dos seguintes contratos ou registros ativos com a Microsoft Ireland Operations Ltd: </w:t>
      </w:r>
    </w:p>
    <w:p w:rsidR="00F64DEA" w:rsidRPr="006301EB" w:rsidRDefault="00F64DEA" w:rsidP="00F64DEA">
      <w:pPr>
        <w:pStyle w:val="Footnotedash"/>
        <w:tabs>
          <w:tab w:val="clear" w:pos="1620"/>
          <w:tab w:val="num" w:pos="2160"/>
        </w:tabs>
        <w:spacing w:before="0" w:after="0"/>
        <w:ind w:left="720" w:firstLine="7"/>
        <w:rPr>
          <w:rFonts w:ascii="Tahoma" w:hAnsi="Tahoma" w:cs="Tahoma"/>
          <w:sz w:val="18"/>
          <w:szCs w:val="18"/>
          <w:lang w:val="pt-BR"/>
        </w:rPr>
      </w:pPr>
    </w:p>
    <w:p w:rsidR="00B73A46" w:rsidRPr="006301EB" w:rsidRDefault="00B73A46" w:rsidP="00F64DEA">
      <w:pPr>
        <w:pStyle w:val="Footnotedash"/>
        <w:numPr>
          <w:ilvl w:val="0"/>
          <w:numId w:val="38"/>
        </w:numPr>
        <w:adjustRightInd/>
        <w:spacing w:before="0"/>
        <w:ind w:left="1440"/>
        <w:textAlignment w:val="auto"/>
        <w:rPr>
          <w:lang w:val="fr-FR"/>
        </w:rPr>
      </w:pPr>
      <w:r w:rsidRPr="006301EB">
        <w:rPr>
          <w:rFonts w:ascii="Tahoma" w:hAnsi="Tahoma" w:cs="Tahoma"/>
          <w:sz w:val="18"/>
          <w:szCs w:val="18"/>
          <w:lang w:val="fr-FR"/>
        </w:rPr>
        <w:t>Select, Enterprise ou Enterprise Subscription Enrollment</w:t>
      </w:r>
    </w:p>
    <w:p w:rsidR="00B73A46" w:rsidRPr="00416070" w:rsidRDefault="00B73A46" w:rsidP="00F64DEA">
      <w:pPr>
        <w:pStyle w:val="Footnotedash"/>
        <w:numPr>
          <w:ilvl w:val="0"/>
          <w:numId w:val="38"/>
        </w:numPr>
        <w:adjustRightInd/>
        <w:spacing w:before="0"/>
        <w:ind w:left="1440"/>
        <w:textAlignment w:val="auto"/>
      </w:pPr>
      <w:r w:rsidRPr="00416070">
        <w:rPr>
          <w:rFonts w:ascii="Tahoma" w:hAnsi="Tahoma" w:cs="Tahoma"/>
          <w:sz w:val="18"/>
          <w:szCs w:val="18"/>
        </w:rPr>
        <w:t xml:space="preserve">Licença Open*, Open Value, Campus e School Agreement, Open Value Subscription – Education Solutions </w:t>
      </w:r>
    </w:p>
    <w:p w:rsidR="00B73A46" w:rsidRPr="006301EB" w:rsidRDefault="00B73A46" w:rsidP="00F64DEA">
      <w:pPr>
        <w:pStyle w:val="Footnotedash"/>
        <w:spacing w:before="0"/>
        <w:ind w:left="1440" w:firstLine="0"/>
        <w:rPr>
          <w:lang w:val="pt-BR"/>
        </w:rPr>
      </w:pPr>
      <w:r w:rsidRPr="006301EB">
        <w:rPr>
          <w:rFonts w:ascii="Tahoma" w:hAnsi="Tahoma" w:cs="Tahoma"/>
          <w:sz w:val="18"/>
          <w:szCs w:val="18"/>
          <w:lang w:val="pt-BR"/>
        </w:rPr>
        <w:t>(*Para os fins da Licença Open, um “contrato ativo” é aquele associado a um Número de Autorização de Licença Open ativo.)</w:t>
      </w:r>
    </w:p>
    <w:p w:rsidR="00F64DEA" w:rsidRPr="006301EB" w:rsidRDefault="00F64DEA" w:rsidP="00F64DEA">
      <w:pPr>
        <w:pStyle w:val="Footnotedash"/>
        <w:spacing w:before="0" w:after="0"/>
        <w:ind w:left="1440" w:firstLine="0"/>
        <w:rPr>
          <w:rFonts w:ascii="Tahoma" w:hAnsi="Tahoma" w:cs="Tahoma"/>
          <w:sz w:val="18"/>
          <w:szCs w:val="18"/>
          <w:lang w:val="pt-BR"/>
        </w:rPr>
      </w:pPr>
    </w:p>
    <w:p w:rsidR="00B73A46" w:rsidRPr="006301EB" w:rsidRDefault="00B73A46" w:rsidP="00F64DEA">
      <w:pPr>
        <w:pStyle w:val="Footnotedash"/>
        <w:tabs>
          <w:tab w:val="left" w:pos="1620"/>
        </w:tabs>
        <w:spacing w:before="0" w:after="0"/>
        <w:ind w:left="720" w:firstLine="7"/>
        <w:rPr>
          <w:lang w:val="pt-BR"/>
        </w:rPr>
      </w:pPr>
      <w:r w:rsidRPr="006301EB">
        <w:rPr>
          <w:rFonts w:ascii="Tahoma" w:hAnsi="Tahoma" w:cs="Tahoma"/>
          <w:sz w:val="18"/>
          <w:szCs w:val="18"/>
          <w:lang w:val="pt-BR"/>
        </w:rPr>
        <w:t>Eles deverão ter o Software Assurance ativo para as licenças de atualização do Sistema Operacional Windows Desktop ou Windows XP Professional adquiridas em ou depois de 2 de fevereiro de 2005.</w:t>
      </w:r>
    </w:p>
    <w:p w:rsidR="00F64DEA" w:rsidRPr="006301EB" w:rsidRDefault="00F64DEA" w:rsidP="00F64DEA">
      <w:pPr>
        <w:pStyle w:val="Footnotedash"/>
        <w:tabs>
          <w:tab w:val="left" w:pos="1620"/>
        </w:tabs>
        <w:spacing w:before="0" w:after="0"/>
        <w:ind w:left="720" w:firstLine="7"/>
        <w:rPr>
          <w:rFonts w:ascii="Tahoma" w:hAnsi="Tahoma" w:cs="Tahoma"/>
          <w:sz w:val="18"/>
          <w:szCs w:val="18"/>
          <w:lang w:val="pt-BR"/>
        </w:rPr>
      </w:pPr>
    </w:p>
    <w:p w:rsidR="00766C40" w:rsidRPr="006301EB" w:rsidRDefault="00B73A46" w:rsidP="00F64DEA">
      <w:pPr>
        <w:pStyle w:val="Footnotedash"/>
        <w:tabs>
          <w:tab w:val="left" w:pos="1620"/>
        </w:tabs>
        <w:spacing w:before="0" w:after="0"/>
        <w:ind w:left="720" w:firstLine="7"/>
        <w:rPr>
          <w:lang w:val="pt-BR"/>
        </w:rPr>
      </w:pPr>
      <w:r w:rsidRPr="006301EB">
        <w:rPr>
          <w:rFonts w:ascii="Tahoma" w:hAnsi="Tahoma" w:cs="Tahoma"/>
          <w:sz w:val="18"/>
          <w:szCs w:val="18"/>
          <w:lang w:val="pt-BR"/>
        </w:rPr>
        <w:t xml:space="preserve">Eles deverão estar situados a) em um dos países estabelecidos na União Europeia (UE), b) na Associação Europeia de Livre Comércio (EFTA), c) na Bulgária, Croácia, Romênia ou Suíça. </w:t>
      </w:r>
    </w:p>
    <w:p w:rsidR="00F64DEA" w:rsidRPr="006301EB"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pt-BR"/>
        </w:rPr>
      </w:pPr>
    </w:p>
    <w:p w:rsidR="00C91853" w:rsidRPr="006301EB" w:rsidRDefault="00C91853" w:rsidP="00F64DEA">
      <w:pPr>
        <w:pStyle w:val="FootnoteBulletLevel1"/>
        <w:tabs>
          <w:tab w:val="clear" w:pos="900"/>
        </w:tabs>
        <w:adjustRightInd/>
        <w:spacing w:before="0" w:after="0"/>
        <w:ind w:left="720" w:firstLine="0"/>
        <w:textAlignment w:val="auto"/>
        <w:rPr>
          <w:rFonts w:ascii="Tahoma" w:hAnsi="Tahoma" w:cs="Tahoma"/>
          <w:sz w:val="18"/>
          <w:szCs w:val="18"/>
          <w:lang w:val="pt-BR"/>
        </w:rPr>
      </w:pPr>
    </w:p>
    <w:p w:rsidR="00B73A46" w:rsidRPr="006301EB" w:rsidRDefault="00B73A46" w:rsidP="00F64DEA">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lastRenderedPageBreak/>
        <w:t>Windows XP Professional</w:t>
      </w:r>
    </w:p>
    <w:p w:rsidR="00B73A46" w:rsidRPr="006301EB" w:rsidRDefault="00B73A46" w:rsidP="00F64DEA">
      <w:pPr>
        <w:pStyle w:val="FootnoteBulletLevel2"/>
        <w:spacing w:before="0"/>
        <w:ind w:left="720" w:firstLine="0"/>
        <w:rPr>
          <w:lang w:val="pt-BR"/>
        </w:rPr>
      </w:pPr>
      <w:r w:rsidRPr="006301EB">
        <w:rPr>
          <w:rFonts w:ascii="Tahoma" w:hAnsi="Tahoma" w:cs="Tahoma"/>
          <w:sz w:val="18"/>
          <w:szCs w:val="18"/>
          <w:lang w:val="pt-BR"/>
        </w:rPr>
        <w:t>Restrições de uso do Windows XP Professional na Coreia:</w:t>
      </w:r>
    </w:p>
    <w:p w:rsidR="00B73A46" w:rsidRPr="006301EB" w:rsidRDefault="00B73A46" w:rsidP="00F64DEA">
      <w:pPr>
        <w:pStyle w:val="FootnoteBulletLevel2"/>
        <w:spacing w:before="0"/>
        <w:ind w:left="720" w:firstLine="0"/>
        <w:rPr>
          <w:lang w:val="pt-BR"/>
        </w:rPr>
      </w:pPr>
      <w:r w:rsidRPr="006301EB">
        <w:rPr>
          <w:rFonts w:ascii="Tahoma" w:hAnsi="Tahoma" w:cs="Tahoma"/>
          <w:sz w:val="18"/>
          <w:szCs w:val="18"/>
          <w:lang w:val="pt-BR"/>
        </w:rPr>
        <w:t>Essas restrições também se aplicarão a qualquer uso do Windows XP Professional de acordo com os direitos de downgrade.</w:t>
      </w:r>
    </w:p>
    <w:p w:rsidR="00F64DEA" w:rsidRPr="006301EB" w:rsidRDefault="00F64DEA" w:rsidP="00F64DEA">
      <w:pPr>
        <w:pStyle w:val="FootnoteBulletLevel2"/>
        <w:spacing w:before="0"/>
        <w:ind w:left="720" w:firstLine="0"/>
        <w:rPr>
          <w:rFonts w:ascii="Tahoma" w:hAnsi="Tahoma" w:cs="Tahoma"/>
          <w:sz w:val="18"/>
          <w:szCs w:val="18"/>
          <w:lang w:val="pt-BR"/>
        </w:rPr>
      </w:pPr>
    </w:p>
    <w:p w:rsidR="00B73A46" w:rsidRPr="006301EB" w:rsidRDefault="00B73A46" w:rsidP="00F64DEA">
      <w:pPr>
        <w:pStyle w:val="Footnotedash"/>
        <w:numPr>
          <w:ilvl w:val="0"/>
          <w:numId w:val="38"/>
        </w:numPr>
        <w:adjustRightInd/>
        <w:spacing w:before="0"/>
        <w:ind w:left="1440"/>
        <w:textAlignment w:val="auto"/>
        <w:rPr>
          <w:lang w:val="pt-BR"/>
        </w:rPr>
      </w:pPr>
      <w:r w:rsidRPr="006301EB">
        <w:rPr>
          <w:rFonts w:ascii="Tahoma" w:hAnsi="Tahoma" w:cs="Tahoma"/>
          <w:sz w:val="18"/>
          <w:szCs w:val="18"/>
          <w:lang w:val="pt-BR"/>
        </w:rPr>
        <w:t>A KFTC (Korean Fair Trade Commission) requer determinadas restrições a quando os clientes de</w:t>
      </w:r>
      <w:r w:rsidR="00C91853" w:rsidRPr="006301EB">
        <w:rPr>
          <w:rFonts w:ascii="Tahoma" w:hAnsi="Tahoma" w:cs="Tahoma"/>
          <w:sz w:val="18"/>
          <w:szCs w:val="18"/>
          <w:lang w:val="pt-BR"/>
        </w:rPr>
        <w:t> </w:t>
      </w:r>
      <w:r w:rsidRPr="006301EB">
        <w:rPr>
          <w:rFonts w:ascii="Tahoma" w:hAnsi="Tahoma" w:cs="Tahoma"/>
          <w:sz w:val="18"/>
          <w:szCs w:val="18"/>
          <w:lang w:val="pt-BR"/>
        </w:rPr>
        <w:t>licenças por volume e suas afiliadas poderão implantar a versão no idioma coreano do Windows</w:t>
      </w:r>
      <w:r w:rsidR="00C91853" w:rsidRPr="006301EB">
        <w:rPr>
          <w:rFonts w:ascii="Tahoma" w:hAnsi="Tahoma" w:cs="Tahoma"/>
          <w:sz w:val="18"/>
          <w:szCs w:val="18"/>
          <w:lang w:val="pt-BR"/>
        </w:rPr>
        <w:t> </w:t>
      </w:r>
      <w:r w:rsidRPr="006301EB">
        <w:rPr>
          <w:rFonts w:ascii="Tahoma" w:hAnsi="Tahoma" w:cs="Tahoma"/>
          <w:sz w:val="18"/>
          <w:szCs w:val="18"/>
          <w:lang w:val="pt-BR"/>
        </w:rPr>
        <w:t xml:space="preserve">XP Professional para uso na Coreia. </w:t>
      </w:r>
    </w:p>
    <w:p w:rsidR="00B73A46" w:rsidRPr="006301EB" w:rsidRDefault="00B73A46" w:rsidP="00F64DEA">
      <w:pPr>
        <w:pStyle w:val="Footnotedash"/>
        <w:numPr>
          <w:ilvl w:val="0"/>
          <w:numId w:val="38"/>
        </w:numPr>
        <w:adjustRightInd/>
        <w:spacing w:before="0"/>
        <w:ind w:left="1440"/>
        <w:textAlignment w:val="auto"/>
        <w:rPr>
          <w:lang w:val="pt-BR"/>
        </w:rPr>
      </w:pPr>
      <w:r w:rsidRPr="006301EB">
        <w:rPr>
          <w:rFonts w:ascii="Tahoma" w:hAnsi="Tahoma" w:cs="Tahoma"/>
          <w:sz w:val="18"/>
          <w:szCs w:val="18"/>
          <w:lang w:val="pt-BR"/>
        </w:rPr>
        <w:t>Essas restrições não se aplicarão às licenças que os clientes tiverem adquirido para a versão no</w:t>
      </w:r>
      <w:r w:rsidR="00C91853" w:rsidRPr="006301EB">
        <w:rPr>
          <w:rFonts w:ascii="Tahoma" w:hAnsi="Tahoma" w:cs="Tahoma"/>
          <w:sz w:val="18"/>
          <w:szCs w:val="18"/>
          <w:lang w:val="pt-BR"/>
        </w:rPr>
        <w:t> </w:t>
      </w:r>
      <w:r w:rsidRPr="006301EB">
        <w:rPr>
          <w:rFonts w:ascii="Tahoma" w:hAnsi="Tahoma" w:cs="Tahoma"/>
          <w:sz w:val="18"/>
          <w:szCs w:val="18"/>
          <w:lang w:val="pt-BR"/>
        </w:rPr>
        <w:t xml:space="preserve">idioma coreano do Windows XP Professional antes de 24 de agosto de 2006. </w:t>
      </w:r>
    </w:p>
    <w:p w:rsidR="00B73A46" w:rsidRPr="006301EB" w:rsidRDefault="00B73A46" w:rsidP="00F64DEA">
      <w:pPr>
        <w:pStyle w:val="Footnotedash"/>
        <w:numPr>
          <w:ilvl w:val="0"/>
          <w:numId w:val="38"/>
        </w:numPr>
        <w:adjustRightInd/>
        <w:spacing w:before="0"/>
        <w:ind w:left="1440"/>
        <w:textAlignment w:val="auto"/>
        <w:rPr>
          <w:lang w:val="pt-BR"/>
        </w:rPr>
      </w:pPr>
      <w:r w:rsidRPr="006301EB">
        <w:rPr>
          <w:rFonts w:ascii="Tahoma" w:hAnsi="Tahoma" w:cs="Tahoma"/>
          <w:sz w:val="18"/>
          <w:szCs w:val="18"/>
          <w:lang w:val="pt-BR"/>
        </w:rPr>
        <w:t>Essas restrições também não se aplicarão aos clientes multinacionais com sede fora da Coreia que</w:t>
      </w:r>
      <w:r w:rsidR="00C91853" w:rsidRPr="006301EB">
        <w:rPr>
          <w:rFonts w:ascii="Tahoma" w:hAnsi="Tahoma" w:cs="Tahoma"/>
          <w:sz w:val="18"/>
          <w:szCs w:val="18"/>
          <w:lang w:val="pt-BR"/>
        </w:rPr>
        <w:t> </w:t>
      </w:r>
      <w:r w:rsidRPr="006301EB">
        <w:rPr>
          <w:rFonts w:ascii="Tahoma" w:hAnsi="Tahoma" w:cs="Tahoma"/>
          <w:sz w:val="18"/>
          <w:szCs w:val="18"/>
          <w:lang w:val="pt-BR"/>
        </w:rPr>
        <w:t>utilizarem uma única imagem do software.</w:t>
      </w:r>
    </w:p>
    <w:p w:rsidR="00B73A46" w:rsidRPr="006301EB" w:rsidRDefault="00B73A46" w:rsidP="00F64DEA">
      <w:pPr>
        <w:pStyle w:val="Footnotedash"/>
        <w:numPr>
          <w:ilvl w:val="0"/>
          <w:numId w:val="38"/>
        </w:numPr>
        <w:adjustRightInd/>
        <w:spacing w:before="0"/>
        <w:ind w:left="1440"/>
        <w:textAlignment w:val="auto"/>
        <w:rPr>
          <w:lang w:val="pt-BR"/>
        </w:rPr>
      </w:pPr>
      <w:r w:rsidRPr="006301EB">
        <w:rPr>
          <w:rFonts w:ascii="Tahoma" w:hAnsi="Tahoma" w:cs="Tahoma"/>
          <w:sz w:val="18"/>
          <w:szCs w:val="18"/>
          <w:lang w:val="pt-BR"/>
        </w:rPr>
        <w:t>Essas restrições não se aplicarão aos clientes sob contratos vigentes em 23 de agosto de 2006 ou</w:t>
      </w:r>
      <w:r w:rsidR="00C91853" w:rsidRPr="006301EB">
        <w:rPr>
          <w:rFonts w:ascii="Tahoma" w:hAnsi="Tahoma" w:cs="Tahoma"/>
          <w:sz w:val="18"/>
          <w:szCs w:val="18"/>
          <w:lang w:val="pt-BR"/>
        </w:rPr>
        <w:t> </w:t>
      </w:r>
      <w:r w:rsidRPr="006301EB">
        <w:rPr>
          <w:rFonts w:ascii="Tahoma" w:hAnsi="Tahoma" w:cs="Tahoma"/>
          <w:sz w:val="18"/>
          <w:szCs w:val="18"/>
          <w:lang w:val="pt-BR"/>
        </w:rPr>
        <w:t>antes disso que, em circunstâncias excepcionais, utilizarem uma única imagem do software continuamente.</w:t>
      </w:r>
    </w:p>
    <w:p w:rsidR="00B73A46" w:rsidRPr="006301EB" w:rsidRDefault="00B73A46" w:rsidP="00F64DEA">
      <w:pPr>
        <w:pStyle w:val="Footnotedash"/>
        <w:numPr>
          <w:ilvl w:val="0"/>
          <w:numId w:val="38"/>
        </w:numPr>
        <w:adjustRightInd/>
        <w:spacing w:before="0"/>
        <w:ind w:left="1440"/>
        <w:textAlignment w:val="auto"/>
        <w:rPr>
          <w:lang w:val="pt-BR"/>
        </w:rPr>
      </w:pPr>
      <w:r w:rsidRPr="006301EB">
        <w:rPr>
          <w:rFonts w:ascii="Tahoma" w:hAnsi="Tahoma" w:cs="Tahoma"/>
          <w:sz w:val="18"/>
          <w:szCs w:val="18"/>
          <w:lang w:val="pt-BR"/>
        </w:rPr>
        <w:t>A KFTC não impôs restrições ao uso de versões de i</w:t>
      </w:r>
      <w:r w:rsidR="009D57D2" w:rsidRPr="006301EB">
        <w:rPr>
          <w:rFonts w:ascii="Tahoma" w:hAnsi="Tahoma" w:cs="Tahoma"/>
          <w:sz w:val="18"/>
          <w:szCs w:val="18"/>
          <w:lang w:val="pt-BR"/>
        </w:rPr>
        <w:t>diomas que não sejam o coreano.</w:t>
      </w:r>
    </w:p>
    <w:p w:rsidR="00B73A46" w:rsidRPr="006301EB" w:rsidRDefault="00B73A46" w:rsidP="00F64DEA">
      <w:pPr>
        <w:pStyle w:val="Footnotedash"/>
        <w:numPr>
          <w:ilvl w:val="0"/>
          <w:numId w:val="38"/>
        </w:numPr>
        <w:adjustRightInd/>
        <w:spacing w:before="0"/>
        <w:ind w:left="1440"/>
        <w:textAlignment w:val="auto"/>
        <w:rPr>
          <w:lang w:val="pt-BR"/>
        </w:rPr>
      </w:pPr>
      <w:r w:rsidRPr="006301EB">
        <w:rPr>
          <w:rFonts w:ascii="Tahoma" w:hAnsi="Tahoma" w:cs="Tahoma"/>
          <w:sz w:val="18"/>
          <w:szCs w:val="18"/>
          <w:lang w:val="pt-BR"/>
        </w:rPr>
        <w:t>A KFTC não impôs restrições a edições Tablet PC ou de 64 bits em qualquer versão de idioma.</w:t>
      </w:r>
    </w:p>
    <w:p w:rsidR="00F64DEA" w:rsidRPr="006301EB"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pt-BR"/>
        </w:rPr>
      </w:pPr>
    </w:p>
    <w:p w:rsidR="00B73A46" w:rsidRPr="006301EB" w:rsidRDefault="00B73A46" w:rsidP="00F64DEA">
      <w:pPr>
        <w:pStyle w:val="FootnoteBulletLevel2"/>
        <w:spacing w:before="0"/>
        <w:ind w:left="720" w:hanging="7"/>
        <w:rPr>
          <w:lang w:val="pt-BR"/>
        </w:rPr>
      </w:pPr>
      <w:r w:rsidRPr="006301EB">
        <w:rPr>
          <w:rFonts w:ascii="Tahoma" w:hAnsi="Tahoma" w:cs="Tahoma"/>
          <w:sz w:val="18"/>
          <w:szCs w:val="18"/>
          <w:u w:val="single"/>
          <w:lang w:val="pt-BR"/>
        </w:rPr>
        <w:t>Restrições</w:t>
      </w:r>
      <w:r w:rsidRPr="006301EB">
        <w:rPr>
          <w:rFonts w:ascii="Tahoma" w:hAnsi="Tahoma" w:cs="Tahoma"/>
          <w:sz w:val="18"/>
          <w:szCs w:val="18"/>
          <w:lang w:val="pt-BR"/>
        </w:rPr>
        <w:t>:</w:t>
      </w:r>
    </w:p>
    <w:p w:rsidR="00B73A46" w:rsidRPr="006301EB" w:rsidRDefault="00B73A46" w:rsidP="00F64DEA">
      <w:pPr>
        <w:pStyle w:val="FootnoteBulletLevel2"/>
        <w:spacing w:before="0"/>
        <w:ind w:left="720" w:hanging="7"/>
        <w:rPr>
          <w:lang w:val="pt-BR"/>
        </w:rPr>
      </w:pPr>
      <w:r w:rsidRPr="006301EB">
        <w:rPr>
          <w:rFonts w:ascii="Tahoma" w:hAnsi="Tahoma" w:cs="Tahoma"/>
          <w:sz w:val="18"/>
          <w:szCs w:val="18"/>
          <w:lang w:val="pt-BR"/>
        </w:rPr>
        <w:t>A partir de 24 de agosto de 2006, os clientes de licenças por volume na Coreia que não se encaixarem nos</w:t>
      </w:r>
      <w:r w:rsidR="00C91853" w:rsidRPr="006301EB">
        <w:rPr>
          <w:rFonts w:ascii="Tahoma" w:hAnsi="Tahoma" w:cs="Tahoma"/>
          <w:sz w:val="18"/>
          <w:szCs w:val="18"/>
          <w:lang w:val="pt-BR"/>
        </w:rPr>
        <w:t> </w:t>
      </w:r>
      <w:r w:rsidRPr="006301EB">
        <w:rPr>
          <w:rFonts w:ascii="Tahoma" w:hAnsi="Tahoma" w:cs="Tahoma"/>
          <w:sz w:val="18"/>
          <w:szCs w:val="18"/>
          <w:lang w:val="pt-BR"/>
        </w:rPr>
        <w:t>critérios de exceção e desejarem usar versões no idioma coreano precisarão implantar o Windows XP Professional K ou o Windows XP Professional KN.</w:t>
      </w:r>
    </w:p>
    <w:p w:rsidR="00F64DEA" w:rsidRPr="006301EB" w:rsidRDefault="00F64DEA" w:rsidP="00F64DEA">
      <w:pPr>
        <w:pStyle w:val="FootnoteBulletLevel2"/>
        <w:spacing w:before="0"/>
        <w:ind w:left="720" w:hanging="7"/>
        <w:rPr>
          <w:rFonts w:ascii="Tahoma" w:hAnsi="Tahoma" w:cs="Tahoma"/>
          <w:sz w:val="18"/>
          <w:szCs w:val="18"/>
          <w:lang w:val="pt-BR"/>
        </w:rPr>
      </w:pPr>
    </w:p>
    <w:p w:rsidR="00B73A46" w:rsidRPr="006301EB" w:rsidRDefault="00B73A46" w:rsidP="00F64DEA">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Windows XP Professional K e KN</w:t>
      </w:r>
    </w:p>
    <w:p w:rsidR="00B73A46" w:rsidRPr="006301EB" w:rsidRDefault="00B73A46" w:rsidP="00F64DEA">
      <w:pPr>
        <w:pStyle w:val="FootnoteBulletLevel2"/>
        <w:spacing w:before="0"/>
        <w:ind w:left="720" w:hanging="7"/>
        <w:rPr>
          <w:lang w:val="pt-BR"/>
        </w:rPr>
      </w:pPr>
      <w:r w:rsidRPr="006301EB">
        <w:rPr>
          <w:rFonts w:ascii="Tahoma" w:hAnsi="Tahoma" w:cs="Tahoma"/>
          <w:sz w:val="18"/>
          <w:szCs w:val="18"/>
          <w:lang w:val="pt-BR"/>
        </w:rPr>
        <w:t>Os clientes de licenças por volume e suas afiliadas poderão implantar o Windows XP Professional K ou</w:t>
      </w:r>
      <w:r w:rsidR="009D57D2" w:rsidRPr="006301EB">
        <w:rPr>
          <w:rFonts w:ascii="Tahoma" w:hAnsi="Tahoma" w:cs="Tahoma"/>
          <w:sz w:val="18"/>
          <w:szCs w:val="18"/>
          <w:lang w:val="pt-BR"/>
        </w:rPr>
        <w:t xml:space="preserve"> KN para uso somente na Coreia.</w:t>
      </w:r>
    </w:p>
    <w:p w:rsidR="00F64DEA" w:rsidRPr="006301EB" w:rsidRDefault="00F64DEA" w:rsidP="00F64DEA">
      <w:pPr>
        <w:pStyle w:val="FootnoteBulletLevel2"/>
        <w:spacing w:before="0"/>
        <w:ind w:left="720" w:hanging="7"/>
        <w:rPr>
          <w:rFonts w:ascii="Tahoma" w:hAnsi="Tahoma" w:cs="Tahoma"/>
          <w:sz w:val="18"/>
          <w:szCs w:val="18"/>
          <w:lang w:val="pt-BR"/>
        </w:rPr>
      </w:pPr>
    </w:p>
    <w:p w:rsidR="00B73A46" w:rsidRPr="006301EB" w:rsidRDefault="00B73A46" w:rsidP="00F64DEA">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Windows Vista Business KN</w:t>
      </w:r>
    </w:p>
    <w:p w:rsidR="00B73A46" w:rsidRPr="006301EB" w:rsidRDefault="00B73A46" w:rsidP="00F64DEA">
      <w:pPr>
        <w:pStyle w:val="FootnoteBulletLevel2"/>
        <w:spacing w:before="0"/>
        <w:ind w:left="720" w:hanging="7"/>
        <w:rPr>
          <w:lang w:val="pt-BR"/>
        </w:rPr>
      </w:pPr>
      <w:r w:rsidRPr="006301EB">
        <w:rPr>
          <w:rFonts w:ascii="Tahoma" w:hAnsi="Tahoma" w:cs="Tahoma"/>
          <w:sz w:val="18"/>
          <w:szCs w:val="18"/>
          <w:u w:val="single"/>
          <w:lang w:val="pt-BR"/>
        </w:rPr>
        <w:t>Qualificação</w:t>
      </w:r>
      <w:r w:rsidRPr="006301EB">
        <w:rPr>
          <w:rFonts w:ascii="Tahoma" w:hAnsi="Tahoma" w:cs="Tahoma"/>
          <w:sz w:val="18"/>
          <w:szCs w:val="18"/>
          <w:lang w:val="pt-BR"/>
        </w:rPr>
        <w:t>:</w:t>
      </w:r>
      <w:r w:rsidRPr="006301EB">
        <w:rPr>
          <w:rFonts w:ascii="Tahoma" w:hAnsi="Tahoma" w:cs="Tahoma"/>
          <w:sz w:val="18"/>
          <w:szCs w:val="18"/>
          <w:u w:val="single"/>
          <w:lang w:val="pt-BR"/>
        </w:rPr>
        <w:br/>
      </w:r>
      <w:r w:rsidRPr="006301EB">
        <w:rPr>
          <w:rFonts w:ascii="Tahoma" w:hAnsi="Tahoma" w:cs="Tahoma"/>
          <w:sz w:val="18"/>
          <w:szCs w:val="18"/>
          <w:lang w:val="pt-BR"/>
        </w:rPr>
        <w:t>Os clientes de licenças por volume situados na Coreia que tiverem um contrato ou registro do Licenciamento</w:t>
      </w:r>
      <w:r w:rsidR="00C91853" w:rsidRPr="006301EB">
        <w:rPr>
          <w:rFonts w:ascii="Tahoma" w:hAnsi="Tahoma" w:cs="Tahoma"/>
          <w:sz w:val="18"/>
          <w:szCs w:val="18"/>
          <w:lang w:val="pt-BR"/>
        </w:rPr>
        <w:t> </w:t>
      </w:r>
      <w:r w:rsidRPr="006301EB">
        <w:rPr>
          <w:rFonts w:ascii="Tahoma" w:hAnsi="Tahoma" w:cs="Tahoma"/>
          <w:sz w:val="18"/>
          <w:szCs w:val="18"/>
          <w:lang w:val="pt-BR"/>
        </w:rPr>
        <w:t>por Volume ativo com a Microsoft Operations Pte Ltd estarão qualificados para adquirir a</w:t>
      </w:r>
      <w:r w:rsidR="00C91853" w:rsidRPr="006301EB">
        <w:rPr>
          <w:rFonts w:ascii="Tahoma" w:hAnsi="Tahoma" w:cs="Tahoma"/>
          <w:sz w:val="18"/>
          <w:szCs w:val="18"/>
          <w:lang w:val="pt-BR"/>
        </w:rPr>
        <w:t> </w:t>
      </w:r>
      <w:r w:rsidRPr="006301EB">
        <w:rPr>
          <w:rFonts w:ascii="Tahoma" w:hAnsi="Tahoma" w:cs="Tahoma"/>
          <w:sz w:val="18"/>
          <w:szCs w:val="18"/>
          <w:lang w:val="pt-BR"/>
        </w:rPr>
        <w:t>mídia do Windows Vista Business KN para implantação e uso na Coreia. Nenhum outro uso é permitido.</w:t>
      </w:r>
    </w:p>
    <w:p w:rsidR="00F64DEA" w:rsidRPr="006301EB" w:rsidRDefault="00F64DEA" w:rsidP="00F64DEA">
      <w:pPr>
        <w:pStyle w:val="FootnoteBulletLevel2"/>
        <w:spacing w:before="0"/>
        <w:ind w:left="720" w:hanging="7"/>
        <w:rPr>
          <w:rFonts w:ascii="Tahoma" w:hAnsi="Tahoma" w:cs="Tahoma"/>
          <w:sz w:val="18"/>
          <w:szCs w:val="18"/>
          <w:lang w:val="pt-BR"/>
        </w:rPr>
      </w:pPr>
    </w:p>
    <w:p w:rsidR="00B73A46" w:rsidRPr="006301EB" w:rsidRDefault="00B73A46" w:rsidP="00F64DEA">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Windows 7 Professional KN</w:t>
      </w:r>
    </w:p>
    <w:p w:rsidR="00B47893" w:rsidRPr="006301EB" w:rsidRDefault="00B73A46" w:rsidP="00F64DEA">
      <w:pPr>
        <w:pStyle w:val="FootnoteBulletLevel2"/>
        <w:spacing w:before="0"/>
        <w:ind w:left="720" w:hanging="7"/>
        <w:rPr>
          <w:lang w:val="pt-BR"/>
        </w:rPr>
      </w:pPr>
      <w:r w:rsidRPr="006301EB">
        <w:rPr>
          <w:rFonts w:ascii="Tahoma" w:hAnsi="Tahoma" w:cs="Tahoma"/>
          <w:sz w:val="18"/>
          <w:szCs w:val="18"/>
          <w:u w:val="single"/>
          <w:lang w:val="pt-BR"/>
        </w:rPr>
        <w:t>Qualificação</w:t>
      </w:r>
      <w:r w:rsidRPr="006301EB">
        <w:rPr>
          <w:rFonts w:ascii="Tahoma" w:hAnsi="Tahoma" w:cs="Tahoma"/>
          <w:sz w:val="18"/>
          <w:szCs w:val="18"/>
          <w:lang w:val="pt-BR"/>
        </w:rPr>
        <w:t>:</w:t>
      </w:r>
      <w:r w:rsidRPr="006301EB">
        <w:rPr>
          <w:rFonts w:ascii="Tahoma" w:hAnsi="Tahoma" w:cs="Tahoma"/>
          <w:sz w:val="18"/>
          <w:szCs w:val="18"/>
          <w:u w:val="single"/>
          <w:lang w:val="pt-BR"/>
        </w:rPr>
        <w:br/>
      </w:r>
      <w:r w:rsidRPr="006301EB">
        <w:rPr>
          <w:rFonts w:ascii="Tahoma" w:hAnsi="Tahoma" w:cs="Tahoma"/>
          <w:sz w:val="18"/>
          <w:szCs w:val="18"/>
          <w:lang w:val="pt-BR"/>
        </w:rPr>
        <w:t>Os clientes de licenças por volume situados na Coreia que tiverem um contrato ou registro do Licenciamento</w:t>
      </w:r>
      <w:r w:rsidR="00C91853" w:rsidRPr="006301EB">
        <w:rPr>
          <w:rFonts w:ascii="Tahoma" w:hAnsi="Tahoma" w:cs="Tahoma"/>
          <w:sz w:val="18"/>
          <w:szCs w:val="18"/>
          <w:lang w:val="pt-BR"/>
        </w:rPr>
        <w:t> </w:t>
      </w:r>
      <w:r w:rsidRPr="006301EB">
        <w:rPr>
          <w:rFonts w:ascii="Tahoma" w:hAnsi="Tahoma" w:cs="Tahoma"/>
          <w:sz w:val="18"/>
          <w:szCs w:val="18"/>
          <w:lang w:val="pt-BR"/>
        </w:rPr>
        <w:t>por Volume ativo com a Microsoft Operations Pte Ltd estarão qualificados para adquirir a</w:t>
      </w:r>
      <w:r w:rsidR="00C91853" w:rsidRPr="006301EB">
        <w:rPr>
          <w:rFonts w:ascii="Tahoma" w:hAnsi="Tahoma" w:cs="Tahoma"/>
          <w:sz w:val="18"/>
          <w:szCs w:val="18"/>
          <w:lang w:val="pt-BR"/>
        </w:rPr>
        <w:t> </w:t>
      </w:r>
      <w:r w:rsidRPr="006301EB">
        <w:rPr>
          <w:rFonts w:ascii="Tahoma" w:hAnsi="Tahoma" w:cs="Tahoma"/>
          <w:sz w:val="18"/>
          <w:szCs w:val="18"/>
          <w:lang w:val="pt-BR"/>
        </w:rPr>
        <w:t>mídia do Windows 7 Professional KN para implantação e uso na Coreia. Nenhum outro uso é permitido.</w:t>
      </w:r>
    </w:p>
    <w:p w:rsidR="00F64DEA" w:rsidRPr="006301EB" w:rsidRDefault="00F64DEA" w:rsidP="00F64DEA">
      <w:pPr>
        <w:pStyle w:val="FootnoteBulletLevel2"/>
        <w:spacing w:before="0"/>
        <w:ind w:left="720" w:hanging="7"/>
        <w:rPr>
          <w:rFonts w:ascii="Tahoma" w:hAnsi="Tahoma" w:cs="Tahoma"/>
          <w:sz w:val="18"/>
          <w:szCs w:val="18"/>
          <w:lang w:val="pt-BR"/>
        </w:rPr>
      </w:pPr>
    </w:p>
    <w:p w:rsidR="00B73A46" w:rsidRPr="006301EB" w:rsidRDefault="00B73A46" w:rsidP="00F64DEA">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Windows Vista Business N (sem o Windows Media Player)</w:t>
      </w:r>
    </w:p>
    <w:p w:rsidR="00B73A46" w:rsidRPr="006301EB" w:rsidRDefault="00B73A46" w:rsidP="00F64DEA">
      <w:pPr>
        <w:pStyle w:val="FootnoteBulletLevel2"/>
        <w:spacing w:before="0"/>
        <w:ind w:left="720" w:hanging="7"/>
        <w:rPr>
          <w:lang w:val="pt-BR"/>
        </w:rPr>
      </w:pPr>
      <w:r w:rsidRPr="006301EB">
        <w:rPr>
          <w:rFonts w:ascii="Tahoma" w:hAnsi="Tahoma" w:cs="Tahoma"/>
          <w:sz w:val="18"/>
          <w:szCs w:val="18"/>
          <w:u w:val="single"/>
          <w:lang w:val="pt-BR"/>
        </w:rPr>
        <w:t>Qualificação</w:t>
      </w:r>
      <w:r w:rsidRPr="006301EB">
        <w:rPr>
          <w:rFonts w:ascii="Tahoma" w:hAnsi="Tahoma" w:cs="Tahoma"/>
          <w:sz w:val="18"/>
          <w:szCs w:val="18"/>
          <w:lang w:val="pt-BR"/>
        </w:rPr>
        <w:t>:</w:t>
      </w:r>
      <w:r w:rsidRPr="006301EB">
        <w:rPr>
          <w:rFonts w:ascii="Tahoma" w:hAnsi="Tahoma" w:cs="Tahoma"/>
          <w:sz w:val="18"/>
          <w:szCs w:val="18"/>
          <w:u w:val="single"/>
          <w:lang w:val="pt-BR"/>
        </w:rPr>
        <w:br/>
      </w:r>
      <w:r w:rsidRPr="006301EB">
        <w:rPr>
          <w:rFonts w:ascii="Tahoma" w:hAnsi="Tahoma" w:cs="Tahoma"/>
          <w:sz w:val="18"/>
          <w:szCs w:val="18"/>
          <w:lang w:val="pt-BR"/>
        </w:rPr>
        <w:t>Os clientes de licenças por volume que atenderem a todos os critérios a seguir estarão qualificados para</w:t>
      </w:r>
      <w:r w:rsidR="00C91853" w:rsidRPr="006301EB">
        <w:rPr>
          <w:rFonts w:ascii="Tahoma" w:hAnsi="Tahoma" w:cs="Tahoma"/>
          <w:sz w:val="18"/>
          <w:szCs w:val="18"/>
          <w:lang w:val="pt-BR"/>
        </w:rPr>
        <w:t> </w:t>
      </w:r>
      <w:r w:rsidRPr="006301EB">
        <w:rPr>
          <w:rFonts w:ascii="Tahoma" w:hAnsi="Tahoma" w:cs="Tahoma"/>
          <w:sz w:val="18"/>
          <w:szCs w:val="18"/>
          <w:lang w:val="pt-BR"/>
        </w:rPr>
        <w:t>adquirir a mídia do Microsoft Windows Vista Business N somente para implantação e uso na União Europeia (UE), na Associação Europeia de Livre Comércio (EFTA), na Bulgária, Croácia, Romênia ou Suíça.</w:t>
      </w:r>
    </w:p>
    <w:p w:rsidR="00F64DEA" w:rsidRPr="006301EB" w:rsidRDefault="00F64DEA" w:rsidP="00F64DEA">
      <w:pPr>
        <w:pStyle w:val="FootnoteBulletLevel2"/>
        <w:spacing w:before="0"/>
        <w:ind w:left="720" w:hanging="7"/>
        <w:rPr>
          <w:rFonts w:ascii="Tahoma" w:hAnsi="Tahoma" w:cs="Tahoma"/>
          <w:sz w:val="18"/>
          <w:szCs w:val="18"/>
          <w:lang w:val="pt-BR"/>
        </w:rPr>
      </w:pPr>
    </w:p>
    <w:p w:rsidR="00B73A46" w:rsidRPr="006301EB" w:rsidRDefault="00B73A46" w:rsidP="00F64DEA">
      <w:pPr>
        <w:pStyle w:val="Footnotedash"/>
        <w:spacing w:before="0" w:after="0"/>
        <w:ind w:left="720" w:hanging="7"/>
        <w:rPr>
          <w:lang w:val="pt-BR"/>
        </w:rPr>
      </w:pPr>
      <w:r w:rsidRPr="006301EB">
        <w:rPr>
          <w:rFonts w:ascii="Tahoma" w:hAnsi="Tahoma" w:cs="Tahoma"/>
          <w:sz w:val="18"/>
          <w:szCs w:val="18"/>
          <w:lang w:val="pt-BR"/>
        </w:rPr>
        <w:t xml:space="preserve">Eles deverão ter pelo menos um dos seguintes contratos ou registros ativos com a Microsoft Ireland Operations Ltd: </w:t>
      </w:r>
    </w:p>
    <w:p w:rsidR="00F64DEA" w:rsidRPr="006301EB" w:rsidRDefault="00F64DEA" w:rsidP="00F64DEA">
      <w:pPr>
        <w:pStyle w:val="Footnotedash"/>
        <w:spacing w:before="0" w:after="0"/>
        <w:ind w:left="720" w:hanging="7"/>
        <w:rPr>
          <w:rFonts w:ascii="Tahoma" w:hAnsi="Tahoma" w:cs="Tahoma"/>
          <w:sz w:val="18"/>
          <w:szCs w:val="18"/>
          <w:lang w:val="pt-BR"/>
        </w:rPr>
      </w:pPr>
    </w:p>
    <w:p w:rsidR="00B73A46" w:rsidRPr="006301EB" w:rsidRDefault="00B73A46" w:rsidP="00F64DEA">
      <w:pPr>
        <w:pStyle w:val="Footnotedash"/>
        <w:numPr>
          <w:ilvl w:val="0"/>
          <w:numId w:val="38"/>
        </w:numPr>
        <w:adjustRightInd/>
        <w:spacing w:before="0"/>
        <w:ind w:left="1440"/>
        <w:textAlignment w:val="auto"/>
        <w:rPr>
          <w:lang w:val="fr-FR"/>
        </w:rPr>
      </w:pPr>
      <w:r w:rsidRPr="006301EB">
        <w:rPr>
          <w:rFonts w:ascii="Tahoma" w:hAnsi="Tahoma" w:cs="Tahoma"/>
          <w:sz w:val="18"/>
          <w:szCs w:val="18"/>
          <w:lang w:val="fr-FR"/>
        </w:rPr>
        <w:t>Select, Enterprise ou Enterprise Subscription Enrollment</w:t>
      </w:r>
    </w:p>
    <w:p w:rsidR="00B73A46" w:rsidRPr="00416070" w:rsidRDefault="00B73A46" w:rsidP="00F64DEA">
      <w:pPr>
        <w:pStyle w:val="Footnotedash"/>
        <w:numPr>
          <w:ilvl w:val="0"/>
          <w:numId w:val="38"/>
        </w:numPr>
        <w:adjustRightInd/>
        <w:spacing w:before="0"/>
        <w:ind w:left="1440"/>
        <w:textAlignment w:val="auto"/>
      </w:pPr>
      <w:r w:rsidRPr="00416070">
        <w:rPr>
          <w:rFonts w:ascii="Tahoma" w:hAnsi="Tahoma" w:cs="Tahoma"/>
          <w:sz w:val="18"/>
          <w:szCs w:val="18"/>
        </w:rPr>
        <w:t>Licença Open*, Open Value, Campus e School Agreement, Open Value Subscription – Education</w:t>
      </w:r>
      <w:r w:rsidR="00D54BE1">
        <w:rPr>
          <w:rFonts w:ascii="Tahoma" w:hAnsi="Tahoma" w:cs="Tahoma"/>
          <w:sz w:val="18"/>
          <w:szCs w:val="18"/>
        </w:rPr>
        <w:t> </w:t>
      </w:r>
      <w:r w:rsidRPr="00416070">
        <w:rPr>
          <w:rFonts w:ascii="Tahoma" w:hAnsi="Tahoma" w:cs="Tahoma"/>
          <w:sz w:val="18"/>
          <w:szCs w:val="18"/>
        </w:rPr>
        <w:t xml:space="preserve">Solutions </w:t>
      </w:r>
    </w:p>
    <w:p w:rsidR="00B73A46" w:rsidRPr="006301EB" w:rsidRDefault="00B73A46" w:rsidP="00F64DEA">
      <w:pPr>
        <w:pStyle w:val="Footnotedash"/>
        <w:tabs>
          <w:tab w:val="clear" w:pos="1620"/>
        </w:tabs>
        <w:adjustRightInd/>
        <w:spacing w:before="0"/>
        <w:ind w:left="1440" w:firstLine="0"/>
        <w:textAlignment w:val="auto"/>
        <w:rPr>
          <w:lang w:val="pt-BR"/>
        </w:rPr>
      </w:pPr>
      <w:r w:rsidRPr="006301EB">
        <w:rPr>
          <w:rFonts w:ascii="Tahoma" w:hAnsi="Tahoma" w:cs="Tahoma"/>
          <w:sz w:val="18"/>
          <w:szCs w:val="18"/>
          <w:lang w:val="pt-BR"/>
        </w:rPr>
        <w:t>(*Para os fins da Licença Open, um “contrato ativo” é aquele associado a um Número de</w:t>
      </w:r>
      <w:r w:rsidR="00D54BE1" w:rsidRPr="006301EB">
        <w:rPr>
          <w:rFonts w:ascii="Tahoma" w:hAnsi="Tahoma" w:cs="Tahoma"/>
          <w:sz w:val="18"/>
          <w:szCs w:val="18"/>
          <w:lang w:val="pt-BR"/>
        </w:rPr>
        <w:t> </w:t>
      </w:r>
      <w:r w:rsidRPr="006301EB">
        <w:rPr>
          <w:rFonts w:ascii="Tahoma" w:hAnsi="Tahoma" w:cs="Tahoma"/>
          <w:sz w:val="18"/>
          <w:szCs w:val="18"/>
          <w:lang w:val="pt-BR"/>
        </w:rPr>
        <w:t>Autorização de Licença Open ativo.)</w:t>
      </w:r>
    </w:p>
    <w:p w:rsidR="00F64DEA" w:rsidRPr="006301EB" w:rsidRDefault="00F64DEA" w:rsidP="00AF3B19">
      <w:pPr>
        <w:pStyle w:val="Footnotedash"/>
        <w:tabs>
          <w:tab w:val="clear" w:pos="1620"/>
        </w:tabs>
        <w:adjustRightInd/>
        <w:spacing w:before="0" w:after="0"/>
        <w:ind w:left="0" w:firstLine="0"/>
        <w:textAlignment w:val="auto"/>
        <w:rPr>
          <w:rFonts w:ascii="Tahoma" w:hAnsi="Tahoma" w:cs="Tahoma"/>
          <w:sz w:val="18"/>
          <w:szCs w:val="18"/>
          <w:lang w:val="pt-BR"/>
        </w:rPr>
      </w:pPr>
    </w:p>
    <w:p w:rsidR="00B73A46" w:rsidRPr="006301EB" w:rsidRDefault="00B73A46" w:rsidP="00F64DEA">
      <w:pPr>
        <w:pStyle w:val="Footnotedash"/>
        <w:spacing w:before="0" w:after="0"/>
        <w:ind w:left="720" w:hanging="7"/>
        <w:rPr>
          <w:lang w:val="pt-BR"/>
        </w:rPr>
      </w:pPr>
      <w:r w:rsidRPr="006301EB">
        <w:rPr>
          <w:rFonts w:ascii="Tahoma" w:hAnsi="Tahoma" w:cs="Tahoma"/>
          <w:sz w:val="18"/>
          <w:szCs w:val="18"/>
          <w:lang w:val="pt-BR"/>
        </w:rPr>
        <w:lastRenderedPageBreak/>
        <w:t>Eles deverão ter o Software Assurance ativo para as licenças de atualização do Sistema Operacional Windows Desktop ou Windows Vista Business.</w:t>
      </w:r>
    </w:p>
    <w:p w:rsidR="00F64DEA" w:rsidRPr="006301EB" w:rsidRDefault="00F64DEA" w:rsidP="00F64DEA">
      <w:pPr>
        <w:pStyle w:val="Footnotedash"/>
        <w:spacing w:before="0" w:after="0"/>
        <w:ind w:left="720" w:hanging="7"/>
        <w:rPr>
          <w:rFonts w:ascii="Tahoma" w:hAnsi="Tahoma" w:cs="Tahoma"/>
          <w:sz w:val="18"/>
          <w:szCs w:val="18"/>
          <w:lang w:val="pt-BR"/>
        </w:rPr>
      </w:pPr>
    </w:p>
    <w:p w:rsidR="00B73A46" w:rsidRPr="006301EB" w:rsidRDefault="00B73A46" w:rsidP="00F64DEA">
      <w:pPr>
        <w:pStyle w:val="Footnotedash"/>
        <w:spacing w:before="0" w:after="0"/>
        <w:ind w:left="720" w:hanging="7"/>
        <w:rPr>
          <w:lang w:val="pt-BR"/>
        </w:rPr>
      </w:pPr>
      <w:r w:rsidRPr="006301EB">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rsidR="00EB3E62" w:rsidRPr="006301EB" w:rsidRDefault="00EB3E62" w:rsidP="00F64DEA">
      <w:pPr>
        <w:pStyle w:val="Footnotedash"/>
        <w:spacing w:before="0" w:after="0"/>
        <w:ind w:left="720" w:hanging="7"/>
        <w:rPr>
          <w:rFonts w:ascii="Tahoma" w:hAnsi="Tahoma" w:cs="Tahoma"/>
          <w:sz w:val="18"/>
          <w:szCs w:val="18"/>
          <w:lang w:val="pt-BR"/>
        </w:rPr>
      </w:pPr>
    </w:p>
    <w:p w:rsidR="00B73A46" w:rsidRPr="006301EB" w:rsidRDefault="00B73A46" w:rsidP="00EB3E62">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Windows 7 Professional N (sem o Windows Media Player)</w:t>
      </w:r>
    </w:p>
    <w:p w:rsidR="00B73A46" w:rsidRPr="006301EB" w:rsidRDefault="00B73A46" w:rsidP="00EB3E62">
      <w:pPr>
        <w:pStyle w:val="FootnoteBulletLevel2"/>
        <w:spacing w:before="0"/>
        <w:ind w:left="720" w:firstLine="0"/>
        <w:rPr>
          <w:lang w:val="pt-BR"/>
        </w:rPr>
      </w:pPr>
      <w:r w:rsidRPr="006301EB">
        <w:rPr>
          <w:rFonts w:ascii="Tahoma" w:hAnsi="Tahoma" w:cs="Tahoma"/>
          <w:sz w:val="18"/>
          <w:szCs w:val="18"/>
          <w:u w:val="single"/>
          <w:lang w:val="pt-BR"/>
        </w:rPr>
        <w:t>Qualificação</w:t>
      </w:r>
      <w:r w:rsidRPr="006301EB">
        <w:rPr>
          <w:rFonts w:ascii="Tahoma" w:hAnsi="Tahoma" w:cs="Tahoma"/>
          <w:sz w:val="18"/>
          <w:szCs w:val="18"/>
          <w:lang w:val="pt-BR"/>
        </w:rPr>
        <w:t>:</w:t>
      </w:r>
      <w:r w:rsidRPr="006301EB">
        <w:rPr>
          <w:rFonts w:ascii="Tahoma" w:hAnsi="Tahoma" w:cs="Tahoma"/>
          <w:sz w:val="18"/>
          <w:szCs w:val="18"/>
          <w:u w:val="single"/>
          <w:lang w:val="pt-BR"/>
        </w:rPr>
        <w:br/>
      </w:r>
      <w:r w:rsidRPr="006301EB">
        <w:rPr>
          <w:rFonts w:ascii="Tahoma" w:hAnsi="Tahoma" w:cs="Tahoma"/>
          <w:sz w:val="18"/>
          <w:szCs w:val="18"/>
          <w:lang w:val="pt-BR"/>
        </w:rPr>
        <w:t>Os clientes de licenças por volume que atenderem a todos os critérios a seguir estarão qualificados para</w:t>
      </w:r>
      <w:r w:rsidR="00C91853" w:rsidRPr="006301EB">
        <w:rPr>
          <w:rFonts w:ascii="Tahoma" w:hAnsi="Tahoma" w:cs="Tahoma"/>
          <w:sz w:val="18"/>
          <w:szCs w:val="18"/>
          <w:lang w:val="pt-BR"/>
        </w:rPr>
        <w:t> </w:t>
      </w:r>
      <w:r w:rsidRPr="006301EB">
        <w:rPr>
          <w:rFonts w:ascii="Tahoma" w:hAnsi="Tahoma" w:cs="Tahoma"/>
          <w:sz w:val="18"/>
          <w:szCs w:val="18"/>
          <w:lang w:val="pt-BR"/>
        </w:rPr>
        <w:t>adquirir a mídia do Microsoft Windows 7 Professional N somente para implantação e uso na União Europeia (UE), na Associação Europeia de Livre Comércio (EFTA), na Bulgária, Croácia, Romênia ou Suíça.</w:t>
      </w:r>
    </w:p>
    <w:p w:rsidR="00B73A46" w:rsidRPr="006301EB" w:rsidRDefault="00B73A46" w:rsidP="00EB3E62">
      <w:pPr>
        <w:pStyle w:val="Footnotedash"/>
        <w:spacing w:before="0" w:after="0"/>
        <w:ind w:left="720" w:firstLine="0"/>
        <w:rPr>
          <w:lang w:val="pt-BR"/>
        </w:rPr>
      </w:pPr>
      <w:r w:rsidRPr="006301EB">
        <w:rPr>
          <w:rFonts w:ascii="Tahoma" w:hAnsi="Tahoma" w:cs="Tahoma"/>
          <w:sz w:val="18"/>
          <w:szCs w:val="18"/>
          <w:lang w:val="pt-BR"/>
        </w:rPr>
        <w:t xml:space="preserve">Eles deverão ter pelo menos um dos seguintes contratos ou registros ativos com a Microsoft Ireland Operations Ltd: </w:t>
      </w:r>
    </w:p>
    <w:p w:rsidR="00B73A46" w:rsidRPr="006301EB" w:rsidRDefault="00B73A46" w:rsidP="00EB3E62">
      <w:pPr>
        <w:pStyle w:val="Footnotedash"/>
        <w:numPr>
          <w:ilvl w:val="0"/>
          <w:numId w:val="38"/>
        </w:numPr>
        <w:adjustRightInd/>
        <w:spacing w:before="0"/>
        <w:ind w:left="1440"/>
        <w:textAlignment w:val="auto"/>
        <w:rPr>
          <w:lang w:val="fr-FR"/>
        </w:rPr>
      </w:pPr>
      <w:r w:rsidRPr="006301EB">
        <w:rPr>
          <w:rFonts w:ascii="Tahoma" w:hAnsi="Tahoma" w:cs="Tahoma"/>
          <w:sz w:val="18"/>
          <w:szCs w:val="18"/>
          <w:lang w:val="fr-FR"/>
        </w:rPr>
        <w:t>Select, Enterprise ou Enterprise Subscription Enrollment</w:t>
      </w:r>
    </w:p>
    <w:p w:rsidR="00B73A46" w:rsidRPr="00416070" w:rsidRDefault="00B73A46" w:rsidP="00EB3E62">
      <w:pPr>
        <w:pStyle w:val="Footnotedash"/>
        <w:numPr>
          <w:ilvl w:val="0"/>
          <w:numId w:val="38"/>
        </w:numPr>
        <w:adjustRightInd/>
        <w:spacing w:before="0"/>
        <w:ind w:left="1440"/>
        <w:textAlignment w:val="auto"/>
      </w:pPr>
      <w:r w:rsidRPr="00416070">
        <w:rPr>
          <w:rFonts w:ascii="Tahoma" w:hAnsi="Tahoma" w:cs="Tahoma"/>
          <w:sz w:val="18"/>
          <w:szCs w:val="18"/>
        </w:rPr>
        <w:t>Licença Open*, Open Value, Campus e School Agreement, Open Value Subscription – Education</w:t>
      </w:r>
      <w:r w:rsidR="00C91853" w:rsidRPr="00416070">
        <w:rPr>
          <w:rFonts w:ascii="Tahoma" w:hAnsi="Tahoma" w:cs="Tahoma"/>
          <w:sz w:val="18"/>
          <w:szCs w:val="18"/>
        </w:rPr>
        <w:t> </w:t>
      </w:r>
      <w:r w:rsidRPr="00416070">
        <w:rPr>
          <w:rFonts w:ascii="Tahoma" w:hAnsi="Tahoma" w:cs="Tahoma"/>
          <w:sz w:val="18"/>
          <w:szCs w:val="18"/>
        </w:rPr>
        <w:t xml:space="preserve">Solutions </w:t>
      </w:r>
    </w:p>
    <w:p w:rsidR="00B73A46" w:rsidRPr="006301EB" w:rsidRDefault="00B73A46" w:rsidP="00EB3E62">
      <w:pPr>
        <w:pStyle w:val="Footnotedash"/>
        <w:tabs>
          <w:tab w:val="clear" w:pos="1620"/>
        </w:tabs>
        <w:adjustRightInd/>
        <w:spacing w:before="0"/>
        <w:ind w:left="1440" w:firstLine="0"/>
        <w:textAlignment w:val="auto"/>
        <w:rPr>
          <w:lang w:val="pt-BR"/>
        </w:rPr>
      </w:pPr>
      <w:r w:rsidRPr="006301EB">
        <w:rPr>
          <w:rFonts w:ascii="Tahoma" w:hAnsi="Tahoma" w:cs="Tahoma"/>
          <w:sz w:val="18"/>
          <w:szCs w:val="18"/>
          <w:lang w:val="pt-BR"/>
        </w:rPr>
        <w:t>(*Para os fins da Licença Open, um “contrato ativo” é aquele associado a um Número de Autorização de Licença Open ativo.)</w:t>
      </w:r>
    </w:p>
    <w:p w:rsidR="00B73A46" w:rsidRPr="006301EB" w:rsidRDefault="00B73A46" w:rsidP="00EB3E62">
      <w:pPr>
        <w:pStyle w:val="Footnotedash"/>
        <w:spacing w:before="0" w:after="0"/>
        <w:ind w:left="720" w:firstLine="0"/>
        <w:rPr>
          <w:lang w:val="pt-BR"/>
        </w:rPr>
      </w:pPr>
      <w:r w:rsidRPr="006301EB">
        <w:rPr>
          <w:rFonts w:ascii="Tahoma" w:hAnsi="Tahoma" w:cs="Tahoma"/>
          <w:sz w:val="18"/>
          <w:szCs w:val="18"/>
          <w:lang w:val="pt-BR"/>
        </w:rPr>
        <w:t>Eles deverão ter o Software Assurance ativo para as licenças de atualização do Sistema Operacional Windows Desktop ou Windows 8 Pro.</w:t>
      </w:r>
    </w:p>
    <w:p w:rsidR="00EB3E62" w:rsidRPr="006301EB" w:rsidRDefault="00EB3E62" w:rsidP="00EB3E62">
      <w:pPr>
        <w:pStyle w:val="Footnotedash"/>
        <w:spacing w:before="0" w:after="0"/>
        <w:ind w:left="720" w:firstLine="0"/>
        <w:rPr>
          <w:rFonts w:ascii="Tahoma" w:hAnsi="Tahoma" w:cs="Tahoma"/>
          <w:sz w:val="18"/>
          <w:szCs w:val="18"/>
          <w:lang w:val="pt-BR"/>
        </w:rPr>
      </w:pPr>
    </w:p>
    <w:p w:rsidR="00B73A46" w:rsidRPr="006301EB" w:rsidRDefault="00B73A46" w:rsidP="00EB3E62">
      <w:pPr>
        <w:pStyle w:val="Footnotedash"/>
        <w:spacing w:before="0" w:after="0"/>
        <w:ind w:left="720" w:firstLine="0"/>
        <w:rPr>
          <w:lang w:val="pt-BR"/>
        </w:rPr>
      </w:pPr>
      <w:r w:rsidRPr="006301EB">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rsidR="00EB3E62" w:rsidRPr="006301EB" w:rsidRDefault="00EB3E62" w:rsidP="00EB3E62">
      <w:pPr>
        <w:pStyle w:val="Footnotedash"/>
        <w:spacing w:before="0" w:after="0"/>
        <w:ind w:left="720" w:firstLine="0"/>
        <w:rPr>
          <w:rFonts w:ascii="Tahoma" w:hAnsi="Tahoma" w:cs="Tahoma"/>
          <w:sz w:val="18"/>
          <w:szCs w:val="18"/>
          <w:lang w:val="pt-BR"/>
        </w:rPr>
      </w:pPr>
    </w:p>
    <w:p w:rsidR="00697E59" w:rsidRPr="006301EB" w:rsidRDefault="00B73A46" w:rsidP="00EB3E62">
      <w:pPr>
        <w:pStyle w:val="Footnotedash"/>
        <w:spacing w:before="0" w:after="0"/>
        <w:ind w:left="720" w:firstLine="0"/>
        <w:rPr>
          <w:lang w:val="pt-BR"/>
        </w:rPr>
      </w:pPr>
      <w:r w:rsidRPr="006301EB">
        <w:rPr>
          <w:rFonts w:ascii="Tahoma" w:hAnsi="Tahoma" w:cs="Tahoma"/>
          <w:sz w:val="18"/>
          <w:szCs w:val="18"/>
          <w:lang w:val="pt-BR"/>
        </w:rPr>
        <w:t>Os clientes poderão desconsiderar a notificação encontrada nos Direitos de Uso de Produto de julho de 2009 referente à ausência do Internet Explorer 8 e o aviso correspondente de isenção de responsabilidade da</w:t>
      </w:r>
      <w:r w:rsidR="00C91853" w:rsidRPr="006301EB">
        <w:rPr>
          <w:rFonts w:ascii="Tahoma" w:hAnsi="Tahoma" w:cs="Tahoma"/>
          <w:sz w:val="18"/>
          <w:szCs w:val="18"/>
          <w:lang w:val="pt-BR"/>
        </w:rPr>
        <w:t> </w:t>
      </w:r>
      <w:r w:rsidR="009D57D2" w:rsidRPr="006301EB">
        <w:rPr>
          <w:rFonts w:ascii="Tahoma" w:hAnsi="Tahoma" w:cs="Tahoma"/>
          <w:sz w:val="18"/>
          <w:szCs w:val="18"/>
          <w:lang w:val="pt-BR"/>
        </w:rPr>
        <w:t>garantia.</w:t>
      </w:r>
    </w:p>
    <w:p w:rsidR="00804794" w:rsidRPr="006301EB"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8A5D64" w:rsidRPr="006301EB" w:rsidRDefault="008A5D64" w:rsidP="00804794">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Windows 8 Pro KN</w:t>
      </w:r>
    </w:p>
    <w:p w:rsidR="008A5D64" w:rsidRPr="006301EB" w:rsidRDefault="008A5D64" w:rsidP="00804794">
      <w:pPr>
        <w:pStyle w:val="FootnoteBulletLevel2"/>
        <w:spacing w:before="0"/>
        <w:ind w:left="720" w:hanging="7"/>
        <w:rPr>
          <w:lang w:val="pt-BR"/>
        </w:rPr>
      </w:pPr>
      <w:r w:rsidRPr="006301EB">
        <w:rPr>
          <w:rFonts w:ascii="Tahoma" w:hAnsi="Tahoma" w:cs="Tahoma"/>
          <w:sz w:val="18"/>
          <w:szCs w:val="18"/>
          <w:u w:val="single"/>
          <w:lang w:val="pt-BR"/>
        </w:rPr>
        <w:t>Qualificação</w:t>
      </w:r>
      <w:r w:rsidR="00D52BBD" w:rsidRPr="006301EB">
        <w:rPr>
          <w:rFonts w:ascii="Tahoma" w:hAnsi="Tahoma" w:cs="Tahoma"/>
          <w:sz w:val="18"/>
          <w:szCs w:val="18"/>
          <w:lang w:val="pt-BR"/>
        </w:rPr>
        <w:t>:</w:t>
      </w:r>
      <w:r w:rsidRPr="006301EB">
        <w:rPr>
          <w:rFonts w:ascii="Tahoma" w:hAnsi="Tahoma" w:cs="Tahoma"/>
          <w:sz w:val="18"/>
          <w:szCs w:val="18"/>
          <w:u w:val="single"/>
          <w:lang w:val="pt-BR"/>
        </w:rPr>
        <w:br/>
      </w:r>
      <w:r w:rsidRPr="006301EB">
        <w:rPr>
          <w:rFonts w:ascii="Tahoma" w:hAnsi="Tahoma" w:cs="Tahoma"/>
          <w:sz w:val="18"/>
          <w:szCs w:val="18"/>
          <w:lang w:val="pt-BR"/>
        </w:rPr>
        <w:t>Os clientes de licenças por volume situados na Coreia que tiverem um contrato ou registro do Licenciamento por Volume ativo com a Microsoft Operations Pte Ltd estarão qualificados para adquirir a mídia do Windows 8 Pro KN para implantação e uso na Coreia. Nenhum outro uso é permitido.</w:t>
      </w:r>
    </w:p>
    <w:p w:rsidR="00804794" w:rsidRPr="006301EB"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8A5D64" w:rsidRPr="006301EB" w:rsidRDefault="008A5D64" w:rsidP="00804794">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t>Windows 8 Pro N (sem o Windows Media Player)</w:t>
      </w:r>
    </w:p>
    <w:p w:rsidR="008A5D64" w:rsidRPr="006301EB" w:rsidRDefault="008A5D64" w:rsidP="00804794">
      <w:pPr>
        <w:pStyle w:val="FootnoteBulletLevel2"/>
        <w:spacing w:before="0"/>
        <w:ind w:left="720" w:firstLine="0"/>
        <w:rPr>
          <w:lang w:val="pt-BR"/>
        </w:rPr>
      </w:pPr>
      <w:r w:rsidRPr="006301EB">
        <w:rPr>
          <w:rFonts w:ascii="Tahoma" w:hAnsi="Tahoma" w:cs="Tahoma"/>
          <w:sz w:val="18"/>
          <w:szCs w:val="18"/>
          <w:u w:val="single"/>
          <w:lang w:val="pt-BR"/>
        </w:rPr>
        <w:t>Qualificação</w:t>
      </w:r>
      <w:r w:rsidRPr="006301EB">
        <w:rPr>
          <w:rFonts w:ascii="Tahoma" w:hAnsi="Tahoma" w:cs="Tahoma"/>
          <w:sz w:val="18"/>
          <w:szCs w:val="18"/>
          <w:lang w:val="pt-BR"/>
        </w:rPr>
        <w:t>:</w:t>
      </w:r>
      <w:r w:rsidRPr="006301EB">
        <w:rPr>
          <w:rFonts w:ascii="Tahoma" w:hAnsi="Tahoma" w:cs="Tahoma"/>
          <w:sz w:val="18"/>
          <w:szCs w:val="18"/>
          <w:u w:val="single"/>
          <w:lang w:val="pt-BR"/>
        </w:rPr>
        <w:br/>
      </w:r>
      <w:r w:rsidRPr="006301EB">
        <w:rPr>
          <w:rFonts w:ascii="Tahoma" w:hAnsi="Tahoma" w:cs="Tahoma"/>
          <w:sz w:val="18"/>
          <w:szCs w:val="18"/>
          <w:lang w:val="pt-BR"/>
        </w:rPr>
        <w:t>Os clientes de licenças por volume que atenderem a todos os critérios a seguir estarão qualificados para adquirir a mídia do Microsoft Windows 8 Pro N somente para implantação e uso na União Europeia (UE), na</w:t>
      </w:r>
      <w:r w:rsidR="00C91853" w:rsidRPr="006301EB">
        <w:rPr>
          <w:rFonts w:ascii="Tahoma" w:hAnsi="Tahoma" w:cs="Tahoma"/>
          <w:sz w:val="18"/>
          <w:szCs w:val="18"/>
          <w:lang w:val="pt-BR"/>
        </w:rPr>
        <w:t> </w:t>
      </w:r>
      <w:r w:rsidRPr="006301EB">
        <w:rPr>
          <w:rFonts w:ascii="Tahoma" w:hAnsi="Tahoma" w:cs="Tahoma"/>
          <w:sz w:val="18"/>
          <w:szCs w:val="18"/>
          <w:lang w:val="pt-BR"/>
        </w:rPr>
        <w:t>Associação Europeia de Livre Comércio (EFTA), na Bulgária, Croácia, Romênia ou Suíça.</w:t>
      </w:r>
    </w:p>
    <w:p w:rsidR="008A5D64" w:rsidRPr="006301EB" w:rsidRDefault="008A5D64" w:rsidP="00804794">
      <w:pPr>
        <w:pStyle w:val="Footnotedash"/>
        <w:spacing w:before="0" w:after="0"/>
        <w:ind w:left="720" w:hanging="7"/>
        <w:rPr>
          <w:lang w:val="pt-BR"/>
        </w:rPr>
      </w:pPr>
      <w:r w:rsidRPr="006301EB">
        <w:rPr>
          <w:rFonts w:ascii="Tahoma" w:hAnsi="Tahoma" w:cs="Tahoma"/>
          <w:sz w:val="18"/>
          <w:szCs w:val="18"/>
          <w:lang w:val="pt-BR"/>
        </w:rPr>
        <w:t xml:space="preserve">Eles deverão ter pelo menos um dos seguintes contratos ou registros ativos com a Microsoft Ireland Operations Ltd: </w:t>
      </w:r>
    </w:p>
    <w:p w:rsidR="00804794" w:rsidRPr="006301EB" w:rsidRDefault="00804794" w:rsidP="00804794">
      <w:pPr>
        <w:pStyle w:val="Footnotedash"/>
        <w:spacing w:before="0" w:after="0"/>
        <w:ind w:left="720" w:hanging="7"/>
        <w:rPr>
          <w:rFonts w:ascii="Tahoma" w:hAnsi="Tahoma" w:cs="Tahoma"/>
          <w:sz w:val="18"/>
          <w:szCs w:val="18"/>
          <w:lang w:val="pt-BR"/>
        </w:rPr>
      </w:pPr>
    </w:p>
    <w:p w:rsidR="008A5D64" w:rsidRPr="006301EB" w:rsidRDefault="008A5D64" w:rsidP="00804794">
      <w:pPr>
        <w:pStyle w:val="Footnotedash"/>
        <w:numPr>
          <w:ilvl w:val="0"/>
          <w:numId w:val="38"/>
        </w:numPr>
        <w:adjustRightInd/>
        <w:spacing w:before="0"/>
        <w:ind w:left="1440"/>
        <w:textAlignment w:val="auto"/>
        <w:rPr>
          <w:lang w:val="fr-FR"/>
        </w:rPr>
      </w:pPr>
      <w:r w:rsidRPr="006301EB">
        <w:rPr>
          <w:rFonts w:ascii="Tahoma" w:hAnsi="Tahoma" w:cs="Tahoma"/>
          <w:sz w:val="18"/>
          <w:szCs w:val="18"/>
          <w:lang w:val="fr-FR"/>
        </w:rPr>
        <w:t>Select, Enterprise ou Enterprise Subscription Enrollment</w:t>
      </w:r>
    </w:p>
    <w:p w:rsidR="008A5D64" w:rsidRPr="00416070" w:rsidRDefault="008A5D64" w:rsidP="00804794">
      <w:pPr>
        <w:pStyle w:val="Footnotedash"/>
        <w:numPr>
          <w:ilvl w:val="0"/>
          <w:numId w:val="38"/>
        </w:numPr>
        <w:adjustRightInd/>
        <w:spacing w:before="0"/>
        <w:ind w:left="1440"/>
        <w:textAlignment w:val="auto"/>
      </w:pPr>
      <w:r w:rsidRPr="00416070">
        <w:rPr>
          <w:rFonts w:ascii="Tahoma" w:hAnsi="Tahoma" w:cs="Tahoma"/>
          <w:sz w:val="18"/>
          <w:szCs w:val="18"/>
        </w:rPr>
        <w:t>Licença Open*, Open Value, Campus e School Agreement, Open Value Subscription – Education</w:t>
      </w:r>
      <w:r w:rsidR="00C91853" w:rsidRPr="00416070">
        <w:rPr>
          <w:rFonts w:ascii="Tahoma" w:hAnsi="Tahoma" w:cs="Tahoma"/>
          <w:sz w:val="18"/>
          <w:szCs w:val="18"/>
        </w:rPr>
        <w:t> </w:t>
      </w:r>
      <w:r w:rsidRPr="00416070">
        <w:rPr>
          <w:rFonts w:ascii="Tahoma" w:hAnsi="Tahoma" w:cs="Tahoma"/>
          <w:sz w:val="18"/>
          <w:szCs w:val="18"/>
        </w:rPr>
        <w:t xml:space="preserve">Solutions </w:t>
      </w:r>
    </w:p>
    <w:p w:rsidR="008A5D64" w:rsidRPr="006301EB" w:rsidRDefault="008A5D64" w:rsidP="00804794">
      <w:pPr>
        <w:pStyle w:val="Footnotedash"/>
        <w:tabs>
          <w:tab w:val="clear" w:pos="1620"/>
        </w:tabs>
        <w:adjustRightInd/>
        <w:spacing w:before="0"/>
        <w:ind w:left="1440" w:firstLine="0"/>
        <w:textAlignment w:val="auto"/>
        <w:rPr>
          <w:lang w:val="pt-BR"/>
        </w:rPr>
      </w:pPr>
      <w:r w:rsidRPr="006301EB">
        <w:rPr>
          <w:rFonts w:ascii="Tahoma" w:hAnsi="Tahoma" w:cs="Tahoma"/>
          <w:sz w:val="18"/>
          <w:szCs w:val="18"/>
          <w:lang w:val="pt-BR"/>
        </w:rPr>
        <w:t>(*Para os fins da Licença Open, um “contrato ativo” é aquele associado a um Número de Autorização de Licença Open ativo.)</w:t>
      </w:r>
    </w:p>
    <w:p w:rsidR="00804794" w:rsidRPr="006301EB"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pt-BR"/>
        </w:rPr>
      </w:pPr>
    </w:p>
    <w:p w:rsidR="008A5D64" w:rsidRPr="006301EB" w:rsidRDefault="008A5D64" w:rsidP="00804794">
      <w:pPr>
        <w:pStyle w:val="Footnotedash"/>
        <w:spacing w:before="0" w:after="0"/>
        <w:ind w:left="720" w:hanging="7"/>
        <w:rPr>
          <w:lang w:val="pt-BR"/>
        </w:rPr>
      </w:pPr>
      <w:r w:rsidRPr="006301EB">
        <w:rPr>
          <w:rFonts w:ascii="Tahoma" w:hAnsi="Tahoma" w:cs="Tahoma"/>
          <w:sz w:val="18"/>
          <w:szCs w:val="18"/>
          <w:lang w:val="pt-BR"/>
        </w:rPr>
        <w:t>Eles deverão ter o Software Assurance ativo para as licenças de atualização do Sistema Operacional Windows Desktop ou Windows 8 Pro.</w:t>
      </w:r>
    </w:p>
    <w:p w:rsidR="00804794" w:rsidRPr="006301EB" w:rsidRDefault="00804794" w:rsidP="00804794">
      <w:pPr>
        <w:pStyle w:val="Footnotedash"/>
        <w:spacing w:before="0" w:after="0"/>
        <w:ind w:left="720" w:hanging="7"/>
        <w:rPr>
          <w:rFonts w:ascii="Tahoma" w:hAnsi="Tahoma" w:cs="Tahoma"/>
          <w:sz w:val="18"/>
          <w:szCs w:val="18"/>
          <w:lang w:val="pt-BR"/>
        </w:rPr>
      </w:pPr>
    </w:p>
    <w:p w:rsidR="008A5D64" w:rsidRPr="006301EB" w:rsidRDefault="008A5D64" w:rsidP="00804794">
      <w:pPr>
        <w:pStyle w:val="Footnotedash"/>
        <w:spacing w:before="0" w:after="0"/>
        <w:ind w:left="720" w:hanging="7"/>
        <w:rPr>
          <w:lang w:val="pt-BR"/>
        </w:rPr>
      </w:pPr>
      <w:r w:rsidRPr="006301EB">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rsidR="00804794" w:rsidRPr="006301EB"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C91853" w:rsidRPr="006301EB" w:rsidRDefault="00C91853"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C91853" w:rsidRPr="006301EB" w:rsidRDefault="00C91853"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B73A46" w:rsidRPr="006301EB" w:rsidRDefault="00B73A46" w:rsidP="00804794">
      <w:pPr>
        <w:pStyle w:val="FootnoteBulletLevel1"/>
        <w:tabs>
          <w:tab w:val="clear" w:pos="900"/>
        </w:tabs>
        <w:adjustRightInd/>
        <w:spacing w:before="0" w:after="60"/>
        <w:ind w:left="720" w:firstLine="0"/>
        <w:textAlignment w:val="auto"/>
        <w:rPr>
          <w:lang w:val="pt-BR"/>
        </w:rPr>
      </w:pPr>
      <w:r w:rsidRPr="006301EB">
        <w:rPr>
          <w:rFonts w:ascii="Tahoma" w:hAnsi="Tahoma" w:cs="Tahoma"/>
          <w:b/>
          <w:bCs/>
          <w:sz w:val="18"/>
          <w:szCs w:val="18"/>
          <w:lang w:val="pt-BR"/>
        </w:rPr>
        <w:lastRenderedPageBreak/>
        <w:t>Direitos de Locação para Windows</w:t>
      </w:r>
    </w:p>
    <w:p w:rsidR="00B73A46" w:rsidRPr="006301EB" w:rsidRDefault="00B73A46" w:rsidP="00804794">
      <w:pPr>
        <w:pStyle w:val="FootnoteBulletLevel1"/>
        <w:tabs>
          <w:tab w:val="clear" w:pos="900"/>
        </w:tabs>
        <w:adjustRightInd/>
        <w:spacing w:before="0" w:after="0"/>
        <w:ind w:left="720" w:firstLine="0"/>
        <w:textAlignment w:val="auto"/>
        <w:rPr>
          <w:lang w:val="pt-BR"/>
        </w:rPr>
      </w:pPr>
      <w:r w:rsidRPr="006301EB">
        <w:rPr>
          <w:rFonts w:ascii="Tahoma" w:hAnsi="Tahoma" w:cs="Tahoma"/>
          <w:sz w:val="18"/>
          <w:szCs w:val="18"/>
          <w:u w:val="single"/>
          <w:lang w:val="pt-BR"/>
        </w:rPr>
        <w:t>Licenças de Direitos de Locação</w:t>
      </w:r>
      <w:r w:rsidRPr="006301EB">
        <w:rPr>
          <w:rFonts w:ascii="Tahoma" w:hAnsi="Tahoma" w:cs="Tahoma"/>
          <w:sz w:val="18"/>
          <w:szCs w:val="18"/>
          <w:lang w:val="pt-BR"/>
        </w:rPr>
        <w:t>:</w:t>
      </w:r>
      <w:r w:rsidRPr="006301EB">
        <w:rPr>
          <w:rFonts w:ascii="Tahoma" w:hAnsi="Tahoma" w:cs="Tahoma"/>
          <w:sz w:val="18"/>
          <w:szCs w:val="18"/>
          <w:lang w:val="pt-BR"/>
        </w:rPr>
        <w:b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rsidR="00804794" w:rsidRPr="006301EB"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pt-BR"/>
        </w:rPr>
      </w:pPr>
    </w:p>
    <w:p w:rsidR="005F52C6" w:rsidRPr="00416070" w:rsidRDefault="00B73A46" w:rsidP="00804794">
      <w:pPr>
        <w:pStyle w:val="FootnoteBulletLevel1"/>
        <w:tabs>
          <w:tab w:val="clear" w:pos="900"/>
        </w:tabs>
        <w:adjustRightInd/>
        <w:spacing w:before="0" w:after="0"/>
        <w:ind w:left="720" w:firstLine="0"/>
        <w:textAlignment w:val="auto"/>
      </w:pPr>
      <w:r w:rsidRPr="00416070">
        <w:rPr>
          <w:rFonts w:ascii="Tahoma" w:hAnsi="Tahoma" w:cs="Tahoma"/>
          <w:sz w:val="18"/>
          <w:szCs w:val="18"/>
          <w:u w:val="single"/>
        </w:rPr>
        <w:t>Windows Vista, Windows 7 Professional e Windows 8 Pro</w:t>
      </w:r>
      <w:r w:rsidRPr="00416070">
        <w:rPr>
          <w:rFonts w:ascii="Tahoma" w:hAnsi="Tahoma" w:cs="Tahoma"/>
          <w:sz w:val="18"/>
          <w:szCs w:val="18"/>
        </w:rPr>
        <w:t>:</w:t>
      </w:r>
    </w:p>
    <w:p w:rsidR="00B73A46" w:rsidRPr="006301EB" w:rsidRDefault="00B73A46" w:rsidP="00804794">
      <w:pPr>
        <w:pStyle w:val="FootnoteBulletLevel1"/>
        <w:tabs>
          <w:tab w:val="clear" w:pos="900"/>
        </w:tabs>
        <w:adjustRightInd/>
        <w:spacing w:before="0" w:after="0"/>
        <w:ind w:left="720" w:firstLine="0"/>
        <w:textAlignment w:val="auto"/>
        <w:rPr>
          <w:lang w:val="pt-BR"/>
        </w:rPr>
      </w:pPr>
      <w:r w:rsidRPr="006301EB">
        <w:rPr>
          <w:rFonts w:ascii="Tahoma" w:hAnsi="Tahoma" w:cs="Tahoma"/>
          <w:sz w:val="18"/>
          <w:szCs w:val="18"/>
          <w:lang w:val="pt-BR"/>
        </w:rPr>
        <w:t>Os clientes que desejarem adquirir licenças de direitos de locação por meio dos programas Select ou Licença</w:t>
      </w:r>
      <w:r w:rsidR="00BA049C" w:rsidRPr="006301EB">
        <w:rPr>
          <w:rFonts w:ascii="Tahoma" w:hAnsi="Tahoma" w:cs="Tahoma"/>
          <w:sz w:val="18"/>
          <w:szCs w:val="18"/>
          <w:lang w:val="pt-BR"/>
        </w:rPr>
        <w:t> </w:t>
      </w:r>
      <w:r w:rsidRPr="006301EB">
        <w:rPr>
          <w:rFonts w:ascii="Tahoma" w:hAnsi="Tahoma" w:cs="Tahoma"/>
          <w:sz w:val="18"/>
          <w:szCs w:val="18"/>
          <w:lang w:val="pt-BR"/>
        </w:rPr>
        <w:t>Open deverão primeiro licenciar e instalar um sistema operacional qualificado no desktop</w:t>
      </w:r>
      <w:r w:rsidRPr="006301EB">
        <w:rPr>
          <w:rFonts w:ascii="Tahoma" w:hAnsi="Tahoma" w:cs="Tahoma"/>
          <w:i/>
          <w:iCs/>
          <w:sz w:val="18"/>
          <w:szCs w:val="18"/>
          <w:lang w:val="pt-BR"/>
        </w:rPr>
        <w:t>.</w:t>
      </w:r>
      <w:r w:rsidRPr="006301EB">
        <w:rPr>
          <w:rFonts w:ascii="Tahoma" w:hAnsi="Tahoma" w:cs="Tahoma"/>
          <w:sz w:val="18"/>
          <w:szCs w:val="18"/>
          <w:lang w:val="pt-BR"/>
        </w:rPr>
        <w:t xml:space="preserve"> Os sistemas operacionais qualificados licenciados também incluem licenças adquiridas com o Contrato Get Genuine Windows por meio desses programas.</w:t>
      </w:r>
    </w:p>
    <w:p w:rsidR="00B73A46" w:rsidRPr="006301EB" w:rsidRDefault="00B73A46" w:rsidP="00804794">
      <w:pPr>
        <w:ind w:left="720"/>
        <w:rPr>
          <w:lang w:val="pt-BR"/>
        </w:rPr>
      </w:pPr>
    </w:p>
    <w:p w:rsidR="00B73A46" w:rsidRPr="006301EB" w:rsidRDefault="00B73A46" w:rsidP="00804794">
      <w:pPr>
        <w:ind w:left="720"/>
        <w:rPr>
          <w:lang w:val="pt-BR"/>
        </w:rPr>
      </w:pPr>
      <w:r w:rsidRPr="006301EB">
        <w:rPr>
          <w:rFonts w:cs="Tahoma"/>
          <w:szCs w:val="18"/>
          <w:u w:val="single"/>
          <w:lang w:val="pt-BR"/>
        </w:rPr>
        <w:t>Regras de Sistemas Operacionais Qualificados</w:t>
      </w:r>
      <w:r w:rsidRPr="006301EB">
        <w:rPr>
          <w:rFonts w:cs="Tahoma"/>
          <w:szCs w:val="18"/>
          <w:lang w:val="pt-BR"/>
        </w:rPr>
        <w:t>: Cada uma destas condições deve ser atendida para que o</w:t>
      </w:r>
      <w:r w:rsidR="00BA049C" w:rsidRPr="006301EB">
        <w:rPr>
          <w:rFonts w:cs="Tahoma"/>
          <w:szCs w:val="18"/>
          <w:lang w:val="pt-BR"/>
        </w:rPr>
        <w:t> </w:t>
      </w:r>
      <w:r w:rsidRPr="006301EB">
        <w:rPr>
          <w:rFonts w:cs="Tahoma"/>
          <w:szCs w:val="18"/>
          <w:lang w:val="pt-BR"/>
        </w:rPr>
        <w:t xml:space="preserve">Sistema Operacional básico o qualifique para a </w:t>
      </w:r>
      <w:r w:rsidR="009D57D2" w:rsidRPr="006301EB">
        <w:rPr>
          <w:rFonts w:cs="Tahoma"/>
          <w:szCs w:val="18"/>
          <w:lang w:val="pt-BR"/>
        </w:rPr>
        <w:t>licença de Direitos de Locação:</w:t>
      </w:r>
    </w:p>
    <w:p w:rsidR="00B73A46" w:rsidRPr="006301EB" w:rsidRDefault="00B73A46" w:rsidP="00F02E9F">
      <w:pPr>
        <w:ind w:left="1440"/>
        <w:rPr>
          <w:lang w:val="pt-BR"/>
        </w:rPr>
      </w:pPr>
    </w:p>
    <w:p w:rsidR="00B73A46" w:rsidRPr="006301EB" w:rsidRDefault="00B73A46" w:rsidP="00804794">
      <w:pPr>
        <w:numPr>
          <w:ilvl w:val="0"/>
          <w:numId w:val="31"/>
        </w:numPr>
        <w:ind w:left="1440"/>
        <w:rPr>
          <w:lang w:val="pt-BR"/>
        </w:rPr>
      </w:pPr>
      <w:r w:rsidRPr="006301EB">
        <w:rPr>
          <w:rFonts w:cs="Tahoma"/>
          <w:szCs w:val="18"/>
          <w:lang w:val="pt-BR"/>
        </w:rPr>
        <w:t>A licença para o SO qualificado deverá ser cedida ao mesmo dispositivo ao qual a licença de</w:t>
      </w:r>
      <w:r w:rsidR="00BA049C" w:rsidRPr="006301EB">
        <w:rPr>
          <w:rFonts w:cs="Tahoma"/>
          <w:szCs w:val="18"/>
          <w:lang w:val="pt-BR"/>
        </w:rPr>
        <w:t> </w:t>
      </w:r>
      <w:r w:rsidRPr="006301EB">
        <w:rPr>
          <w:rFonts w:cs="Tahoma"/>
          <w:szCs w:val="18"/>
          <w:lang w:val="pt-BR"/>
        </w:rPr>
        <w:t>Direitos de Locação de VL será cedida.</w:t>
      </w:r>
    </w:p>
    <w:p w:rsidR="00B73A46" w:rsidRPr="006301EB" w:rsidRDefault="00B73A46" w:rsidP="00804794">
      <w:pPr>
        <w:numPr>
          <w:ilvl w:val="0"/>
          <w:numId w:val="31"/>
        </w:numPr>
        <w:ind w:left="1440"/>
        <w:rPr>
          <w:lang w:val="pt-BR"/>
        </w:rPr>
      </w:pPr>
      <w:r w:rsidRPr="006301EB">
        <w:rPr>
          <w:rFonts w:cs="Tahoma"/>
          <w:szCs w:val="18"/>
          <w:lang w:val="pt-BR"/>
        </w:rPr>
        <w:t>O SO qualificado deverá ser instalado no referido dispositivo.</w:t>
      </w:r>
    </w:p>
    <w:p w:rsidR="00E31CC0" w:rsidRPr="006301EB" w:rsidRDefault="00E31CC0" w:rsidP="00997D81">
      <w:pPr>
        <w:rPr>
          <w:lang w:val="pt-BR"/>
        </w:rPr>
      </w:pPr>
    </w:p>
    <w:p w:rsidR="00B73A46" w:rsidRPr="00416070" w:rsidRDefault="00B73A46" w:rsidP="00EE035D">
      <w:pPr>
        <w:pStyle w:val="EndnoteText"/>
        <w:ind w:left="720"/>
      </w:pPr>
      <w:r w:rsidRPr="00416070">
        <w:rPr>
          <w:rFonts w:ascii="Tahoma" w:hAnsi="Tahoma" w:cs="Tahoma"/>
          <w:sz w:val="18"/>
          <w:szCs w:val="18"/>
        </w:rPr>
        <w:t>Os sistemas operacionais qualificados por tipo de Programa são:</w:t>
      </w:r>
    </w:p>
    <w:p w:rsidR="00B73A46" w:rsidRPr="00416070" w:rsidRDefault="00B73A46" w:rsidP="00B73A46">
      <w:pPr>
        <w:pStyle w:val="EndnoteText"/>
        <w:rPr>
          <w:rFonts w:ascii="Tahoma"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416070"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6301EB" w:rsidRDefault="009B3FA2" w:rsidP="00D54BE1">
            <w:pPr>
              <w:ind w:left="72"/>
              <w:rPr>
                <w:rFonts w:eastAsia="Calibri" w:cs="Tahoma"/>
                <w:bCs/>
                <w:szCs w:val="18"/>
                <w:lang w:val="pt-BR"/>
              </w:rPr>
            </w:pPr>
            <w:r w:rsidRPr="006301EB">
              <w:rPr>
                <w:rFonts w:cs="Tahoma"/>
                <w:b/>
                <w:bCs/>
                <w:szCs w:val="18"/>
                <w:lang w:val="pt-BR"/>
              </w:rPr>
              <w:t>Sistemas operacionais qualificados para a compra de Direitos de Locação do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070" w:rsidRDefault="00B73A46" w:rsidP="009B3FA2">
            <w:pPr>
              <w:jc w:val="center"/>
              <w:rPr>
                <w:rFonts w:eastAsia="Calibri" w:cs="Tahoma"/>
                <w:b/>
                <w:bCs/>
                <w:sz w:val="14"/>
                <w:szCs w:val="18"/>
              </w:rPr>
            </w:pPr>
            <w:r w:rsidRPr="00416070">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070" w:rsidRDefault="00B73A46" w:rsidP="001B15A5">
            <w:pPr>
              <w:jc w:val="center"/>
              <w:rPr>
                <w:rFonts w:eastAsia="Calibri" w:cs="Tahoma"/>
                <w:b/>
                <w:bCs/>
                <w:sz w:val="14"/>
                <w:szCs w:val="18"/>
              </w:rPr>
            </w:pPr>
            <w:r w:rsidRPr="00416070">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070" w:rsidRDefault="00B73A46" w:rsidP="0050116B">
            <w:pPr>
              <w:jc w:val="center"/>
              <w:rPr>
                <w:rFonts w:eastAsia="Calibri" w:cs="Tahoma"/>
                <w:b/>
                <w:bCs/>
                <w:sz w:val="14"/>
                <w:szCs w:val="18"/>
              </w:rPr>
            </w:pPr>
            <w:r w:rsidRPr="00416070">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070" w:rsidRDefault="00B73A46" w:rsidP="005F0406">
            <w:pPr>
              <w:jc w:val="center"/>
              <w:rPr>
                <w:rFonts w:eastAsia="Calibri" w:cs="Tahoma"/>
                <w:b/>
                <w:bCs/>
                <w:sz w:val="14"/>
                <w:szCs w:val="18"/>
              </w:rPr>
            </w:pPr>
            <w:r w:rsidRPr="00416070">
              <w:rPr>
                <w:rFonts w:cs="Tahoma"/>
                <w:b/>
                <w:bCs/>
                <w:sz w:val="14"/>
                <w:szCs w:val="18"/>
              </w:rPr>
              <w:t>Licença Open</w:t>
            </w:r>
          </w:p>
        </w:tc>
        <w:tc>
          <w:tcPr>
            <w:tcW w:w="16" w:type="dxa"/>
            <w:vAlign w:val="center"/>
          </w:tcPr>
          <w:p w:rsidR="00B73A46" w:rsidRPr="00416070" w:rsidRDefault="00B73A46" w:rsidP="00713A6C">
            <w:pPr>
              <w:rPr>
                <w:rFonts w:eastAsia="Calibri" w:cs="Tahoma"/>
                <w:szCs w:val="18"/>
              </w:rPr>
            </w:pPr>
          </w:p>
        </w:tc>
      </w:tr>
      <w:tr w:rsidR="00BF7A97" w:rsidRPr="0041607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416070" w:rsidRDefault="00BF7A97" w:rsidP="00713A6C">
            <w:pPr>
              <w:rPr>
                <w:rFonts w:cs="Tahoma"/>
                <w:b/>
                <w:bCs/>
                <w:szCs w:val="18"/>
              </w:rPr>
            </w:pPr>
            <w:r w:rsidRPr="00416070">
              <w:rPr>
                <w:rFonts w:cs="Tahoma"/>
                <w:b/>
                <w:bCs/>
                <w:szCs w:val="18"/>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070"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07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070"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070" w:rsidRDefault="00BF7A97" w:rsidP="00BF7A97">
            <w:pPr>
              <w:jc w:val="center"/>
              <w:rPr>
                <w:rFonts w:eastAsia="Times New Roman" w:cs="Tahoma"/>
                <w:szCs w:val="18"/>
              </w:rPr>
            </w:pPr>
          </w:p>
        </w:tc>
        <w:tc>
          <w:tcPr>
            <w:tcW w:w="16" w:type="dxa"/>
            <w:vAlign w:val="center"/>
          </w:tcPr>
          <w:p w:rsidR="00BF7A97" w:rsidRPr="00416070" w:rsidRDefault="00BF7A97" w:rsidP="00713A6C">
            <w:pPr>
              <w:rPr>
                <w:rFonts w:eastAsia="Calibri" w:cs="Tahoma"/>
                <w:szCs w:val="18"/>
              </w:rPr>
            </w:pPr>
          </w:p>
        </w:tc>
      </w:tr>
      <w:tr w:rsidR="00BF7A97" w:rsidRPr="0041607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416070" w:rsidRDefault="00BF7A97" w:rsidP="00BF7A97">
            <w:pPr>
              <w:ind w:left="522"/>
              <w:rPr>
                <w:rFonts w:cs="Tahoma"/>
                <w:b/>
                <w:bCs/>
                <w:szCs w:val="18"/>
              </w:rPr>
            </w:pPr>
            <w:r w:rsidRPr="00416070">
              <w:rPr>
                <w:rFonts w:cs="Tahoma"/>
                <w:szCs w:val="18"/>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070" w:rsidRDefault="00BF7A97" w:rsidP="00BF7A97">
            <w:pPr>
              <w:jc w:val="center"/>
              <w:rPr>
                <w:rFonts w:eastAsia="Times New Roman" w:cs="Tahoma"/>
                <w:szCs w:val="18"/>
              </w:rPr>
            </w:pPr>
            <w:r w:rsidRPr="00416070">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070"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070" w:rsidRDefault="00BF7A97" w:rsidP="00BF7A97">
            <w:pPr>
              <w:jc w:val="center"/>
              <w:rPr>
                <w:rFonts w:eastAsia="Times New Roman" w:cs="Tahoma"/>
                <w:szCs w:val="18"/>
              </w:rPr>
            </w:pPr>
            <w:r w:rsidRPr="00416070">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070" w:rsidRDefault="00BF7A97" w:rsidP="00BF7A97">
            <w:pPr>
              <w:jc w:val="center"/>
              <w:rPr>
                <w:rFonts w:eastAsia="Times New Roman" w:cs="Tahoma"/>
                <w:szCs w:val="18"/>
              </w:rPr>
            </w:pPr>
            <w:r w:rsidRPr="00416070">
              <w:rPr>
                <w:rFonts w:eastAsia="Times New Roman" w:cs="Tahoma"/>
                <w:szCs w:val="18"/>
              </w:rPr>
              <w:t>x</w:t>
            </w:r>
          </w:p>
        </w:tc>
        <w:tc>
          <w:tcPr>
            <w:tcW w:w="16" w:type="dxa"/>
            <w:vAlign w:val="center"/>
          </w:tcPr>
          <w:p w:rsidR="00BF7A97" w:rsidRPr="00416070" w:rsidRDefault="00BF7A97" w:rsidP="00713A6C">
            <w:pPr>
              <w:rPr>
                <w:rFonts w:eastAsia="Calibri" w:cs="Tahoma"/>
                <w:szCs w:val="18"/>
              </w:rPr>
            </w:pPr>
          </w:p>
        </w:tc>
      </w:tr>
      <w:tr w:rsidR="00B73A46" w:rsidRPr="0041607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rPr>
                <w:rFonts w:eastAsia="Calibri" w:cs="Tahoma"/>
                <w:b/>
                <w:bCs/>
                <w:szCs w:val="18"/>
              </w:rPr>
            </w:pPr>
            <w:r w:rsidRPr="00416070">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BF7A97">
            <w:pPr>
              <w:jc w:val="center"/>
              <w:rPr>
                <w:rFonts w:eastAsia="Times New Roman" w:cs="Tahoma"/>
                <w:szCs w:val="18"/>
              </w:rPr>
            </w:pPr>
          </w:p>
        </w:tc>
        <w:tc>
          <w:tcPr>
            <w:tcW w:w="16" w:type="dxa"/>
            <w:vAlign w:val="center"/>
          </w:tcPr>
          <w:p w:rsidR="00B73A46" w:rsidRPr="00416070" w:rsidRDefault="00B73A46" w:rsidP="00713A6C">
            <w:pPr>
              <w:rPr>
                <w:rFonts w:eastAsia="Calibri" w:cs="Tahoma"/>
                <w:szCs w:val="18"/>
              </w:rPr>
            </w:pPr>
          </w:p>
        </w:tc>
      </w:tr>
      <w:tr w:rsidR="00B73A46" w:rsidRPr="0041607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BF7A97">
            <w:pPr>
              <w:ind w:left="522"/>
              <w:rPr>
                <w:rFonts w:eastAsia="Calibri" w:cs="Tahoma"/>
                <w:bCs/>
                <w:szCs w:val="18"/>
              </w:rPr>
            </w:pPr>
            <w:r w:rsidRPr="00416070">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6" w:type="dxa"/>
            <w:vAlign w:val="center"/>
          </w:tcPr>
          <w:p w:rsidR="00B73A46" w:rsidRPr="00416070" w:rsidRDefault="00B73A46" w:rsidP="00713A6C">
            <w:pPr>
              <w:rPr>
                <w:rFonts w:eastAsia="Calibri" w:cs="Tahoma"/>
                <w:szCs w:val="18"/>
              </w:rPr>
            </w:pPr>
          </w:p>
        </w:tc>
      </w:tr>
      <w:tr w:rsidR="00B73A46" w:rsidRPr="002B5F9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301EB" w:rsidRDefault="00B73A46" w:rsidP="00713A6C">
            <w:pPr>
              <w:rPr>
                <w:rFonts w:eastAsia="Calibri" w:cs="Tahoma"/>
                <w:b/>
                <w:bCs/>
                <w:szCs w:val="18"/>
                <w:lang w:val="pt-BR"/>
              </w:rPr>
            </w:pPr>
            <w:r w:rsidRPr="006301EB">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301EB" w:rsidRDefault="00C45359" w:rsidP="00713A6C">
            <w:pPr>
              <w:jc w:val="center"/>
              <w:rPr>
                <w:rFonts w:eastAsia="Calibri" w:cs="Tahoma"/>
                <w:szCs w:val="18"/>
                <w:lang w:val="pt-BR"/>
              </w:rPr>
            </w:pPr>
            <w:r w:rsidRPr="006301EB">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301EB" w:rsidRDefault="00C45359" w:rsidP="00713A6C">
            <w:pPr>
              <w:jc w:val="center"/>
              <w:rPr>
                <w:rFonts w:eastAsia="Calibri" w:cs="Tahoma"/>
                <w:szCs w:val="18"/>
                <w:lang w:val="pt-BR"/>
              </w:rPr>
            </w:pPr>
            <w:r w:rsidRPr="006301EB">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301EB" w:rsidRDefault="00C45359" w:rsidP="00713A6C">
            <w:pPr>
              <w:jc w:val="center"/>
              <w:rPr>
                <w:rFonts w:eastAsia="Calibri" w:cs="Tahoma"/>
                <w:szCs w:val="18"/>
                <w:lang w:val="pt-BR"/>
              </w:rPr>
            </w:pPr>
            <w:r w:rsidRPr="006301EB">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301EB" w:rsidRDefault="00C45359" w:rsidP="00713A6C">
            <w:pPr>
              <w:jc w:val="center"/>
              <w:rPr>
                <w:rFonts w:eastAsia="Calibri" w:cs="Tahoma"/>
                <w:szCs w:val="18"/>
                <w:lang w:val="pt-BR"/>
              </w:rPr>
            </w:pPr>
            <w:r w:rsidRPr="006301EB">
              <w:rPr>
                <w:rFonts w:cs="Tahoma"/>
                <w:szCs w:val="18"/>
                <w:lang w:val="pt-BR"/>
              </w:rPr>
              <w:t xml:space="preserve"> </w:t>
            </w:r>
          </w:p>
        </w:tc>
        <w:tc>
          <w:tcPr>
            <w:tcW w:w="16" w:type="dxa"/>
            <w:vAlign w:val="center"/>
          </w:tcPr>
          <w:p w:rsidR="00B73A46" w:rsidRPr="006301EB" w:rsidRDefault="00B73A46" w:rsidP="00713A6C">
            <w:pPr>
              <w:rPr>
                <w:rFonts w:eastAsia="Calibri" w:cs="Tahoma"/>
                <w:szCs w:val="18"/>
                <w:lang w:val="pt-BR"/>
              </w:rPr>
            </w:pPr>
          </w:p>
        </w:tc>
      </w:tr>
      <w:tr w:rsidR="00B73A46" w:rsidRPr="0041607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ind w:firstLine="540"/>
              <w:rPr>
                <w:rFonts w:eastAsia="Calibri" w:cs="Tahoma"/>
                <w:szCs w:val="18"/>
              </w:rPr>
            </w:pPr>
            <w:r w:rsidRPr="00416070">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070" w:rsidRDefault="00B73A46" w:rsidP="00713A6C">
            <w:pPr>
              <w:jc w:val="center"/>
              <w:rPr>
                <w:rFonts w:eastAsia="Calibri" w:cs="Tahoma"/>
                <w:szCs w:val="18"/>
              </w:rPr>
            </w:pPr>
            <w:r w:rsidRPr="00416070">
              <w:rPr>
                <w:rFonts w:cs="Tahoma"/>
                <w:szCs w:val="18"/>
              </w:rPr>
              <w:t>x</w:t>
            </w:r>
          </w:p>
        </w:tc>
        <w:tc>
          <w:tcPr>
            <w:tcW w:w="16" w:type="dxa"/>
            <w:vAlign w:val="center"/>
          </w:tcPr>
          <w:p w:rsidR="00B73A46" w:rsidRPr="00416070" w:rsidRDefault="00B73A46" w:rsidP="00713A6C">
            <w:pPr>
              <w:rPr>
                <w:rFonts w:eastAsia="Calibri" w:cs="Tahoma"/>
                <w:szCs w:val="18"/>
              </w:rPr>
            </w:pPr>
          </w:p>
        </w:tc>
      </w:tr>
    </w:tbl>
    <w:p w:rsidR="00B73A46" w:rsidRPr="00416070" w:rsidRDefault="00B73A46" w:rsidP="00B73A46"/>
    <w:p w:rsidR="00B73A46" w:rsidRPr="006301EB" w:rsidRDefault="00B73A46" w:rsidP="00EE035D">
      <w:pPr>
        <w:ind w:left="720"/>
        <w:rPr>
          <w:lang w:val="pt-BR"/>
        </w:rPr>
      </w:pPr>
      <w:r w:rsidRPr="006301EB">
        <w:rPr>
          <w:rFonts w:cs="Tahoma"/>
          <w:szCs w:val="18"/>
          <w:lang w:val="pt-BR"/>
        </w:rPr>
        <w:t>Os clientes que adquirirem a licença de direitos de locação além de uma licença de sistema operacional qualificado</w:t>
      </w:r>
      <w:r w:rsidRPr="006301EB">
        <w:rPr>
          <w:rStyle w:val="CommentReference"/>
          <w:rFonts w:cs="Tahoma"/>
          <w:sz w:val="18"/>
          <w:szCs w:val="18"/>
          <w:lang w:val="pt-BR"/>
        </w:rPr>
        <w:t xml:space="preserve"> </w:t>
      </w:r>
      <w:r w:rsidRPr="006301EB">
        <w:rPr>
          <w:rFonts w:cs="Tahoma"/>
          <w:szCs w:val="18"/>
          <w:lang w:val="pt-BR"/>
        </w:rPr>
        <w:t>terão seus direitos de acordo com essa licença de sistema operacional qualificado</w:t>
      </w:r>
      <w:r w:rsidR="00FB5496" w:rsidRPr="006301EB">
        <w:rPr>
          <w:rStyle w:val="CommentReference"/>
          <w:rFonts w:cs="Tahoma"/>
          <w:sz w:val="18"/>
          <w:szCs w:val="18"/>
          <w:lang w:val="pt-BR"/>
        </w:rPr>
        <w:t xml:space="preserve"> </w:t>
      </w:r>
      <w:r w:rsidRPr="006301EB">
        <w:rPr>
          <w:rFonts w:cs="Tahoma"/>
          <w:szCs w:val="18"/>
          <w:lang w:val="pt-BR"/>
        </w:rPr>
        <w:t xml:space="preserve">estendidos a fim de permitir que terceiros usem o mesmo software. A licença de locação não é uma outorga </w:t>
      </w:r>
      <w:r w:rsidR="009D57D2" w:rsidRPr="006301EB">
        <w:rPr>
          <w:rFonts w:cs="Tahoma"/>
          <w:szCs w:val="18"/>
          <w:lang w:val="pt-BR"/>
        </w:rPr>
        <w:t>para uma atualização de versão.</w:t>
      </w:r>
    </w:p>
    <w:p w:rsidR="00B73A46" w:rsidRPr="006301EB" w:rsidRDefault="00B73A46" w:rsidP="00804794">
      <w:pPr>
        <w:ind w:left="720"/>
        <w:rPr>
          <w:lang w:val="pt-BR"/>
        </w:rPr>
      </w:pPr>
    </w:p>
    <w:p w:rsidR="00B73A46" w:rsidRPr="006301EB" w:rsidRDefault="00B73A46" w:rsidP="00804794">
      <w:pPr>
        <w:ind w:left="720"/>
        <w:rPr>
          <w:lang w:val="pt-BR"/>
        </w:rPr>
      </w:pPr>
      <w:r w:rsidRPr="006301EB">
        <w:rPr>
          <w:rFonts w:cs="Tahoma"/>
          <w:szCs w:val="18"/>
          <w:u w:val="single"/>
          <w:lang w:val="pt-BR"/>
        </w:rPr>
        <w:t>Exceção do Software Assurance</w:t>
      </w:r>
    </w:p>
    <w:p w:rsidR="00B73A46" w:rsidRPr="006301EB" w:rsidRDefault="00B73A46" w:rsidP="00804794">
      <w:pPr>
        <w:ind w:left="720"/>
        <w:rPr>
          <w:lang w:val="pt-BR"/>
        </w:rPr>
      </w:pPr>
      <w:r w:rsidRPr="006301EB">
        <w:rPr>
          <w:rFonts w:cs="Tahoma"/>
          <w:szCs w:val="18"/>
          <w:lang w:val="pt-BR"/>
        </w:rPr>
        <w:t>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ou Atualizações e Software Assurance para as licenças básicas de software sob seus próprios contratos de licenciamento por volume, sujeitos aos termos e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w:t>
      </w:r>
      <w:r w:rsidR="009D57D2" w:rsidRPr="006301EB">
        <w:rPr>
          <w:rFonts w:cs="Tahoma"/>
          <w:szCs w:val="18"/>
          <w:lang w:val="pt-BR"/>
        </w:rPr>
        <w:t xml:space="preserve"> correspondentes se encerrarem.</w:t>
      </w:r>
    </w:p>
    <w:p w:rsidR="00B73A46" w:rsidRPr="006301EB" w:rsidRDefault="00B73A46" w:rsidP="00B73A46">
      <w:pPr>
        <w:rPr>
          <w:lang w:val="pt-BR"/>
        </w:rPr>
      </w:pPr>
    </w:p>
    <w:bookmarkEnd w:id="1130"/>
    <w:bookmarkEnd w:id="1131"/>
    <w:bookmarkEnd w:id="1132"/>
    <w:p w:rsidR="00104195" w:rsidRPr="006301EB" w:rsidRDefault="00104195" w:rsidP="00104195">
      <w:pPr>
        <w:tabs>
          <w:tab w:val="left" w:pos="1440"/>
        </w:tabs>
        <w:ind w:left="1080"/>
        <w:contextualSpacing/>
        <w:rPr>
          <w:lang w:val="pt-BR"/>
        </w:rPr>
      </w:pPr>
    </w:p>
    <w:p w:rsidR="00F254E2" w:rsidRPr="006301EB" w:rsidRDefault="00F254E2" w:rsidP="00104195">
      <w:pPr>
        <w:tabs>
          <w:tab w:val="left" w:pos="1440"/>
        </w:tabs>
        <w:ind w:left="1080"/>
        <w:contextualSpacing/>
        <w:rPr>
          <w:lang w:val="pt-BR"/>
        </w:rPr>
      </w:pPr>
    </w:p>
    <w:p w:rsidR="00F254E2" w:rsidRPr="006301EB" w:rsidRDefault="00F254E2" w:rsidP="00104195">
      <w:pPr>
        <w:tabs>
          <w:tab w:val="left" w:pos="1440"/>
        </w:tabs>
        <w:ind w:left="1080"/>
        <w:contextualSpacing/>
        <w:rPr>
          <w:lang w:val="pt-BR"/>
        </w:rPr>
      </w:pPr>
    </w:p>
    <w:p w:rsidR="00F254E2" w:rsidRPr="006301EB" w:rsidRDefault="00F254E2" w:rsidP="00104195">
      <w:pPr>
        <w:tabs>
          <w:tab w:val="left" w:pos="1440"/>
        </w:tabs>
        <w:ind w:left="1080"/>
        <w:contextualSpacing/>
        <w:rPr>
          <w:lang w:val="pt-BR"/>
        </w:rPr>
      </w:pPr>
    </w:p>
    <w:p w:rsidR="00F254E2" w:rsidRPr="006301EB" w:rsidRDefault="00F254E2" w:rsidP="00104195">
      <w:pPr>
        <w:tabs>
          <w:tab w:val="left" w:pos="1440"/>
        </w:tabs>
        <w:ind w:left="1080"/>
        <w:contextualSpacing/>
        <w:rPr>
          <w:lang w:val="pt-BR"/>
        </w:rPr>
      </w:pPr>
    </w:p>
    <w:p w:rsidR="00F254E2" w:rsidRPr="006301EB" w:rsidRDefault="00F254E2" w:rsidP="00104195">
      <w:pPr>
        <w:tabs>
          <w:tab w:val="left" w:pos="1440"/>
        </w:tabs>
        <w:ind w:left="1080"/>
        <w:contextualSpacing/>
        <w:rPr>
          <w:lang w:val="pt-BR"/>
        </w:rPr>
      </w:pPr>
    </w:p>
    <w:p w:rsidR="00F254E2" w:rsidRPr="006301EB" w:rsidRDefault="00F254E2" w:rsidP="00104195">
      <w:pPr>
        <w:tabs>
          <w:tab w:val="left" w:pos="1440"/>
        </w:tabs>
        <w:ind w:left="1080"/>
        <w:contextualSpacing/>
        <w:rPr>
          <w:lang w:val="pt-BR"/>
        </w:rPr>
      </w:pPr>
    </w:p>
    <w:p w:rsidR="00F254E2" w:rsidRPr="006301EB" w:rsidRDefault="00F254E2" w:rsidP="00104195">
      <w:pPr>
        <w:tabs>
          <w:tab w:val="left" w:pos="1440"/>
        </w:tabs>
        <w:ind w:left="1080"/>
        <w:contextualSpacing/>
        <w:rPr>
          <w:lang w:val="pt-BR"/>
        </w:rPr>
      </w:pPr>
    </w:p>
    <w:p w:rsidR="00F254E2" w:rsidRPr="006301EB" w:rsidRDefault="00F254E2" w:rsidP="00104195">
      <w:pPr>
        <w:tabs>
          <w:tab w:val="left" w:pos="1440"/>
        </w:tabs>
        <w:ind w:left="1080"/>
        <w:contextualSpacing/>
        <w:rPr>
          <w:lang w:val="pt-BR"/>
        </w:rPr>
      </w:pPr>
    </w:p>
    <w:p w:rsidR="00104195" w:rsidRPr="00416070" w:rsidRDefault="00104195" w:rsidP="00104195">
      <w:pPr>
        <w:pStyle w:val="Heading2"/>
        <w:ind w:hanging="720"/>
      </w:pPr>
      <w:bookmarkStart w:id="1133" w:name="_98_Windows_Multipoint"/>
      <w:bookmarkStart w:id="1134" w:name="_98Windows_Intune_Add-on"/>
      <w:bookmarkStart w:id="1135" w:name="_97_Windows_Intune"/>
      <w:bookmarkStart w:id="1136" w:name="_29_Complemento_do"/>
      <w:bookmarkStart w:id="1137" w:name="Srv_110WindowsIntuneAddOn"/>
      <w:bookmarkStart w:id="1138" w:name="_Toc336338366"/>
      <w:bookmarkStart w:id="1139" w:name="_Toc352234354"/>
      <w:bookmarkStart w:id="1140" w:name="Srv_104WindowsIntuneAddOn"/>
      <w:bookmarkEnd w:id="1133"/>
      <w:bookmarkEnd w:id="1134"/>
      <w:bookmarkEnd w:id="1135"/>
      <w:bookmarkEnd w:id="1136"/>
      <w:r w:rsidRPr="00416070">
        <w:rPr>
          <w:rFonts w:ascii="Tahoma" w:hAnsi="Tahoma" w:cs="Tahoma"/>
          <w:caps/>
          <w:color w:val="EE6000"/>
          <w:sz w:val="22"/>
          <w:szCs w:val="18"/>
          <w:vertAlign w:val="superscript"/>
        </w:rPr>
        <w:lastRenderedPageBreak/>
        <w:t>29</w:t>
      </w:r>
      <w:r w:rsidR="00615CB9" w:rsidRPr="00416070">
        <w:rPr>
          <w:rFonts w:ascii="Tahoma" w:hAnsi="Tahoma"/>
          <w:color w:val="F66400"/>
          <w:sz w:val="22"/>
        </w:rPr>
        <w:t xml:space="preserve"> </w:t>
      </w:r>
      <w:r w:rsidRPr="00416070">
        <w:rPr>
          <w:rFonts w:ascii="Tahoma" w:hAnsi="Tahoma" w:cs="Tahoma"/>
          <w:color w:val="EE6000"/>
          <w:sz w:val="22"/>
          <w:szCs w:val="18"/>
        </w:rPr>
        <w:t>Complemento do Windows Intune</w:t>
      </w:r>
      <w:bookmarkEnd w:id="1137"/>
      <w:bookmarkEnd w:id="1138"/>
      <w:r w:rsidRPr="00416070">
        <w:rPr>
          <w:rFonts w:ascii="Tahoma" w:hAnsi="Tahoma" w:cs="Tahoma"/>
          <w:color w:val="EE6000"/>
          <w:sz w:val="22"/>
          <w:szCs w:val="18"/>
        </w:rPr>
        <w:t xml:space="preserve"> (Por Dispositivo)</w:t>
      </w:r>
      <w:bookmarkEnd w:id="1139"/>
    </w:p>
    <w:bookmarkEnd w:id="1140"/>
    <w:p w:rsidR="00104195" w:rsidRPr="006301EB" w:rsidRDefault="00104195" w:rsidP="00104195">
      <w:pPr>
        <w:ind w:left="720"/>
        <w:rPr>
          <w:lang w:val="pt-BR"/>
        </w:rPr>
      </w:pPr>
    </w:p>
    <w:p w:rsidR="00104195" w:rsidRPr="006301EB" w:rsidRDefault="00104195" w:rsidP="00104195">
      <w:pPr>
        <w:ind w:left="720"/>
        <w:rPr>
          <w:lang w:val="pt-BR"/>
        </w:rPr>
      </w:pPr>
      <w:r w:rsidRPr="006301EB">
        <w:rPr>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FB5496" w:rsidRPr="006301EB">
        <w:rPr>
          <w:lang w:val="pt-BR"/>
        </w:rPr>
        <w:t xml:space="preserve"> </w:t>
      </w:r>
      <w:r w:rsidRPr="006301EB">
        <w:rPr>
          <w:lang w:val="pt-BR"/>
        </w:rPr>
        <w:t xml:space="preserve">As licenças do Complemento do Windows Intune (Por Dispositivo) devem ser adquiridas de acordo com o mesmo registro da cobertura de Software Assurance ou licença </w:t>
      </w:r>
      <w:r w:rsidR="009D57D2" w:rsidRPr="006301EB">
        <w:rPr>
          <w:lang w:val="pt-BR"/>
        </w:rPr>
        <w:t>do Windows VDA correspondentes.</w:t>
      </w:r>
    </w:p>
    <w:p w:rsidR="00104195" w:rsidRPr="006301EB" w:rsidRDefault="00104195" w:rsidP="00104195">
      <w:pPr>
        <w:ind w:left="720"/>
        <w:rPr>
          <w:lang w:val="pt-BR"/>
        </w:rPr>
      </w:pPr>
    </w:p>
    <w:p w:rsidR="00104195" w:rsidRPr="006301EB" w:rsidRDefault="00104195" w:rsidP="00104195">
      <w:pPr>
        <w:spacing w:after="60"/>
        <w:ind w:left="720"/>
        <w:rPr>
          <w:lang w:val="pt-BR"/>
        </w:rPr>
      </w:pPr>
      <w:r w:rsidRPr="006301EB">
        <w:rPr>
          <w:b/>
          <w:lang w:val="pt-BR"/>
        </w:rPr>
        <w:t>Realocação da Licença</w:t>
      </w:r>
    </w:p>
    <w:p w:rsidR="00104195" w:rsidRPr="006301EB" w:rsidRDefault="00104195" w:rsidP="00BB4173">
      <w:pPr>
        <w:ind w:left="720"/>
        <w:rPr>
          <w:lang w:val="pt-BR"/>
        </w:rPr>
      </w:pPr>
      <w:r w:rsidRPr="006301EB">
        <w:rPr>
          <w:lang w:val="pt-BR"/>
        </w:rPr>
        <w:t>Os clientes poderão ceder licenças do Complemento do Windows Intune (Por Dispositivo), mas não a curto</w:t>
      </w:r>
      <w:r w:rsidR="00BB4173" w:rsidRPr="006301EB">
        <w:rPr>
          <w:lang w:val="pt-BR"/>
        </w:rPr>
        <w:t> </w:t>
      </w:r>
      <w:r w:rsidRPr="006301EB">
        <w:rPr>
          <w:lang w:val="pt-BR"/>
        </w:rPr>
        <w:t>prazo (ou seja, não antes de 90 dias depois da última cessão).</w:t>
      </w:r>
      <w:r w:rsidR="00FB5496" w:rsidRPr="006301EB">
        <w:rPr>
          <w:lang w:val="pt-BR"/>
        </w:rPr>
        <w:t xml:space="preserve"> </w:t>
      </w:r>
      <w:r w:rsidRPr="006301EB">
        <w:rPr>
          <w:lang w:val="pt-BR"/>
        </w:rPr>
        <w:t>Eles poderão realocar uma licença do</w:t>
      </w:r>
      <w:r w:rsidR="00BB4173" w:rsidRPr="006301EB">
        <w:rPr>
          <w:lang w:val="pt-BR"/>
        </w:rPr>
        <w:t> </w:t>
      </w:r>
      <w:r w:rsidRPr="006301EB">
        <w:rPr>
          <w:lang w:val="pt-BR"/>
        </w:rPr>
        <w:t>Complemento do Windows Intune (Por Dispositivo) mais cedo se desativarem o dispositivo licenciado existente em decorrência de uma falha de hardware permanente.</w:t>
      </w:r>
      <w:r w:rsidR="00FB5496" w:rsidRPr="006301EB">
        <w:rPr>
          <w:lang w:val="pt-BR"/>
        </w:rPr>
        <w:t xml:space="preserve"> </w:t>
      </w:r>
      <w:r w:rsidRPr="006301EB">
        <w:rPr>
          <w:lang w:val="pt-BR"/>
        </w:rPr>
        <w:t>O dispositivo para o qual a licença do</w:t>
      </w:r>
      <w:r w:rsidR="00F254E2" w:rsidRPr="006301EB">
        <w:rPr>
          <w:lang w:val="pt-BR"/>
        </w:rPr>
        <w:t> </w:t>
      </w:r>
      <w:r w:rsidRPr="006301EB">
        <w:rPr>
          <w:lang w:val="pt-BR"/>
        </w:rPr>
        <w:t>Complemento do Windows Intune (Por Dispositivo) for cedida deverá ter um Software Assurance do</w:t>
      </w:r>
      <w:r w:rsidR="00F254E2" w:rsidRPr="006301EB">
        <w:rPr>
          <w:lang w:val="pt-BR"/>
        </w:rPr>
        <w:t> </w:t>
      </w:r>
      <w:r w:rsidRPr="006301EB">
        <w:rPr>
          <w:lang w:val="pt-BR"/>
        </w:rPr>
        <w:t>Windows ativo ou uma licença ativa do Windows VDA adquirida de acordo com o mesmo registro da</w:t>
      </w:r>
      <w:r w:rsidR="00F254E2" w:rsidRPr="006301EB">
        <w:rPr>
          <w:lang w:val="pt-BR"/>
        </w:rPr>
        <w:t> </w:t>
      </w:r>
      <w:r w:rsidRPr="006301EB">
        <w:rPr>
          <w:lang w:val="pt-BR"/>
        </w:rPr>
        <w:t>licença do Complemento do Wi</w:t>
      </w:r>
      <w:r w:rsidR="009D57D2" w:rsidRPr="006301EB">
        <w:rPr>
          <w:lang w:val="pt-BR"/>
        </w:rPr>
        <w:t>ndows Intune (Por Dispositivo).</w:t>
      </w:r>
    </w:p>
    <w:p w:rsidR="00023FE7" w:rsidRPr="00416070" w:rsidRDefault="00113665">
      <w:pPr>
        <w:pStyle w:val="Heading2"/>
        <w:ind w:left="0"/>
      </w:pPr>
      <w:r w:rsidRPr="00416070">
        <w:rPr>
          <w:rFonts w:ascii="Tahoma" w:hAnsi="Tahoma" w:cs="Tahoma"/>
          <w:sz w:val="28"/>
        </w:rPr>
        <w:br w:type="page"/>
      </w:r>
      <w:bookmarkStart w:id="1141" w:name="_Toc336338287"/>
      <w:bookmarkStart w:id="1142" w:name="_Toc352234355"/>
      <w:r w:rsidRPr="00416070">
        <w:rPr>
          <w:rFonts w:ascii="Tahoma" w:hAnsi="Tahoma" w:cs="Tahoma"/>
          <w:sz w:val="28"/>
        </w:rPr>
        <w:lastRenderedPageBreak/>
        <w:t>Pool de Servidores</w:t>
      </w:r>
      <w:bookmarkEnd w:id="1141"/>
      <w:bookmarkEnd w:id="1142"/>
    </w:p>
    <w:p w:rsidR="00023FE7" w:rsidRPr="00416070" w:rsidRDefault="00023FE7">
      <w:pPr>
        <w:pStyle w:val="EndnoteText"/>
        <w:rPr>
          <w:rFonts w:ascii="Tahoma" w:hAnsi="Tahoma" w:cs="Tahoma"/>
          <w:sz w:val="18"/>
          <w:szCs w:val="18"/>
        </w:rPr>
      </w:pPr>
    </w:p>
    <w:p w:rsidR="003C75C8" w:rsidRPr="00416070" w:rsidRDefault="003C75C8" w:rsidP="003C75C8">
      <w:pPr>
        <w:pStyle w:val="EndnoteText"/>
        <w:rPr>
          <w:rFonts w:ascii="Tahoma" w:hAnsi="Tahoma" w:cs="Tahoma"/>
          <w:sz w:val="18"/>
          <w:szCs w:val="18"/>
        </w:rPr>
      </w:pPr>
      <w:bookmarkStart w:id="1143" w:name="Srv_25BingMapsandAddons"/>
    </w:p>
    <w:p w:rsidR="004640EC" w:rsidRPr="00416070" w:rsidRDefault="00104195" w:rsidP="00D52BBD">
      <w:pPr>
        <w:pStyle w:val="Heading2"/>
        <w:ind w:left="245" w:hanging="245"/>
        <w:rPr>
          <w:rFonts w:ascii="Tahoma" w:hAnsi="Tahoma" w:cs="Tahoma"/>
          <w:caps/>
          <w:color w:val="EE6000"/>
          <w:sz w:val="22"/>
          <w:szCs w:val="18"/>
        </w:rPr>
      </w:pPr>
      <w:bookmarkStart w:id="1144" w:name="_30_Complemento_De"/>
      <w:bookmarkStart w:id="1145" w:name="Srv_27BingMapsSvrandContentPack"/>
      <w:bookmarkStart w:id="1146" w:name="_Toc336338288"/>
      <w:bookmarkStart w:id="1147" w:name="_Toc352234356"/>
      <w:bookmarkEnd w:id="1144"/>
      <w:r w:rsidRPr="00416070">
        <w:rPr>
          <w:rFonts w:ascii="Tahoma" w:hAnsi="Tahoma" w:cs="Tahoma"/>
          <w:caps/>
          <w:color w:val="EE6000"/>
          <w:sz w:val="22"/>
          <w:szCs w:val="18"/>
          <w:vertAlign w:val="superscript"/>
        </w:rPr>
        <w:t>30</w:t>
      </w:r>
      <w:r w:rsidRPr="00416070">
        <w:rPr>
          <w:rFonts w:ascii="Tahoma" w:hAnsi="Tahoma" w:cs="Tahoma"/>
          <w:caps/>
          <w:color w:val="EE6000"/>
          <w:sz w:val="22"/>
          <w:szCs w:val="18"/>
        </w:rPr>
        <w:t xml:space="preserve"> </w:t>
      </w:r>
      <w:r w:rsidR="00CE54BA" w:rsidRPr="00416070">
        <w:rPr>
          <w:rFonts w:ascii="Tahoma" w:hAnsi="Tahoma" w:cs="Tahoma"/>
          <w:color w:val="EE6000"/>
          <w:sz w:val="22"/>
          <w:szCs w:val="18"/>
        </w:rPr>
        <w:t>Complemento De Uso Do Site Público Dos Bing Maps E Sl Complementar De Uso Do Site Interno Do Bing Maps</w:t>
      </w:r>
      <w:bookmarkEnd w:id="1145"/>
      <w:bookmarkEnd w:id="1146"/>
      <w:bookmarkEnd w:id="1147"/>
    </w:p>
    <w:p w:rsidR="004640EC" w:rsidRPr="006301EB" w:rsidRDefault="004640EC" w:rsidP="004640EC">
      <w:pPr>
        <w:pStyle w:val="NormalWeb"/>
        <w:spacing w:before="0" w:beforeAutospacing="0" w:after="0" w:afterAutospacing="0"/>
        <w:ind w:left="720"/>
        <w:rPr>
          <w:rFonts w:ascii="Tahoma" w:hAnsi="Tahoma" w:cs="Tahoma"/>
          <w:sz w:val="18"/>
          <w:szCs w:val="18"/>
          <w:lang w:val="pt-BR"/>
        </w:rPr>
      </w:pPr>
      <w:r w:rsidRPr="006301EB">
        <w:rPr>
          <w:rFonts w:ascii="Tahoma" w:hAnsi="Tahoma" w:cs="Tahoma"/>
          <w:sz w:val="18"/>
          <w:szCs w:val="18"/>
          <w:lang w:val="pt-BR"/>
        </w:rPr>
        <w:t>Cada oferta de SL Complementar de Uso de Site Público do Bing Maps e SL Complementar de Uso de Site Interno do Bing Maps é composta de uma variedade de Transações Faturáveis (definidas neste documento).</w:t>
      </w:r>
      <w:r w:rsidR="00FB5496" w:rsidRPr="006301EB">
        <w:rPr>
          <w:rFonts w:ascii="Tahoma" w:hAnsi="Tahoma" w:cs="Tahoma"/>
          <w:sz w:val="18"/>
          <w:szCs w:val="18"/>
          <w:lang w:val="pt-BR"/>
        </w:rPr>
        <w:t xml:space="preserve"> </w:t>
      </w:r>
      <w:r w:rsidRPr="006301EB">
        <w:rPr>
          <w:rFonts w:ascii="Tahoma" w:hAnsi="Tahoma" w:cs="Tahoma"/>
          <w:sz w:val="18"/>
          <w:szCs w:val="18"/>
          <w:lang w:val="pt-BR"/>
        </w:rPr>
        <w:t xml:space="preserve">“Transações Faturáveis”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rsidR="004640EC" w:rsidRPr="006301EB" w:rsidRDefault="004640EC" w:rsidP="004640EC">
      <w:pPr>
        <w:ind w:left="720"/>
        <w:rPr>
          <w:rFonts w:cs="Tahoma"/>
          <w:szCs w:val="18"/>
          <w:lang w:val="pt-BR"/>
        </w:rPr>
      </w:pPr>
    </w:p>
    <w:p w:rsidR="004640EC" w:rsidRPr="006301EB" w:rsidRDefault="004640EC" w:rsidP="009D57D2">
      <w:pPr>
        <w:ind w:left="720"/>
        <w:rPr>
          <w:rFonts w:cs="Tahoma"/>
          <w:szCs w:val="18"/>
          <w:lang w:val="pt-BR"/>
        </w:rPr>
      </w:pPr>
      <w:r w:rsidRPr="006301EB">
        <w:rPr>
          <w:rFonts w:cs="Tahoma"/>
          <w:szCs w:val="18"/>
          <w:lang w:val="pt-BR"/>
        </w:rPr>
        <w:t>Os Clientes podem comprar várias ofertas de SLs Complementares de Uso de Site Público do Bing Maps e</w:t>
      </w:r>
      <w:r w:rsidR="00F254E2" w:rsidRPr="006301EB">
        <w:rPr>
          <w:rFonts w:cs="Tahoma"/>
          <w:szCs w:val="18"/>
          <w:lang w:val="pt-BR"/>
        </w:rPr>
        <w:t> </w:t>
      </w:r>
      <w:r w:rsidRPr="006301EB">
        <w:rPr>
          <w:rFonts w:cs="Tahoma"/>
          <w:szCs w:val="18"/>
          <w:lang w:val="pt-BR"/>
        </w:rPr>
        <w:t>SLs Complementares de Uso de Site Interno do Bing Maps para comprar Transações mais Faturáveis por</w:t>
      </w:r>
      <w:r w:rsidR="00F254E2" w:rsidRPr="006301EB">
        <w:rPr>
          <w:rFonts w:cs="Tahoma"/>
          <w:szCs w:val="18"/>
          <w:lang w:val="pt-BR"/>
        </w:rPr>
        <w:t> </w:t>
      </w:r>
      <w:r w:rsidRPr="006301EB">
        <w:rPr>
          <w:rFonts w:cs="Tahoma"/>
          <w:szCs w:val="18"/>
          <w:lang w:val="pt-BR"/>
        </w:rPr>
        <w:t>mês, com exceção da SL Complementar Ilimitada do Bing Maps que só pode ser comprada uma vez.</w:t>
      </w:r>
      <w:r w:rsidR="00CE7FC5" w:rsidRPr="006301EB">
        <w:rPr>
          <w:rFonts w:cs="Tahoma"/>
          <w:szCs w:val="18"/>
          <w:lang w:val="pt-BR"/>
        </w:rPr>
        <w:t xml:space="preserve"> </w:t>
      </w:r>
      <w:r w:rsidRPr="006301EB">
        <w:rPr>
          <w:rFonts w:cs="Tahoma"/>
          <w:szCs w:val="18"/>
          <w:lang w:val="pt-BR"/>
        </w:rPr>
        <w:t>As</w:t>
      </w:r>
      <w:r w:rsidR="00F254E2" w:rsidRPr="006301EB">
        <w:rPr>
          <w:rFonts w:cs="Tahoma"/>
          <w:szCs w:val="18"/>
          <w:lang w:val="pt-BR"/>
        </w:rPr>
        <w:t> </w:t>
      </w:r>
      <w:r w:rsidRPr="006301EB">
        <w:rPr>
          <w:rFonts w:cs="Tahoma"/>
          <w:szCs w:val="18"/>
          <w:lang w:val="pt-BR"/>
        </w:rPr>
        <w:t>Transações Faturáveis mensais não utilizadas poderão ser transferidas mensalmente até a data do término do registro.</w:t>
      </w:r>
      <w:r w:rsidR="00FB5496" w:rsidRPr="006301EB">
        <w:rPr>
          <w:rFonts w:cs="Tahoma"/>
          <w:szCs w:val="18"/>
          <w:lang w:val="pt-BR"/>
        </w:rPr>
        <w:t xml:space="preserve"> </w:t>
      </w:r>
      <w:r w:rsidRPr="006301EB">
        <w:rPr>
          <w:rFonts w:cs="Tahoma"/>
          <w:szCs w:val="18"/>
          <w:lang w:val="pt-BR"/>
        </w:rPr>
        <w:t>Na data do término do registro, todas as Transações Faturáveis não utilizadas compradas serão perdidas. Os Clientes poderão exceder o número de Transações Faturáveis compradas em</w:t>
      </w:r>
      <w:r w:rsidR="00F254E2" w:rsidRPr="006301EB">
        <w:rPr>
          <w:rFonts w:cs="Tahoma"/>
          <w:szCs w:val="18"/>
          <w:lang w:val="pt-BR"/>
        </w:rPr>
        <w:t> </w:t>
      </w:r>
      <w:r w:rsidRPr="006301EB">
        <w:rPr>
          <w:rFonts w:cs="Tahoma"/>
          <w:szCs w:val="18"/>
          <w:lang w:val="pt-BR"/>
        </w:rPr>
        <w:t>um mês, contanto que o número total de Transações Faturáveis usadas não exceda o número total de</w:t>
      </w:r>
      <w:r w:rsidR="00F254E2" w:rsidRPr="006301EB">
        <w:rPr>
          <w:rFonts w:cs="Tahoma"/>
          <w:szCs w:val="18"/>
          <w:lang w:val="pt-BR"/>
        </w:rPr>
        <w:t> </w:t>
      </w:r>
      <w:r w:rsidRPr="006301EB">
        <w:rPr>
          <w:rFonts w:cs="Tahoma"/>
          <w:szCs w:val="18"/>
          <w:lang w:val="pt-BR"/>
        </w:rPr>
        <w:t>Transações Faturáveis compradas depois do prazo do registro.</w:t>
      </w:r>
      <w:r w:rsidR="00FB5496" w:rsidRPr="006301EB">
        <w:rPr>
          <w:rFonts w:cs="Tahoma"/>
          <w:szCs w:val="18"/>
          <w:lang w:val="pt-BR"/>
        </w:rPr>
        <w:t xml:space="preserve"> </w:t>
      </w:r>
      <w:r w:rsidRPr="006301EB">
        <w:rPr>
          <w:rFonts w:cs="Tahoma"/>
          <w:szCs w:val="18"/>
          <w:lang w:val="pt-BR"/>
        </w:rPr>
        <w:t>Se um cliente exceder o número total de</w:t>
      </w:r>
      <w:r w:rsidR="00F254E2" w:rsidRPr="006301EB">
        <w:rPr>
          <w:rFonts w:cs="Tahoma"/>
          <w:szCs w:val="18"/>
          <w:lang w:val="pt-BR"/>
        </w:rPr>
        <w:t> </w:t>
      </w:r>
      <w:r w:rsidRPr="006301EB">
        <w:rPr>
          <w:rFonts w:cs="Tahoma"/>
          <w:szCs w:val="18"/>
          <w:lang w:val="pt-BR"/>
        </w:rPr>
        <w:t>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w:t>
      </w:r>
      <w:r w:rsidR="009D57D2" w:rsidRPr="006301EB">
        <w:rPr>
          <w:rFonts w:cs="Tahoma"/>
          <w:szCs w:val="18"/>
          <w:lang w:val="pt-BR"/>
        </w:rPr>
        <w:t> </w:t>
      </w:r>
      <w:r w:rsidRPr="006301EB">
        <w:rPr>
          <w:rFonts w:cs="Tahoma"/>
          <w:szCs w:val="18"/>
          <w:lang w:val="pt-BR"/>
        </w:rPr>
        <w:t>acesso</w:t>
      </w:r>
      <w:r w:rsidR="009D57D2" w:rsidRPr="006301EB">
        <w:rPr>
          <w:rFonts w:cs="Tahoma"/>
          <w:szCs w:val="18"/>
          <w:lang w:val="pt-BR"/>
        </w:rPr>
        <w:t> </w:t>
      </w:r>
      <w:r w:rsidRPr="006301EB">
        <w:rPr>
          <w:rFonts w:cs="Tahoma"/>
          <w:szCs w:val="18"/>
          <w:lang w:val="pt-BR"/>
        </w:rPr>
        <w:t>do cliente ao Bing Maps.</w:t>
      </w:r>
    </w:p>
    <w:p w:rsidR="004640EC" w:rsidRPr="006301EB" w:rsidRDefault="004640EC" w:rsidP="004640EC">
      <w:pPr>
        <w:ind w:left="720"/>
        <w:rPr>
          <w:lang w:val="pt-BR"/>
        </w:rPr>
      </w:pPr>
    </w:p>
    <w:p w:rsidR="004640EC" w:rsidRPr="006301EB" w:rsidRDefault="004640EC" w:rsidP="004640EC">
      <w:pPr>
        <w:spacing w:after="60"/>
        <w:ind w:left="720"/>
        <w:rPr>
          <w:lang w:val="pt-BR"/>
        </w:rPr>
      </w:pPr>
      <w:r w:rsidRPr="006301EB">
        <w:rPr>
          <w:rFonts w:cs="Tahoma"/>
          <w:b/>
          <w:color w:val="000000" w:themeColor="text1"/>
          <w:szCs w:val="18"/>
          <w:lang w:val="pt-BR"/>
        </w:rPr>
        <w:t>SL Complementar Ilimitada do Bing Maps</w:t>
      </w:r>
    </w:p>
    <w:p w:rsidR="004640EC" w:rsidRPr="006301EB" w:rsidRDefault="004640EC" w:rsidP="009D57D2">
      <w:pPr>
        <w:pStyle w:val="NormalWeb"/>
        <w:spacing w:before="0" w:beforeAutospacing="0" w:after="0" w:afterAutospacing="0"/>
        <w:ind w:left="720"/>
        <w:rPr>
          <w:rFonts w:ascii="Tahoma" w:hAnsi="Tahoma" w:cs="Tahoma"/>
          <w:sz w:val="18"/>
          <w:szCs w:val="18"/>
          <w:lang w:val="pt-BR"/>
        </w:rPr>
      </w:pPr>
      <w:r w:rsidRPr="006301EB">
        <w:rPr>
          <w:rFonts w:ascii="Tahoma" w:hAnsi="Tahoma" w:cs="Tahoma"/>
          <w:sz w:val="18"/>
          <w:szCs w:val="18"/>
          <w:lang w:val="pt-BR"/>
        </w:rPr>
        <w:t>A oferta de SL Complementar Ilimitada do Bing Maps tem uma cobertura de uso de 400 milhões de Transações Faturáveis por ano.</w:t>
      </w:r>
      <w:r w:rsidR="00FB5496" w:rsidRPr="006301EB">
        <w:rPr>
          <w:rFonts w:ascii="Tahoma" w:hAnsi="Tahoma" w:cs="Tahoma"/>
          <w:sz w:val="18"/>
          <w:szCs w:val="18"/>
          <w:lang w:val="pt-BR"/>
        </w:rPr>
        <w:t xml:space="preserve"> </w:t>
      </w:r>
      <w:r w:rsidRPr="006301EB">
        <w:rPr>
          <w:rFonts w:ascii="Tahoma" w:hAnsi="Tahoma" w:cs="Tahoma"/>
          <w:sz w:val="18"/>
          <w:szCs w:val="18"/>
          <w:lang w:val="pt-BR"/>
        </w:rPr>
        <w:t>Se, durante qualquer ano do prazo de registro, um cliente exceder a</w:t>
      </w:r>
      <w:r w:rsidR="00F254E2" w:rsidRPr="006301EB">
        <w:rPr>
          <w:rFonts w:ascii="Tahoma" w:hAnsi="Tahoma" w:cs="Tahoma"/>
          <w:sz w:val="18"/>
          <w:szCs w:val="18"/>
          <w:lang w:val="pt-BR"/>
        </w:rPr>
        <w:t> </w:t>
      </w:r>
      <w:r w:rsidRPr="006301EB">
        <w:rPr>
          <w:rFonts w:ascii="Tahoma" w:hAnsi="Tahoma" w:cs="Tahoma"/>
          <w:sz w:val="18"/>
          <w:szCs w:val="18"/>
          <w:lang w:val="pt-BR"/>
        </w:rPr>
        <w:t>cobertura de uso de 400 milhões de Transações Faturáveis, em 60 dias do envio da notificação da</w:t>
      </w:r>
      <w:r w:rsidR="009D57D2" w:rsidRPr="006301EB">
        <w:rPr>
          <w:rFonts w:ascii="Tahoma" w:hAnsi="Tahoma" w:cs="Tahoma"/>
          <w:sz w:val="18"/>
          <w:szCs w:val="18"/>
          <w:lang w:val="pt-BR"/>
        </w:rPr>
        <w:t> </w:t>
      </w:r>
      <w:r w:rsidRPr="006301EB">
        <w:rPr>
          <w:rFonts w:ascii="Tahoma" w:hAnsi="Tahoma" w:cs="Tahoma"/>
          <w:sz w:val="18"/>
          <w:szCs w:val="18"/>
          <w:lang w:val="pt-BR"/>
        </w:rPr>
        <w:t>Microsoft,</w:t>
      </w:r>
      <w:r w:rsidR="00F254E2" w:rsidRPr="006301EB">
        <w:rPr>
          <w:rFonts w:ascii="Tahoma" w:hAnsi="Tahoma" w:cs="Tahoma"/>
          <w:sz w:val="18"/>
          <w:szCs w:val="18"/>
          <w:lang w:val="pt-BR"/>
        </w:rPr>
        <w:t> </w:t>
      </w:r>
      <w:r w:rsidRPr="006301EB">
        <w:rPr>
          <w:rFonts w:ascii="Tahoma" w:hAnsi="Tahoma" w:cs="Tahoma"/>
          <w:sz w:val="18"/>
          <w:szCs w:val="18"/>
          <w:lang w:val="pt-BR"/>
        </w:rPr>
        <w:t>o cliente deverá comprar ofertas adicionais de SL Complementar de Uso de Site Público do</w:t>
      </w:r>
      <w:r w:rsidR="00F254E2" w:rsidRPr="006301EB">
        <w:rPr>
          <w:rFonts w:ascii="Tahoma" w:hAnsi="Tahoma" w:cs="Tahoma"/>
          <w:sz w:val="18"/>
          <w:szCs w:val="18"/>
          <w:lang w:val="pt-BR"/>
        </w:rPr>
        <w:t> </w:t>
      </w:r>
      <w:r w:rsidRPr="006301EB">
        <w:rPr>
          <w:rFonts w:ascii="Tahoma" w:hAnsi="Tahoma" w:cs="Tahoma"/>
          <w:sz w:val="18"/>
          <w:szCs w:val="18"/>
          <w:lang w:val="pt-BR"/>
        </w:rPr>
        <w:t>Bing</w:t>
      </w:r>
      <w:r w:rsidR="00F254E2" w:rsidRPr="006301EB">
        <w:rPr>
          <w:rFonts w:ascii="Tahoma" w:hAnsi="Tahoma" w:cs="Tahoma"/>
          <w:sz w:val="18"/>
          <w:szCs w:val="18"/>
          <w:lang w:val="pt-BR"/>
        </w:rPr>
        <w:t> </w:t>
      </w:r>
      <w:r w:rsidRPr="006301EB">
        <w:rPr>
          <w:rFonts w:ascii="Tahoma" w:hAnsi="Tahoma" w:cs="Tahoma"/>
          <w:sz w:val="18"/>
          <w:szCs w:val="18"/>
          <w:lang w:val="pt-BR"/>
        </w:rPr>
        <w:t>Maps ou SL Complementar de Uso de Site Interno do Bing Maps para cobrir as Transações Faturáveis</w:t>
      </w:r>
      <w:r w:rsidR="00F254E2" w:rsidRPr="006301EB">
        <w:rPr>
          <w:rFonts w:ascii="Tahoma" w:hAnsi="Tahoma" w:cs="Tahoma"/>
          <w:sz w:val="18"/>
          <w:szCs w:val="18"/>
          <w:lang w:val="pt-BR"/>
        </w:rPr>
        <w:t> </w:t>
      </w:r>
      <w:r w:rsidRPr="006301EB">
        <w:rPr>
          <w:rFonts w:ascii="Tahoma" w:hAnsi="Tahoma" w:cs="Tahoma"/>
          <w:sz w:val="18"/>
          <w:szCs w:val="18"/>
          <w:lang w:val="pt-BR"/>
        </w:rPr>
        <w:t>excedidas e as Transações Faturáveis futuras estimadas para o restante do prazo de registro, ou</w:t>
      </w:r>
      <w:r w:rsidR="00F254E2" w:rsidRPr="006301EB">
        <w:rPr>
          <w:rFonts w:ascii="Tahoma" w:hAnsi="Tahoma" w:cs="Tahoma"/>
          <w:sz w:val="18"/>
          <w:szCs w:val="18"/>
          <w:lang w:val="pt-BR"/>
        </w:rPr>
        <w:t> </w:t>
      </w:r>
      <w:r w:rsidRPr="006301EB">
        <w:rPr>
          <w:rFonts w:ascii="Tahoma" w:hAnsi="Tahoma" w:cs="Tahoma"/>
          <w:sz w:val="18"/>
          <w:szCs w:val="18"/>
          <w:lang w:val="pt-BR"/>
        </w:rPr>
        <w:t>a Microsoft poderá encerrar o acesso do cliente ao Bing Maps.</w:t>
      </w:r>
    </w:p>
    <w:p w:rsidR="004640EC" w:rsidRPr="006301EB" w:rsidRDefault="004640EC" w:rsidP="004640EC">
      <w:pPr>
        <w:pStyle w:val="NormalWeb"/>
        <w:spacing w:before="0" w:beforeAutospacing="0" w:after="0" w:afterAutospacing="0"/>
        <w:ind w:left="720"/>
        <w:rPr>
          <w:rFonts w:ascii="Tahoma" w:hAnsi="Tahoma" w:cs="Tahoma"/>
          <w:sz w:val="18"/>
          <w:szCs w:val="18"/>
          <w:lang w:val="pt-BR"/>
        </w:rPr>
      </w:pPr>
    </w:p>
    <w:p w:rsidR="004640EC" w:rsidRPr="006301EB" w:rsidRDefault="004640EC" w:rsidP="004640EC">
      <w:pPr>
        <w:spacing w:after="60"/>
        <w:ind w:left="720"/>
        <w:rPr>
          <w:rFonts w:cs="Tahoma"/>
          <w:szCs w:val="18"/>
          <w:lang w:val="pt-BR"/>
        </w:rPr>
      </w:pPr>
      <w:r w:rsidRPr="006301EB">
        <w:rPr>
          <w:rFonts w:cs="Tahoma"/>
          <w:b/>
          <w:color w:val="000000" w:themeColor="text1"/>
          <w:szCs w:val="18"/>
          <w:lang w:val="pt-BR"/>
        </w:rPr>
        <w:t>Suporte ao Cliente do Bing Maps</w:t>
      </w:r>
    </w:p>
    <w:p w:rsidR="004640EC" w:rsidRPr="006301EB" w:rsidRDefault="004640EC" w:rsidP="004640EC">
      <w:pPr>
        <w:pStyle w:val="NormalWeb"/>
        <w:spacing w:before="0" w:beforeAutospacing="0" w:after="0" w:afterAutospacing="0"/>
        <w:ind w:left="720"/>
        <w:rPr>
          <w:rFonts w:ascii="Tahoma" w:hAnsi="Tahoma" w:cs="Tahoma"/>
          <w:sz w:val="18"/>
          <w:szCs w:val="18"/>
          <w:lang w:val="pt-BR"/>
        </w:rPr>
      </w:pPr>
      <w:r w:rsidRPr="006301EB">
        <w:rPr>
          <w:rFonts w:ascii="Tahoma" w:hAnsi="Tahoma" w:cs="Tahoma"/>
          <w:sz w:val="18"/>
          <w:szCs w:val="18"/>
          <w:lang w:val="pt-BR"/>
        </w:rPr>
        <w:t>O Suporte ao Cliente do Bing Maps está disponível para todos os clientes que comprem o Bing Maps da seguinte forma.</w:t>
      </w:r>
    </w:p>
    <w:p w:rsidR="004640EC" w:rsidRPr="006301EB" w:rsidRDefault="004640EC" w:rsidP="004640EC">
      <w:pPr>
        <w:pStyle w:val="NormalWeb"/>
        <w:spacing w:before="0" w:beforeAutospacing="0" w:after="0" w:afterAutospacing="0"/>
        <w:ind w:left="720"/>
        <w:rPr>
          <w:rFonts w:ascii="Tahoma" w:hAnsi="Tahoma" w:cs="Tahoma"/>
          <w:sz w:val="18"/>
          <w:szCs w:val="18"/>
          <w:lang w:val="pt-BR"/>
        </w:rPr>
      </w:pPr>
    </w:p>
    <w:p w:rsidR="004640EC" w:rsidRPr="006301EB" w:rsidRDefault="004640EC" w:rsidP="004640EC">
      <w:pPr>
        <w:spacing w:after="60"/>
        <w:ind w:left="720"/>
        <w:rPr>
          <w:rFonts w:cs="Tahoma"/>
          <w:szCs w:val="18"/>
          <w:lang w:val="pt-BR"/>
        </w:rPr>
      </w:pPr>
      <w:r w:rsidRPr="006301EB">
        <w:rPr>
          <w:rFonts w:cs="Tahoma"/>
          <w:b/>
          <w:bCs/>
          <w:color w:val="000000"/>
          <w:szCs w:val="18"/>
          <w:lang w:val="pt-BR"/>
        </w:rPr>
        <w:t>O Suporte ao Cliente do Bing Maps Inclui:</w:t>
      </w:r>
    </w:p>
    <w:p w:rsidR="004640EC" w:rsidRPr="006301EB" w:rsidRDefault="004640EC" w:rsidP="004640EC">
      <w:pPr>
        <w:ind w:left="720"/>
        <w:rPr>
          <w:rFonts w:cs="Tahoma"/>
          <w:szCs w:val="18"/>
          <w:lang w:val="pt-BR"/>
        </w:rPr>
      </w:pPr>
      <w:r w:rsidRPr="006301EB">
        <w:rPr>
          <w:rFonts w:cs="Tahoma"/>
          <w:color w:val="000000"/>
          <w:szCs w:val="18"/>
          <w:lang w:val="pt-BR"/>
        </w:rPr>
        <w:t>Acesso direto à Equipe de Suporte Técnico do Bing Maps por email, telefone e Web durante o horário comercial, das 8 às 2 da manhã GMT, de segunda a sexta-feira, exceto em feriados públicos americanos.</w:t>
      </w:r>
      <w:r w:rsidR="00FB5496" w:rsidRPr="006301EB">
        <w:rPr>
          <w:rFonts w:cs="Tahoma"/>
          <w:color w:val="000000"/>
          <w:szCs w:val="18"/>
          <w:lang w:val="pt-BR"/>
        </w:rPr>
        <w:t xml:space="preserve"> </w:t>
      </w:r>
      <w:r w:rsidRPr="006301EB">
        <w:rPr>
          <w:rFonts w:cs="Tahoma"/>
          <w:color w:val="000000"/>
          <w:szCs w:val="18"/>
          <w:lang w:val="pt-BR"/>
        </w:rPr>
        <w:t>O</w:t>
      </w:r>
      <w:r w:rsidR="00D54BE1" w:rsidRPr="006301EB">
        <w:rPr>
          <w:rFonts w:cs="Tahoma"/>
          <w:color w:val="000000"/>
          <w:szCs w:val="18"/>
          <w:lang w:val="pt-BR"/>
        </w:rPr>
        <w:t> </w:t>
      </w:r>
      <w:r w:rsidRPr="006301EB">
        <w:rPr>
          <w:rFonts w:cs="Tahoma"/>
          <w:color w:val="000000"/>
          <w:szCs w:val="18"/>
          <w:lang w:val="pt-BR"/>
        </w:rPr>
        <w:t>cliente também horas nas quais não é fornecido acesso de emergência (das 2 às 8 da manhã GMT) à Equipe de Suporte para problemas relacionados a serviços de emergência (apenas pelo número de telefone fornecido abaixo).</w:t>
      </w:r>
      <w:r w:rsidR="00FB5496" w:rsidRPr="006301EB">
        <w:rPr>
          <w:rFonts w:cs="Tahoma"/>
          <w:color w:val="000000"/>
          <w:szCs w:val="18"/>
          <w:lang w:val="pt-BR"/>
        </w:rPr>
        <w:t xml:space="preserve"> </w:t>
      </w:r>
      <w:r w:rsidRPr="006301EB">
        <w:rPr>
          <w:rFonts w:cs="Tahoma"/>
          <w:color w:val="000000"/>
          <w:szCs w:val="18"/>
          <w:lang w:val="pt-BR"/>
        </w:rPr>
        <w:t>Todos os outros problemas relacionados durante as horas sem acesso serão adiados para horas comerciais normais.</w:t>
      </w:r>
      <w:r w:rsidR="00FB5496" w:rsidRPr="006301EB">
        <w:rPr>
          <w:rFonts w:cs="Tahoma"/>
          <w:color w:val="000000"/>
          <w:szCs w:val="18"/>
          <w:lang w:val="pt-BR"/>
        </w:rPr>
        <w:t xml:space="preserve"> </w:t>
      </w:r>
      <w:r w:rsidRPr="006301EB">
        <w:rPr>
          <w:rFonts w:cs="Tahoma"/>
          <w:color w:val="000000"/>
          <w:szCs w:val="18"/>
          <w:lang w:val="pt-BR"/>
        </w:rPr>
        <w:t>A Equipe de Suporte pode ser contatada pelos seguintes métodos ou sucessores deste:</w:t>
      </w:r>
    </w:p>
    <w:p w:rsidR="004640EC" w:rsidRPr="006301EB" w:rsidRDefault="004640EC" w:rsidP="004640EC">
      <w:pPr>
        <w:ind w:left="720"/>
        <w:rPr>
          <w:rFonts w:cs="Tahoma"/>
          <w:szCs w:val="18"/>
          <w:lang w:val="pt-BR"/>
        </w:rPr>
      </w:pPr>
    </w:p>
    <w:p w:rsidR="00BB4173" w:rsidRPr="006301EB" w:rsidRDefault="00BB4173" w:rsidP="004640EC">
      <w:pPr>
        <w:ind w:left="720"/>
        <w:rPr>
          <w:rFonts w:cs="Tahoma"/>
          <w:szCs w:val="18"/>
          <w:lang w:val="pt-BR"/>
        </w:rPr>
      </w:pPr>
    </w:p>
    <w:p w:rsidR="00BB4173" w:rsidRPr="006301EB" w:rsidRDefault="00BB4173" w:rsidP="004640EC">
      <w:pPr>
        <w:ind w:left="720"/>
        <w:rPr>
          <w:rFonts w:cs="Tahoma"/>
          <w:szCs w:val="18"/>
          <w:lang w:val="pt-BR"/>
        </w:rPr>
      </w:pPr>
    </w:p>
    <w:p w:rsidR="00BB4173" w:rsidRPr="006301EB" w:rsidRDefault="00BB4173" w:rsidP="004640EC">
      <w:pPr>
        <w:ind w:left="720"/>
        <w:rPr>
          <w:rFonts w:cs="Tahoma"/>
          <w:szCs w:val="18"/>
          <w:lang w:val="pt-BR"/>
        </w:rPr>
      </w:pPr>
    </w:p>
    <w:p w:rsidR="00BB4173" w:rsidRPr="006301EB" w:rsidRDefault="00BB4173" w:rsidP="004640EC">
      <w:pPr>
        <w:ind w:left="720"/>
        <w:rPr>
          <w:rFonts w:cs="Tahoma"/>
          <w:szCs w:val="18"/>
          <w:lang w:val="pt-BR"/>
        </w:rPr>
      </w:pPr>
    </w:p>
    <w:p w:rsidR="004640EC" w:rsidRPr="006301EB" w:rsidRDefault="004640EC" w:rsidP="004640EC">
      <w:pPr>
        <w:ind w:left="720"/>
        <w:rPr>
          <w:lang w:val="pt-BR"/>
        </w:rPr>
      </w:pPr>
      <w:r w:rsidRPr="006301EB">
        <w:rPr>
          <w:rFonts w:cs="Tahoma"/>
          <w:color w:val="000000"/>
          <w:szCs w:val="18"/>
          <w:lang w:val="pt-BR"/>
        </w:rPr>
        <w:lastRenderedPageBreak/>
        <w:t>Email:</w:t>
      </w:r>
    </w:p>
    <w:p w:rsidR="004640EC" w:rsidRPr="006301EB" w:rsidRDefault="008719E7" w:rsidP="004640EC">
      <w:pPr>
        <w:ind w:left="720"/>
        <w:rPr>
          <w:lang w:val="pt-BR"/>
        </w:rPr>
      </w:pPr>
      <w:hyperlink r:id="rId49" w:history="1">
        <w:r w:rsidR="005B0EC7" w:rsidRPr="006301EB">
          <w:rPr>
            <w:rStyle w:val="Hyperlink"/>
            <w:rFonts w:cs="Tahoma"/>
            <w:szCs w:val="18"/>
            <w:lang w:val="pt-BR"/>
          </w:rPr>
          <w:t>bmesupp@microsoft.com</w:t>
        </w:r>
      </w:hyperlink>
    </w:p>
    <w:p w:rsidR="004640EC" w:rsidRPr="006301EB" w:rsidRDefault="004640EC" w:rsidP="004640EC">
      <w:pPr>
        <w:ind w:left="720"/>
        <w:rPr>
          <w:lang w:val="pt-BR"/>
        </w:rPr>
      </w:pPr>
    </w:p>
    <w:p w:rsidR="00D54BE1" w:rsidRPr="006301EB" w:rsidRDefault="00D54BE1" w:rsidP="004640EC">
      <w:pPr>
        <w:ind w:left="720"/>
        <w:rPr>
          <w:rFonts w:cs="Tahoma"/>
          <w:color w:val="000000"/>
          <w:szCs w:val="18"/>
          <w:lang w:val="pt-BR"/>
        </w:rPr>
      </w:pPr>
    </w:p>
    <w:p w:rsidR="004640EC" w:rsidRPr="006301EB" w:rsidRDefault="004640EC" w:rsidP="004640EC">
      <w:pPr>
        <w:ind w:left="720"/>
        <w:rPr>
          <w:lang w:val="pt-BR"/>
        </w:rPr>
      </w:pPr>
      <w:r w:rsidRPr="006301EB">
        <w:rPr>
          <w:rFonts w:cs="Tahoma"/>
          <w:color w:val="000000"/>
          <w:szCs w:val="18"/>
          <w:lang w:val="pt-BR"/>
        </w:rPr>
        <w:t>Telefone:</w:t>
      </w:r>
    </w:p>
    <w:p w:rsidR="004640EC" w:rsidRPr="006301EB" w:rsidRDefault="004640EC" w:rsidP="004640EC">
      <w:pPr>
        <w:ind w:left="720"/>
        <w:rPr>
          <w:lang w:val="pt-BR"/>
        </w:rPr>
      </w:pPr>
      <w:r w:rsidRPr="006301EB">
        <w:rPr>
          <w:rFonts w:cs="Tahoma"/>
          <w:color w:val="000000"/>
          <w:szCs w:val="18"/>
          <w:lang w:val="pt-BR"/>
        </w:rPr>
        <w:t>+1 (800) 552-8872 (se estiver nos Estados Unidos e Canadá)</w:t>
      </w:r>
    </w:p>
    <w:p w:rsidR="004640EC" w:rsidRPr="006301EB" w:rsidRDefault="004640EC" w:rsidP="004640EC">
      <w:pPr>
        <w:ind w:left="720"/>
        <w:rPr>
          <w:lang w:val="pt-BR"/>
        </w:rPr>
      </w:pPr>
      <w:r w:rsidRPr="006301EB">
        <w:rPr>
          <w:rFonts w:cs="Tahoma"/>
          <w:color w:val="000000"/>
          <w:szCs w:val="18"/>
          <w:lang w:val="pt-BR"/>
        </w:rPr>
        <w:t>+1 (425) 705-2737 (se estiver fora dos Estados Unidos e Canadá)</w:t>
      </w:r>
    </w:p>
    <w:p w:rsidR="004640EC" w:rsidRPr="006301EB" w:rsidRDefault="004640EC" w:rsidP="004640EC">
      <w:pPr>
        <w:ind w:left="720"/>
        <w:rPr>
          <w:lang w:val="pt-BR"/>
        </w:rPr>
      </w:pPr>
    </w:p>
    <w:p w:rsidR="004640EC" w:rsidRPr="006301EB" w:rsidRDefault="004640EC" w:rsidP="004640EC">
      <w:pPr>
        <w:ind w:left="720"/>
        <w:rPr>
          <w:lang w:val="pt-BR"/>
        </w:rPr>
      </w:pPr>
      <w:r w:rsidRPr="006301EB">
        <w:rPr>
          <w:rFonts w:cs="Tahoma"/>
          <w:color w:val="000000"/>
          <w:szCs w:val="18"/>
          <w:lang w:val="pt-BR"/>
        </w:rPr>
        <w:t>Formulário da Web</w:t>
      </w:r>
    </w:p>
    <w:p w:rsidR="004640EC" w:rsidRPr="006301EB" w:rsidRDefault="008719E7" w:rsidP="004640EC">
      <w:pPr>
        <w:ind w:left="720"/>
        <w:rPr>
          <w:lang w:val="pt-BR"/>
        </w:rPr>
      </w:pPr>
      <w:hyperlink r:id="rId50" w:history="1">
        <w:r w:rsidR="005B0EC7" w:rsidRPr="006301EB">
          <w:rPr>
            <w:rStyle w:val="Hyperlink"/>
            <w:rFonts w:cs="Tahoma"/>
            <w:szCs w:val="18"/>
            <w:lang w:val="pt-BR"/>
          </w:rPr>
          <w:t>https://support.microsoft.com/oas/default.aspx?prid=13766&amp;st=1</w:t>
        </w:r>
      </w:hyperlink>
    </w:p>
    <w:p w:rsidR="004640EC" w:rsidRPr="006301EB" w:rsidRDefault="004640EC" w:rsidP="004640EC">
      <w:pPr>
        <w:ind w:left="720"/>
        <w:rPr>
          <w:lang w:val="pt-BR"/>
        </w:rPr>
      </w:pPr>
    </w:p>
    <w:p w:rsidR="004640EC" w:rsidRPr="006301EB" w:rsidRDefault="004640EC" w:rsidP="009D57D2">
      <w:pPr>
        <w:ind w:left="720"/>
        <w:rPr>
          <w:lang w:val="pt-BR"/>
        </w:rPr>
      </w:pPr>
      <w:r w:rsidRPr="006301EB">
        <w:rPr>
          <w:rFonts w:cs="Tahoma"/>
          <w:b/>
          <w:bCs/>
          <w:color w:val="000000"/>
          <w:szCs w:val="18"/>
          <w:lang w:val="pt-BR"/>
        </w:rPr>
        <w:t>Prioridade</w:t>
      </w:r>
      <w:r w:rsidRPr="006301EB">
        <w:rPr>
          <w:rFonts w:cs="Tahoma"/>
          <w:color w:val="000000"/>
          <w:szCs w:val="18"/>
          <w:lang w:val="pt-BR"/>
        </w:rPr>
        <w:t>.</w:t>
      </w:r>
      <w:r w:rsidR="00FB5496" w:rsidRPr="006301EB">
        <w:rPr>
          <w:rFonts w:cs="Tahoma"/>
          <w:color w:val="000000"/>
          <w:szCs w:val="18"/>
          <w:lang w:val="pt-BR"/>
        </w:rPr>
        <w:t xml:space="preserve"> </w:t>
      </w:r>
      <w:r w:rsidRPr="006301EB">
        <w:rPr>
          <w:rFonts w:cs="Tahoma"/>
          <w:color w:val="000000"/>
          <w:szCs w:val="18"/>
          <w:lang w:val="pt-BR"/>
        </w:rPr>
        <w:t>Todas as solicitações de suporte ao cliente do Bing Maps para a Equipe de Suporte serão designadas como Gravidade Nível A, B, C ou D, conforme descrito nos gráficos de Níveis de Gravidade e</w:t>
      </w:r>
      <w:r w:rsidR="009D57D2" w:rsidRPr="006301EB">
        <w:rPr>
          <w:rFonts w:cs="Tahoma"/>
          <w:color w:val="000000"/>
          <w:szCs w:val="18"/>
          <w:lang w:val="pt-BR"/>
        </w:rPr>
        <w:t> </w:t>
      </w:r>
      <w:r w:rsidRPr="006301EB">
        <w:rPr>
          <w:rFonts w:cs="Tahoma"/>
          <w:color w:val="000000"/>
          <w:szCs w:val="18"/>
          <w:lang w:val="pt-BR"/>
        </w:rPr>
        <w:t>Meta do Tempo de Resposta abaixo.</w:t>
      </w:r>
      <w:r w:rsidR="00FB5496" w:rsidRPr="006301EB">
        <w:rPr>
          <w:rFonts w:cs="Tahoma"/>
          <w:color w:val="000000"/>
          <w:szCs w:val="18"/>
          <w:lang w:val="pt-BR"/>
        </w:rPr>
        <w:t xml:space="preserve"> </w:t>
      </w:r>
      <w:r w:rsidRPr="006301EB">
        <w:rPr>
          <w:rFonts w:cs="Tahoma"/>
          <w:color w:val="000000"/>
          <w:szCs w:val="18"/>
          <w:lang w:val="pt-BR"/>
        </w:rPr>
        <w:t>Um Engenheiro de Suporte responderá de acordo com os Tempos-alvo de Resposta indicados no gráfico abaixo.</w:t>
      </w:r>
      <w:r w:rsidR="00FB5496" w:rsidRPr="006301EB">
        <w:rPr>
          <w:rFonts w:cs="Tahoma"/>
          <w:color w:val="000000"/>
          <w:szCs w:val="18"/>
          <w:lang w:val="pt-BR"/>
        </w:rPr>
        <w:t xml:space="preserve"> </w:t>
      </w:r>
      <w:r w:rsidRPr="006301EB">
        <w:rPr>
          <w:rFonts w:cs="Tahoma"/>
          <w:color w:val="000000"/>
          <w:szCs w:val="18"/>
          <w:lang w:val="pt-BR"/>
        </w:rPr>
        <w:t>O Engenheiro de Suporte determinará a designação do nível de gravidade final de acordo com a Descrição dos Problemas de Serviço do gráfico abaixo.</w:t>
      </w:r>
    </w:p>
    <w:p w:rsidR="004640EC" w:rsidRPr="006301EB" w:rsidRDefault="004640EC" w:rsidP="004640EC">
      <w:pPr>
        <w:ind w:left="720"/>
        <w:rPr>
          <w:lang w:val="pt-BR"/>
        </w:rPr>
      </w:pPr>
      <w:r w:rsidRPr="006301EB">
        <w:rPr>
          <w:rFonts w:cs="Tahoma"/>
          <w:b/>
          <w:bCs/>
          <w:color w:val="000000"/>
          <w:szCs w:val="18"/>
          <w:lang w:val="pt-BR"/>
        </w:rPr>
        <w:t xml:space="preserve">Níveis de Gravidade de Horário Comercial Normal e Meta do Tempo de Resposta: </w:t>
      </w:r>
    </w:p>
    <w:p w:rsidR="004640EC" w:rsidRPr="006301EB" w:rsidRDefault="004640EC" w:rsidP="004640EC">
      <w:pPr>
        <w:ind w:left="720"/>
        <w:rPr>
          <w:lang w:val="pt-BR"/>
        </w:rPr>
      </w:pPr>
    </w:p>
    <w:p w:rsidR="004640EC" w:rsidRPr="006301EB" w:rsidRDefault="004640EC" w:rsidP="004640EC">
      <w:pPr>
        <w:ind w:left="720"/>
        <w:rPr>
          <w:lang w:val="pt-BR"/>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2B5F9E"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b/>
                <w:bCs/>
                <w:color w:val="000000"/>
                <w:szCs w:val="18"/>
                <w:lang w:val="pt-BR"/>
              </w:rPr>
              <w:t>Nível de Gravidade do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b/>
                <w:bCs/>
                <w:color w:val="000000"/>
                <w:szCs w:val="18"/>
                <w:lang w:val="pt-BR"/>
              </w:rPr>
              <w:t>Meta do Tempo de Resposta</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b/>
                <w:bCs/>
                <w:color w:val="000000"/>
                <w:szCs w:val="18"/>
                <w:lang w:val="pt-BR"/>
              </w:rPr>
              <w:t>Descrição dos Problemas de Serviço</w:t>
            </w:r>
          </w:p>
        </w:tc>
      </w:tr>
      <w:tr w:rsidR="004640EC" w:rsidRPr="002B5F9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6070" w:rsidRDefault="004640EC" w:rsidP="00136585">
            <w:pPr>
              <w:rPr>
                <w:rFonts w:cs="Tahoma"/>
                <w:color w:val="000000"/>
                <w:szCs w:val="18"/>
              </w:rPr>
            </w:pPr>
            <w:r w:rsidRPr="00416070">
              <w:rPr>
                <w:rFonts w:cs="Tahoma"/>
                <w:color w:val="000000"/>
                <w:szCs w:val="18"/>
              </w:rPr>
              <w:t>Gravidade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6070" w:rsidRDefault="004640EC" w:rsidP="00136585">
            <w:pPr>
              <w:rPr>
                <w:rFonts w:cs="Tahoma"/>
                <w:color w:val="000000"/>
                <w:szCs w:val="18"/>
              </w:rPr>
            </w:pPr>
            <w:r w:rsidRPr="00416070">
              <w:rPr>
                <w:rFonts w:cs="Tahoma"/>
                <w:color w:val="000000"/>
                <w:szCs w:val="18"/>
              </w:rPr>
              <w:t>1 Hora Comercial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color w:val="000000"/>
                <w:szCs w:val="18"/>
                <w:lang w:val="pt-BR"/>
              </w:rPr>
              <w:t>O cliente está relatando uma paralisação dos Serviços ou outro problema crítico nos aplicativos de produção.</w:t>
            </w:r>
          </w:p>
        </w:tc>
      </w:tr>
      <w:tr w:rsidR="004640EC" w:rsidRPr="002B5F9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6070" w:rsidRDefault="004640EC" w:rsidP="00136585">
            <w:pPr>
              <w:rPr>
                <w:rFonts w:cs="Tahoma"/>
                <w:color w:val="000000"/>
                <w:szCs w:val="18"/>
              </w:rPr>
            </w:pPr>
            <w:r w:rsidRPr="00416070">
              <w:rPr>
                <w:rFonts w:cs="Tahoma"/>
                <w:color w:val="000000"/>
                <w:szCs w:val="18"/>
              </w:rPr>
              <w:t>Gravidade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6070" w:rsidRDefault="004640EC" w:rsidP="00136585">
            <w:pPr>
              <w:rPr>
                <w:rFonts w:cs="Tahoma"/>
                <w:color w:val="000000"/>
                <w:szCs w:val="18"/>
              </w:rPr>
            </w:pPr>
            <w:r w:rsidRPr="00416070">
              <w:rPr>
                <w:rFonts w:cs="Tahoma"/>
                <w:color w:val="000000"/>
                <w:szCs w:val="18"/>
              </w:rPr>
              <w:t>4 Horas Comerciais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color w:val="000000"/>
                <w:szCs w:val="18"/>
                <w:lang w:val="pt-BR"/>
              </w:rPr>
              <w:t>O cliente está relatando um problema importante que está causando um problema significativo nos aplicativos de produção.</w:t>
            </w:r>
          </w:p>
        </w:tc>
      </w:tr>
      <w:tr w:rsidR="004640EC" w:rsidRPr="002B5F9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6070" w:rsidRDefault="004640EC" w:rsidP="00136585">
            <w:pPr>
              <w:rPr>
                <w:rFonts w:cs="Tahoma"/>
                <w:color w:val="000000"/>
                <w:szCs w:val="18"/>
              </w:rPr>
            </w:pPr>
            <w:r w:rsidRPr="00416070">
              <w:rPr>
                <w:rFonts w:cs="Tahoma"/>
                <w:color w:val="000000"/>
                <w:szCs w:val="18"/>
              </w:rPr>
              <w:t>Gravidade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6070" w:rsidRDefault="004640EC" w:rsidP="00136585">
            <w:pPr>
              <w:rPr>
                <w:rFonts w:cs="Tahoma"/>
                <w:color w:val="000000"/>
                <w:szCs w:val="18"/>
              </w:rPr>
            </w:pPr>
            <w:r w:rsidRPr="00416070">
              <w:rPr>
                <w:rFonts w:cs="Tahoma"/>
                <w:color w:val="000000"/>
                <w:szCs w:val="18"/>
              </w:rPr>
              <w:t>1 Dia Útil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color w:val="000000"/>
                <w:szCs w:val="18"/>
                <w:lang w:val="pt-BR"/>
              </w:rPr>
              <w:t>O cliente está relatando problemas não críticos (como problemas em produtos ou de desenvolvimento em geral, etc.).</w:t>
            </w:r>
          </w:p>
        </w:tc>
      </w:tr>
      <w:tr w:rsidR="004640EC" w:rsidRPr="002B5F9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6070" w:rsidRDefault="004640EC" w:rsidP="00136585">
            <w:pPr>
              <w:rPr>
                <w:rFonts w:cs="Tahoma"/>
                <w:color w:val="000000"/>
                <w:szCs w:val="18"/>
              </w:rPr>
            </w:pPr>
            <w:r w:rsidRPr="00416070">
              <w:rPr>
                <w:rFonts w:cs="Tahoma"/>
                <w:color w:val="000000"/>
                <w:szCs w:val="18"/>
              </w:rPr>
              <w:t>Gravidade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6070" w:rsidRDefault="004640EC" w:rsidP="00136585">
            <w:pPr>
              <w:rPr>
                <w:rFonts w:cs="Tahoma"/>
                <w:color w:val="000000"/>
                <w:szCs w:val="18"/>
              </w:rPr>
            </w:pPr>
            <w:r w:rsidRPr="00416070">
              <w:rPr>
                <w:rFonts w:cs="Tahoma"/>
                <w:color w:val="000000"/>
                <w:szCs w:val="18"/>
              </w:rPr>
              <w:t>3 Dias Úteis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color w:val="000000"/>
                <w:szCs w:val="18"/>
                <w:lang w:val="pt-BR"/>
              </w:rPr>
              <w:t>O cliente está fornecendo feedback sobre um problema de mapeamento, instruções de direção ou código geográfico.</w:t>
            </w:r>
          </w:p>
        </w:tc>
      </w:tr>
    </w:tbl>
    <w:p w:rsidR="004640EC" w:rsidRPr="006301EB" w:rsidRDefault="004640EC" w:rsidP="004640EC">
      <w:pPr>
        <w:ind w:left="720"/>
        <w:rPr>
          <w:lang w:val="pt-BR"/>
        </w:rPr>
      </w:pPr>
    </w:p>
    <w:p w:rsidR="004640EC" w:rsidRPr="006301EB" w:rsidRDefault="004640EC" w:rsidP="004640EC">
      <w:pPr>
        <w:ind w:left="720"/>
        <w:rPr>
          <w:lang w:val="pt-BR"/>
        </w:rPr>
      </w:pPr>
      <w:r w:rsidRPr="006301EB">
        <w:rPr>
          <w:rFonts w:cs="Tahoma"/>
          <w:b/>
          <w:bCs/>
          <w:color w:val="000000"/>
          <w:szCs w:val="18"/>
          <w:lang w:val="pt-BR"/>
        </w:rPr>
        <w:t xml:space="preserve">Entre em Contato com as Informações por 24 horas por dia, 7 dias por semana, com o Suporte de Emergência de Paralisação de Clientes: </w:t>
      </w:r>
    </w:p>
    <w:p w:rsidR="004640EC" w:rsidRPr="006301EB" w:rsidRDefault="004640EC" w:rsidP="004640EC">
      <w:pPr>
        <w:ind w:left="720"/>
        <w:rPr>
          <w:lang w:val="pt-BR"/>
        </w:rPr>
      </w:pPr>
    </w:p>
    <w:p w:rsidR="004640EC" w:rsidRPr="006301EB" w:rsidRDefault="004640EC" w:rsidP="004640EC">
      <w:pPr>
        <w:ind w:left="720"/>
        <w:rPr>
          <w:lang w:val="pt-BR"/>
        </w:rPr>
      </w:pPr>
      <w:r w:rsidRPr="006301EB">
        <w:rPr>
          <w:rFonts w:cs="Tahoma"/>
          <w:szCs w:val="18"/>
          <w:lang w:val="pt-BR"/>
        </w:rPr>
        <w:t>Telefone:</w:t>
      </w:r>
    </w:p>
    <w:p w:rsidR="004640EC" w:rsidRPr="006301EB" w:rsidRDefault="004640EC" w:rsidP="004640EC">
      <w:pPr>
        <w:ind w:left="720"/>
        <w:rPr>
          <w:lang w:val="pt-BR"/>
        </w:rPr>
      </w:pPr>
      <w:r w:rsidRPr="006301EB">
        <w:rPr>
          <w:rFonts w:cs="Tahoma"/>
          <w:color w:val="000000"/>
          <w:szCs w:val="18"/>
          <w:lang w:val="pt-BR"/>
        </w:rPr>
        <w:t xml:space="preserve">+1 (800) 552-8872 (se estiver nos Estados Unidos e Canadá) </w:t>
      </w:r>
    </w:p>
    <w:p w:rsidR="004640EC" w:rsidRPr="006301EB" w:rsidRDefault="004640EC" w:rsidP="004640EC">
      <w:pPr>
        <w:ind w:left="720"/>
        <w:rPr>
          <w:lang w:val="pt-BR"/>
        </w:rPr>
      </w:pPr>
      <w:r w:rsidRPr="006301EB">
        <w:rPr>
          <w:rFonts w:cs="Tahoma"/>
          <w:color w:val="000000"/>
          <w:szCs w:val="18"/>
          <w:lang w:val="pt-BR"/>
        </w:rPr>
        <w:t xml:space="preserve">+1 (425) 705-2737 (se estiver fora dos Estados Unidos e Canadá) </w:t>
      </w:r>
    </w:p>
    <w:p w:rsidR="004640EC" w:rsidRPr="006301EB" w:rsidRDefault="004640EC" w:rsidP="004640EC">
      <w:pPr>
        <w:ind w:left="720"/>
        <w:rPr>
          <w:lang w:val="pt-BR"/>
        </w:rPr>
      </w:pPr>
    </w:p>
    <w:p w:rsidR="004640EC" w:rsidRPr="006301EB" w:rsidRDefault="004640EC" w:rsidP="009D57D2">
      <w:pPr>
        <w:ind w:left="720"/>
        <w:rPr>
          <w:lang w:val="pt-BR"/>
        </w:rPr>
      </w:pPr>
      <w:r w:rsidRPr="006301EB">
        <w:rPr>
          <w:rFonts w:cs="Tahoma"/>
          <w:color w:val="000000"/>
          <w:szCs w:val="18"/>
          <w:lang w:val="pt-BR"/>
        </w:rPr>
        <w:t>Notificação Importante: o suporte de emergência de 24 horas por dia, 7 dias por semana, só está disponível para problemas que se enquadrem no Nível A de Gravidade (uma paralisação de Serviços ou degradação de Serviços que afetam os aplicativos de produção do Cliente). A Microsoft responderá a todos os problemas de</w:t>
      </w:r>
      <w:r w:rsidR="009D57D2" w:rsidRPr="006301EB">
        <w:rPr>
          <w:rFonts w:cs="Tahoma"/>
          <w:color w:val="000000"/>
          <w:szCs w:val="18"/>
          <w:lang w:val="pt-BR"/>
        </w:rPr>
        <w:t> </w:t>
      </w:r>
      <w:r w:rsidRPr="006301EB">
        <w:rPr>
          <w:rFonts w:cs="Tahoma"/>
          <w:color w:val="000000"/>
          <w:szCs w:val="18"/>
          <w:lang w:val="pt-BR"/>
        </w:rPr>
        <w:t>horas sem acesso que não se enquadrem no Nível A de Gravidade no próximo dia útil, com base na Meta</w:t>
      </w:r>
      <w:r w:rsidR="009D57D2" w:rsidRPr="006301EB">
        <w:rPr>
          <w:rFonts w:cs="Tahoma"/>
          <w:color w:val="000000"/>
          <w:szCs w:val="18"/>
          <w:lang w:val="pt-BR"/>
        </w:rPr>
        <w:t> </w:t>
      </w:r>
      <w:r w:rsidRPr="006301EB">
        <w:rPr>
          <w:rFonts w:cs="Tahoma"/>
          <w:color w:val="000000"/>
          <w:szCs w:val="18"/>
          <w:lang w:val="pt-BR"/>
        </w:rPr>
        <w:t>de Tempo de Resposta destacada acima. Além disso, note que os problemas enviados por email (</w:t>
      </w:r>
      <w:hyperlink r:id="rId51" w:history="1">
        <w:r w:rsidRPr="006301EB">
          <w:rPr>
            <w:rStyle w:val="Hyperlink"/>
            <w:rFonts w:cs="Tahoma"/>
            <w:szCs w:val="18"/>
            <w:lang w:val="pt-BR"/>
          </w:rPr>
          <w:t>bmesupp@microsoft.com</w:t>
        </w:r>
      </w:hyperlink>
      <w:r w:rsidRPr="006301EB">
        <w:rPr>
          <w:rFonts w:cs="Tahoma"/>
          <w:color w:val="000000"/>
          <w:szCs w:val="18"/>
          <w:lang w:val="pt-BR"/>
        </w:rPr>
        <w:t>) ou Formulário da Web não são monitorados fora das horas comerciais normais da Equipe de S</w:t>
      </w:r>
      <w:r w:rsidR="009D57D2" w:rsidRPr="006301EB">
        <w:rPr>
          <w:rFonts w:cs="Tahoma"/>
          <w:color w:val="000000"/>
          <w:szCs w:val="18"/>
          <w:lang w:val="pt-BR"/>
        </w:rPr>
        <w:t>uporte ao Cliente do Bing Maps.</w:t>
      </w:r>
    </w:p>
    <w:p w:rsidR="004640EC" w:rsidRPr="006301EB" w:rsidRDefault="004640EC" w:rsidP="004640EC">
      <w:pPr>
        <w:ind w:left="720"/>
        <w:rPr>
          <w:lang w:val="pt-BR"/>
        </w:rPr>
      </w:pPr>
    </w:p>
    <w:p w:rsidR="004640EC" w:rsidRPr="006301EB" w:rsidRDefault="004640EC" w:rsidP="004640EC">
      <w:pPr>
        <w:ind w:left="720"/>
        <w:rPr>
          <w:lang w:val="pt-BR"/>
        </w:rPr>
      </w:pPr>
      <w:r w:rsidRPr="006301EB">
        <w:rPr>
          <w:rFonts w:cs="Tahoma"/>
          <w:b/>
          <w:bCs/>
          <w:color w:val="000000"/>
          <w:szCs w:val="18"/>
          <w:lang w:val="pt-BR"/>
        </w:rPr>
        <w:t>Níveis de Gravidade de Horário de Emergência sem Acesso e Meta do Tempo de Resposta:</w:t>
      </w:r>
    </w:p>
    <w:p w:rsidR="004640EC" w:rsidRPr="006301EB" w:rsidRDefault="004640EC" w:rsidP="004640EC">
      <w:pPr>
        <w:ind w:left="720"/>
        <w:rPr>
          <w:lang w:val="pt-BR"/>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2B5F9E"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b/>
                <w:bCs/>
                <w:color w:val="000000"/>
                <w:szCs w:val="18"/>
                <w:lang w:val="pt-BR"/>
              </w:rPr>
              <w:t>Nível de Gravidade do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b/>
                <w:bCs/>
                <w:color w:val="000000"/>
                <w:szCs w:val="18"/>
                <w:lang w:val="pt-BR"/>
              </w:rPr>
              <w:t>Meta do Tempo de Resposta</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b/>
                <w:bCs/>
                <w:color w:val="000000"/>
                <w:szCs w:val="18"/>
                <w:lang w:val="pt-BR"/>
              </w:rPr>
              <w:t>Descrição dos Problemas de Serviço</w:t>
            </w:r>
          </w:p>
        </w:tc>
      </w:tr>
      <w:tr w:rsidR="004640EC" w:rsidRPr="002B5F9E"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6070" w:rsidRDefault="004640EC" w:rsidP="00136585">
            <w:pPr>
              <w:rPr>
                <w:rFonts w:cs="Tahoma"/>
                <w:color w:val="000000"/>
                <w:szCs w:val="18"/>
              </w:rPr>
            </w:pPr>
            <w:r w:rsidRPr="00416070">
              <w:rPr>
                <w:rFonts w:cs="Tahoma"/>
                <w:color w:val="000000"/>
                <w:szCs w:val="18"/>
              </w:rPr>
              <w:t>Gravidade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6070" w:rsidRDefault="004640EC" w:rsidP="00136585">
            <w:pPr>
              <w:rPr>
                <w:rFonts w:cs="Tahoma"/>
                <w:color w:val="000000"/>
                <w:szCs w:val="18"/>
              </w:rPr>
            </w:pPr>
            <w:r w:rsidRPr="00416070">
              <w:rPr>
                <w:rFonts w:cs="Tahoma"/>
                <w:color w:val="000000"/>
                <w:szCs w:val="18"/>
              </w:rPr>
              <w:t>1 Hora Comercial</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301EB" w:rsidRDefault="004640EC" w:rsidP="00136585">
            <w:pPr>
              <w:rPr>
                <w:rFonts w:cs="Tahoma"/>
                <w:color w:val="000000"/>
                <w:szCs w:val="18"/>
                <w:lang w:val="pt-BR"/>
              </w:rPr>
            </w:pPr>
            <w:r w:rsidRPr="006301EB">
              <w:rPr>
                <w:rFonts w:cs="Tahoma"/>
                <w:color w:val="000000"/>
                <w:szCs w:val="18"/>
                <w:lang w:val="pt-BR"/>
              </w:rPr>
              <w:t>O cliente está relatando uma paralisação dos Serviços ou outro problema crítico nos aplicativos de produção.</w:t>
            </w:r>
          </w:p>
        </w:tc>
      </w:tr>
    </w:tbl>
    <w:p w:rsidR="003C75C8" w:rsidRPr="006301EB" w:rsidRDefault="003C75C8" w:rsidP="003C75C8">
      <w:pPr>
        <w:ind w:left="720"/>
        <w:rPr>
          <w:lang w:val="pt-BR"/>
        </w:rPr>
      </w:pPr>
    </w:p>
    <w:p w:rsidR="00E03856" w:rsidRPr="006301EB" w:rsidRDefault="00E03856" w:rsidP="003C75C8">
      <w:pPr>
        <w:ind w:left="720"/>
        <w:rPr>
          <w:lang w:val="pt-BR"/>
        </w:rPr>
      </w:pPr>
    </w:p>
    <w:bookmarkEnd w:id="1143"/>
    <w:p w:rsidR="00A76A85" w:rsidRPr="00416070" w:rsidRDefault="00A76A85" w:rsidP="007E466C">
      <w:pPr>
        <w:pStyle w:val="Heading3"/>
      </w:pPr>
    </w:p>
    <w:p w:rsidR="008233B3" w:rsidRPr="00416070" w:rsidRDefault="004640EC" w:rsidP="008233B3">
      <w:pPr>
        <w:pStyle w:val="Heading3"/>
      </w:pPr>
      <w:bookmarkStart w:id="1148" w:name="_31_BizTalk_Server®"/>
      <w:bookmarkStart w:id="1149" w:name="_Toc352234357"/>
      <w:bookmarkEnd w:id="1148"/>
      <w:r w:rsidRPr="00416070">
        <w:rPr>
          <w:rFonts w:ascii="Tahoma" w:hAnsi="Tahoma" w:cs="Tahoma"/>
          <w:caps/>
          <w:color w:val="F66400"/>
          <w:sz w:val="22"/>
          <w:vertAlign w:val="superscript"/>
        </w:rPr>
        <w:lastRenderedPageBreak/>
        <w:t>31</w:t>
      </w:r>
      <w:r w:rsidR="00615CB9" w:rsidRPr="00416070">
        <w:rPr>
          <w:rFonts w:ascii="Tahoma" w:hAnsi="Tahoma"/>
          <w:color w:val="F66400"/>
          <w:sz w:val="22"/>
        </w:rPr>
        <w:t xml:space="preserve"> </w:t>
      </w:r>
      <w:r w:rsidRPr="00416070">
        <w:rPr>
          <w:rFonts w:ascii="Tahoma" w:hAnsi="Tahoma" w:cs="Tahoma"/>
          <w:color w:val="F66400"/>
          <w:sz w:val="22"/>
        </w:rPr>
        <w:t>BizTalk Server</w:t>
      </w:r>
      <w:r w:rsidR="00510A6E" w:rsidRPr="00416070">
        <w:rPr>
          <w:rFonts w:ascii="Tahoma" w:hAnsi="Tahoma" w:cs="Tahoma"/>
          <w:color w:val="F66400"/>
          <w:sz w:val="22"/>
          <w:vertAlign w:val="superscript"/>
        </w:rPr>
        <w:t>®</w:t>
      </w:r>
      <w:r w:rsidRPr="00416070">
        <w:rPr>
          <w:rFonts w:ascii="Tahoma" w:hAnsi="Tahoma" w:cs="Tahoma"/>
          <w:color w:val="F66400"/>
          <w:sz w:val="22"/>
        </w:rPr>
        <w:t xml:space="preserve"> 2013 Branch</w:t>
      </w:r>
      <w:bookmarkEnd w:id="1149"/>
    </w:p>
    <w:p w:rsidR="008233B3" w:rsidRPr="006301EB" w:rsidRDefault="008233B3" w:rsidP="008233B3">
      <w:pPr>
        <w:rPr>
          <w:lang w:val="pt-BR"/>
        </w:rPr>
      </w:pPr>
    </w:p>
    <w:p w:rsidR="008233B3" w:rsidRPr="006301EB" w:rsidRDefault="008233B3" w:rsidP="008233B3">
      <w:pPr>
        <w:spacing w:after="60"/>
        <w:ind w:left="720"/>
        <w:rPr>
          <w:lang w:val="pt-BR"/>
        </w:rPr>
      </w:pPr>
      <w:r w:rsidRPr="006301EB">
        <w:rPr>
          <w:rFonts w:eastAsia="Calibri" w:cs="Tahoma"/>
          <w:b/>
          <w:color w:val="000000"/>
          <w:szCs w:val="18"/>
          <w:lang w:val="pt-BR"/>
        </w:rPr>
        <w:t>Outorgas de Licença Associadas à Alteração no Modelo de Licenciamento</w:t>
      </w:r>
    </w:p>
    <w:p w:rsidR="008233B3" w:rsidRPr="006301EB" w:rsidRDefault="008233B3" w:rsidP="008233B3">
      <w:pPr>
        <w:ind w:left="720"/>
        <w:rPr>
          <w:lang w:val="pt-BR"/>
        </w:rPr>
      </w:pPr>
      <w:r w:rsidRPr="006301EB">
        <w:rPr>
          <w:rFonts w:eastAsia="Calibri" w:cs="Tahoma"/>
          <w:color w:val="000000"/>
          <w:szCs w:val="18"/>
          <w:lang w:val="pt-BR"/>
        </w:rPr>
        <w:t>O BizTalk Server 2010 será a última versão do BizTalk Server licenciada sob o modelo de licenciamento por processador.</w:t>
      </w:r>
      <w:r w:rsidR="00FB5496" w:rsidRPr="006301EB">
        <w:rPr>
          <w:rFonts w:eastAsia="Calibri" w:cs="Tahoma"/>
          <w:color w:val="000000"/>
          <w:szCs w:val="18"/>
          <w:lang w:val="pt-BR"/>
        </w:rPr>
        <w:t xml:space="preserve"> </w:t>
      </w:r>
      <w:r w:rsidRPr="006301EB">
        <w:rPr>
          <w:rFonts w:eastAsia="Calibri" w:cs="Tahoma"/>
          <w:color w:val="000000"/>
          <w:szCs w:val="18"/>
          <w:lang w:val="pt-BR"/>
        </w:rPr>
        <w:t>Como uma exceção, aos clientes de licenciamento por volume com Software Assurance ativo para licenças do processador do BizTalk Server 2010 Branch em 1</w:t>
      </w:r>
      <w:r w:rsidRPr="006301EB">
        <w:rPr>
          <w:rFonts w:eastAsia="Calibri" w:cs="Tahoma"/>
          <w:color w:val="000000"/>
          <w:szCs w:val="18"/>
          <w:vertAlign w:val="superscript"/>
          <w:lang w:val="pt-BR"/>
        </w:rPr>
        <w:t>º</w:t>
      </w:r>
      <w:r w:rsidRPr="006301EB">
        <w:rPr>
          <w:rFonts w:eastAsia="Calibri" w:cs="Tahoma"/>
          <w:color w:val="000000"/>
          <w:szCs w:val="18"/>
          <w:lang w:val="pt-BR"/>
        </w:rPr>
        <w:t xml:space="preserve"> de abril de 2013 (“licenças qualificadas”) são concedidas as seguintes opções. As licenças do processador do BizTalk Server 2010 Branch </w:t>
      </w:r>
      <w:r w:rsidRPr="006301EB">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fins dessas opções.</w:t>
      </w:r>
      <w:r w:rsidR="00FB5496" w:rsidRPr="006301EB">
        <w:rPr>
          <w:rFonts w:cs="Tahoma"/>
          <w:bCs/>
          <w:color w:val="000000"/>
          <w:szCs w:val="18"/>
          <w:lang w:val="pt-BR"/>
        </w:rPr>
        <w:t xml:space="preserve"> </w:t>
      </w:r>
      <w:r w:rsidRPr="006301EB">
        <w:rPr>
          <w:rFonts w:cs="Tahoma"/>
          <w:bCs/>
          <w:color w:val="000000"/>
          <w:szCs w:val="18"/>
          <w:lang w:val="pt-BR"/>
        </w:rPr>
        <w:t>As licenças adquiridas sob um prazo de registro subsequente, um contrato separado ou qualquer registro com uma data de início de vigência após 1</w:t>
      </w:r>
      <w:r w:rsidRPr="006301EB">
        <w:rPr>
          <w:rFonts w:cs="Tahoma"/>
          <w:bCs/>
          <w:color w:val="000000"/>
          <w:szCs w:val="18"/>
          <w:vertAlign w:val="superscript"/>
          <w:lang w:val="pt-BR"/>
        </w:rPr>
        <w:t>º</w:t>
      </w:r>
      <w:r w:rsidRPr="006301EB">
        <w:rPr>
          <w:rFonts w:cs="Tahoma"/>
          <w:bCs/>
          <w:color w:val="000000"/>
          <w:szCs w:val="18"/>
          <w:lang w:val="pt-BR"/>
        </w:rPr>
        <w:t xml:space="preserve"> de abril de 2013 não</w:t>
      </w:r>
      <w:r w:rsidR="00D54BE1" w:rsidRPr="006301EB">
        <w:rPr>
          <w:rFonts w:eastAsia="Calibri" w:cs="Tahoma"/>
          <w:color w:val="000000"/>
          <w:szCs w:val="18"/>
          <w:lang w:val="pt-BR"/>
        </w:rPr>
        <w:t> </w:t>
      </w:r>
      <w:r w:rsidRPr="006301EB">
        <w:rPr>
          <w:rFonts w:cs="Tahoma"/>
          <w:bCs/>
          <w:color w:val="000000"/>
          <w:szCs w:val="18"/>
          <w:lang w:val="pt-BR"/>
        </w:rPr>
        <w:t>são licenças qualificadas.</w:t>
      </w:r>
    </w:p>
    <w:p w:rsidR="008233B3" w:rsidRPr="006301EB" w:rsidRDefault="008233B3" w:rsidP="008233B3">
      <w:pPr>
        <w:ind w:left="720"/>
        <w:rPr>
          <w:lang w:val="pt-BR"/>
        </w:rPr>
      </w:pPr>
    </w:p>
    <w:p w:rsidR="008233B3" w:rsidRPr="006301EB" w:rsidRDefault="008233B3" w:rsidP="008233B3">
      <w:pPr>
        <w:spacing w:after="60"/>
        <w:ind w:left="720"/>
        <w:rPr>
          <w:lang w:val="pt-BR"/>
        </w:rPr>
      </w:pPr>
      <w:r w:rsidRPr="006301EB">
        <w:rPr>
          <w:rFonts w:eastAsia="Calibri" w:cs="Tahoma"/>
          <w:b/>
          <w:color w:val="000000"/>
          <w:szCs w:val="18"/>
          <w:lang w:val="pt-BR"/>
        </w:rPr>
        <w:t>Prazo Atual</w:t>
      </w:r>
    </w:p>
    <w:p w:rsidR="008233B3" w:rsidRPr="006301EB" w:rsidRDefault="008233B3" w:rsidP="008233B3">
      <w:pPr>
        <w:ind w:left="720"/>
        <w:rPr>
          <w:lang w:val="pt-BR"/>
        </w:rPr>
      </w:pPr>
      <w:r w:rsidRPr="006301EB">
        <w:rPr>
          <w:rFonts w:eastAsia="Calibri" w:cs="Tahoma"/>
          <w:color w:val="000000"/>
          <w:szCs w:val="18"/>
          <w:lang w:val="pt-BR"/>
        </w:rPr>
        <w:t>Durante o prazo atual da sua cobertura de Software Assurance a partir de 1</w:t>
      </w:r>
      <w:r w:rsidRPr="006301EB">
        <w:rPr>
          <w:rFonts w:eastAsia="Calibri" w:cs="Tahoma"/>
          <w:color w:val="000000"/>
          <w:szCs w:val="18"/>
          <w:vertAlign w:val="superscript"/>
          <w:lang w:val="pt-BR"/>
        </w:rPr>
        <w:t>º</w:t>
      </w:r>
      <w:r w:rsidRPr="006301EB">
        <w:rPr>
          <w:rFonts w:eastAsia="Calibri" w:cs="Tahoma"/>
          <w:color w:val="000000"/>
          <w:szCs w:val="18"/>
          <w:lang w:val="pt-BR"/>
        </w:rPr>
        <w:t xml:space="preserve"> de abril de 2013, os clientes (incluindo aqueles sob contratos de assinatura) podem, sob qualquer licença qualificada, atualizar e usar o</w:t>
      </w:r>
      <w:r w:rsidR="00D54BE1" w:rsidRPr="006301EB">
        <w:rPr>
          <w:rFonts w:eastAsia="Calibri" w:cs="Tahoma"/>
          <w:color w:val="000000"/>
          <w:szCs w:val="18"/>
          <w:lang w:val="pt-BR"/>
        </w:rPr>
        <w:t> </w:t>
      </w:r>
      <w:r w:rsidRPr="006301EB">
        <w:rPr>
          <w:rFonts w:eastAsia="Calibri" w:cs="Tahoma"/>
          <w:color w:val="000000"/>
          <w:szCs w:val="18"/>
          <w:lang w:val="pt-BR"/>
        </w:rPr>
        <w:t xml:space="preserve">BizTalk Server 2013 Branch em vez do BizTalk Server 2010 Branch sujeito aos direitos de uso do produto de licença do processador do BizTalk Server 2010 Branch (conforme os Direitos de Uso do Produto de janeiro de 2013). </w:t>
      </w:r>
    </w:p>
    <w:p w:rsidR="008233B3" w:rsidRPr="006301EB" w:rsidRDefault="008233B3" w:rsidP="008233B3">
      <w:pPr>
        <w:ind w:left="720"/>
        <w:rPr>
          <w:lang w:val="pt-BR"/>
        </w:rPr>
      </w:pPr>
    </w:p>
    <w:p w:rsidR="008233B3" w:rsidRPr="006301EB" w:rsidRDefault="008233B3" w:rsidP="008233B3">
      <w:pPr>
        <w:spacing w:after="60"/>
        <w:ind w:left="720"/>
        <w:rPr>
          <w:lang w:val="pt-BR"/>
        </w:rPr>
      </w:pPr>
      <w:r w:rsidRPr="006301EB">
        <w:rPr>
          <w:rFonts w:eastAsia="Calibri" w:cs="Tahoma"/>
          <w:b/>
          <w:color w:val="000000"/>
          <w:szCs w:val="18"/>
          <w:lang w:val="pt-BR"/>
        </w:rPr>
        <w:t>Primeiro Prazo de Renovação</w:t>
      </w:r>
    </w:p>
    <w:p w:rsidR="008233B3" w:rsidRPr="006301EB" w:rsidRDefault="008233B3" w:rsidP="008233B3">
      <w:pPr>
        <w:tabs>
          <w:tab w:val="left" w:pos="1800"/>
        </w:tabs>
        <w:spacing w:after="60"/>
        <w:ind w:left="720"/>
        <w:rPr>
          <w:lang w:val="pt-BR"/>
        </w:rPr>
      </w:pPr>
      <w:r w:rsidRPr="006301EB">
        <w:rPr>
          <w:rFonts w:eastAsia="Calibri" w:cs="Tahoma"/>
          <w:color w:val="000000"/>
          <w:szCs w:val="18"/>
          <w:lang w:val="pt-BR"/>
        </w:rPr>
        <w:t>Na sua primeira renovação de Software Assurance em ou depois de 1</w:t>
      </w:r>
      <w:r w:rsidRPr="006301EB">
        <w:rPr>
          <w:rFonts w:eastAsia="Calibri" w:cs="Tahoma"/>
          <w:color w:val="000000"/>
          <w:szCs w:val="18"/>
          <w:vertAlign w:val="superscript"/>
          <w:lang w:val="pt-BR"/>
        </w:rPr>
        <w:t>º</w:t>
      </w:r>
      <w:r w:rsidRPr="006301EB">
        <w:rPr>
          <w:rFonts w:eastAsia="Calibri" w:cs="Tahoma"/>
          <w:color w:val="000000"/>
          <w:szCs w:val="18"/>
          <w:lang w:val="pt-BR"/>
        </w:rPr>
        <w:t xml:space="preserve"> de abril de 2013, para cada servidor que um cliente tiver licenciado corretamente sob os direitos de uso do produto da licença do processador do BizTalk Server 2010, o cliente poderá adquirir licenças principais do Software Assurance para BizTalk Server Branch sem adquirir as licenças principais subjacentes para uma série de licenças principais iguais ao número de licenças de processador qualificadas atribuídas ao servidor multiplicado pelo maior de: </w:t>
      </w:r>
    </w:p>
    <w:p w:rsidR="008233B3" w:rsidRPr="00416070" w:rsidRDefault="008233B3" w:rsidP="008233B3">
      <w:pPr>
        <w:numPr>
          <w:ilvl w:val="3"/>
          <w:numId w:val="112"/>
        </w:numPr>
        <w:tabs>
          <w:tab w:val="left" w:pos="2160"/>
        </w:tabs>
        <w:spacing w:after="60"/>
        <w:ind w:left="2160"/>
      </w:pPr>
      <w:r w:rsidRPr="00416070">
        <w:rPr>
          <w:rFonts w:eastAsia="Calibri" w:cs="Tahoma"/>
          <w:color w:val="000000"/>
          <w:szCs w:val="18"/>
        </w:rPr>
        <w:t>Quatro OU</w:t>
      </w:r>
    </w:p>
    <w:p w:rsidR="008233B3" w:rsidRPr="006301EB" w:rsidRDefault="008233B3" w:rsidP="008233B3">
      <w:pPr>
        <w:numPr>
          <w:ilvl w:val="3"/>
          <w:numId w:val="112"/>
        </w:numPr>
        <w:tabs>
          <w:tab w:val="left" w:pos="2160"/>
        </w:tabs>
        <w:spacing w:after="60"/>
        <w:ind w:left="2160"/>
        <w:rPr>
          <w:lang w:val="pt-BR"/>
        </w:rPr>
      </w:pPr>
      <w:r w:rsidRPr="006301EB">
        <w:rPr>
          <w:rFonts w:eastAsia="Calibri" w:cs="Tahoma"/>
          <w:color w:val="000000"/>
          <w:szCs w:val="18"/>
          <w:lang w:val="pt-BR"/>
        </w:rPr>
        <w:t>o número real de núcleos por processador físico multiplicado pelo fator do núcleo apropriado.</w:t>
      </w:r>
      <w:r w:rsidR="00FB5496" w:rsidRPr="006301EB">
        <w:rPr>
          <w:rFonts w:eastAsia="Calibri" w:cs="Tahoma"/>
          <w:color w:val="000000"/>
          <w:szCs w:val="18"/>
          <w:lang w:val="pt-BR"/>
        </w:rPr>
        <w:t xml:space="preserve"> </w:t>
      </w:r>
      <w:r w:rsidRPr="006301EB">
        <w:rPr>
          <w:rFonts w:eastAsia="Calibri" w:cs="Tahoma"/>
          <w:color w:val="000000"/>
          <w:szCs w:val="18"/>
          <w:lang w:val="pt-BR"/>
        </w:rPr>
        <w:t>(Nos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w:t>
      </w:r>
      <w:r w:rsidR="00397ADC" w:rsidRPr="006301EB">
        <w:rPr>
          <w:rFonts w:eastAsia="Calibri" w:cs="Tahoma"/>
          <w:color w:val="000000"/>
          <w:szCs w:val="18"/>
          <w:lang w:val="pt-BR"/>
        </w:rPr>
        <w:t> </w:t>
      </w:r>
      <w:r w:rsidRPr="006301EB">
        <w:rPr>
          <w:rFonts w:eastAsia="Calibri" w:cs="Tahoma"/>
          <w:color w:val="000000"/>
          <w:szCs w:val="18"/>
          <w:lang w:val="pt-BR"/>
        </w:rPr>
        <w:t xml:space="preserve">MAP ou qualquer software equivalente.) </w:t>
      </w:r>
    </w:p>
    <w:p w:rsidR="008233B3" w:rsidRPr="006301EB" w:rsidRDefault="008233B3" w:rsidP="008233B3">
      <w:pPr>
        <w:tabs>
          <w:tab w:val="left" w:pos="1800"/>
        </w:tabs>
        <w:ind w:left="1080"/>
        <w:rPr>
          <w:lang w:val="pt-BR"/>
        </w:rPr>
      </w:pPr>
    </w:p>
    <w:p w:rsidR="008233B3" w:rsidRPr="006301EB" w:rsidRDefault="008233B3" w:rsidP="008233B3">
      <w:pPr>
        <w:spacing w:after="60"/>
        <w:ind w:left="720"/>
        <w:rPr>
          <w:lang w:val="pt-BR"/>
        </w:rPr>
      </w:pPr>
      <w:r w:rsidRPr="006301EB">
        <w:rPr>
          <w:rFonts w:eastAsia="Calibri" w:cs="Tahoma"/>
          <w:color w:val="000000"/>
          <w:szCs w:val="18"/>
          <w:lang w:val="pt-BR"/>
        </w:rPr>
        <w:t xml:space="preserve">As licenças do processador dos clientes não são mais válidas na aquisição do Software Assurance para as licenças principais sob esta oferta. </w:t>
      </w:r>
      <w:r w:rsidRPr="006301EB">
        <w:rPr>
          <w:rFonts w:eastAsia="Calibri" w:cs="Tahoma"/>
          <w:szCs w:val="18"/>
          <w:lang w:val="pt-BR"/>
        </w:rPr>
        <w:t>A opção de adquirir o Software Assurance para licenças principais do BizTalk Server não é aplicável à renovação de cobertura sob os programas de assinatura.</w:t>
      </w:r>
    </w:p>
    <w:p w:rsidR="008233B3" w:rsidRPr="006301EB" w:rsidRDefault="008233B3" w:rsidP="008233B3">
      <w:pPr>
        <w:ind w:left="1440"/>
        <w:rPr>
          <w:lang w:val="pt-BR"/>
        </w:rPr>
      </w:pPr>
    </w:p>
    <w:p w:rsidR="008233B3" w:rsidRPr="006301EB" w:rsidRDefault="008233B3" w:rsidP="008233B3">
      <w:pPr>
        <w:tabs>
          <w:tab w:val="left" w:pos="1440"/>
        </w:tabs>
        <w:spacing w:after="60"/>
        <w:ind w:left="720"/>
        <w:rPr>
          <w:lang w:val="pt-BR"/>
        </w:rPr>
      </w:pPr>
      <w:r w:rsidRPr="006301EB">
        <w:rPr>
          <w:rFonts w:eastAsia="Calibri" w:cs="Tahoma"/>
          <w:b/>
          <w:color w:val="000000"/>
          <w:szCs w:val="18"/>
          <w:lang w:val="pt-BR"/>
        </w:rPr>
        <w:t>Para os clientes com cobertura de Software Assurance que optaram pela não renovação</w:t>
      </w:r>
    </w:p>
    <w:p w:rsidR="008233B3" w:rsidRPr="006301EB" w:rsidRDefault="008233B3" w:rsidP="008233B3">
      <w:pPr>
        <w:tabs>
          <w:tab w:val="left" w:pos="1440"/>
        </w:tabs>
        <w:ind w:left="720"/>
        <w:rPr>
          <w:lang w:val="pt-BR"/>
        </w:rPr>
      </w:pPr>
      <w:r w:rsidRPr="006301EB">
        <w:rPr>
          <w:lang w:val="pt-BR"/>
        </w:rPr>
        <w:t xml:space="preserve">Os clientes </w:t>
      </w:r>
      <w:r w:rsidRPr="006301EB">
        <w:rPr>
          <w:rFonts w:eastAsia="Calibri" w:cs="Tahoma"/>
          <w:color w:val="000000"/>
          <w:szCs w:val="18"/>
          <w:lang w:val="pt-BR"/>
        </w:rPr>
        <w:t xml:space="preserve">Enterprise Subscription </w:t>
      </w:r>
      <w:r w:rsidRPr="006301EB">
        <w:rPr>
          <w:rFonts w:cs="Tahoma"/>
          <w:bCs/>
          <w:color w:val="000000"/>
          <w:szCs w:val="18"/>
          <w:lang w:val="pt-BR"/>
        </w:rPr>
        <w:t xml:space="preserve">e Open Value Subscription </w:t>
      </w:r>
      <w:r w:rsidRPr="006301EB">
        <w:rPr>
          <w:rFonts w:eastAsia="Calibri" w:cs="Tahoma"/>
          <w:color w:val="000000"/>
          <w:szCs w:val="18"/>
          <w:lang w:val="pt-BR"/>
        </w:rPr>
        <w:t>que optam por comprar licenças do processador e quaisquer outros clientes que adquirem licenças perpétuas sob seu contrato e optam por não renovar Software Assurance podem executar BizTalk Server 2010 ou BizTalk Server 2013 sob essas licenças da seguinte forma:</w:t>
      </w:r>
    </w:p>
    <w:p w:rsidR="008233B3" w:rsidRPr="006301EB" w:rsidRDefault="008233B3" w:rsidP="008233B3">
      <w:pPr>
        <w:tabs>
          <w:tab w:val="left" w:pos="1440"/>
        </w:tabs>
        <w:ind w:left="720"/>
        <w:rPr>
          <w:lang w:val="pt-BR"/>
        </w:rPr>
      </w:pPr>
    </w:p>
    <w:p w:rsidR="008233B3" w:rsidRPr="006301EB" w:rsidRDefault="008233B3" w:rsidP="008233B3">
      <w:pPr>
        <w:numPr>
          <w:ilvl w:val="0"/>
          <w:numId w:val="67"/>
        </w:numPr>
        <w:spacing w:after="60"/>
        <w:ind w:left="1440"/>
        <w:rPr>
          <w:lang w:val="pt-BR"/>
        </w:rPr>
      </w:pPr>
      <w:r w:rsidRPr="006301EB">
        <w:rPr>
          <w:rFonts w:eastAsia="Calibri" w:cs="Tahoma"/>
          <w:b/>
          <w:color w:val="000000"/>
          <w:szCs w:val="18"/>
          <w:lang w:val="pt-BR"/>
        </w:rPr>
        <w:t>BizTalk Server 2010 Branch:</w:t>
      </w:r>
      <w:r w:rsidRPr="006301EB">
        <w:rPr>
          <w:rFonts w:eastAsia="Calibri" w:cs="Tahoma"/>
          <w:color w:val="000000"/>
          <w:szCs w:val="18"/>
          <w:lang w:val="pt-BR"/>
        </w:rPr>
        <w:t xml:space="preserve"> O uso contínuo desta versão do software está sujeito aos direitos de uso do produto de licença do processador do BizTalk Server 2010 Branch; no entanto, os clientes não têm mais Mobilidade de Licenças por meio de Software Assurance.</w:t>
      </w:r>
    </w:p>
    <w:p w:rsidR="008233B3" w:rsidRPr="006301EB" w:rsidRDefault="008233B3" w:rsidP="008233B3">
      <w:pPr>
        <w:numPr>
          <w:ilvl w:val="0"/>
          <w:numId w:val="67"/>
        </w:numPr>
        <w:tabs>
          <w:tab w:val="left" w:pos="1800"/>
        </w:tabs>
        <w:spacing w:after="60"/>
        <w:ind w:left="1440"/>
        <w:rPr>
          <w:lang w:val="pt-BR"/>
        </w:rPr>
      </w:pPr>
      <w:r w:rsidRPr="006301EB">
        <w:rPr>
          <w:rFonts w:eastAsia="Calibri" w:cs="Tahoma"/>
          <w:b/>
          <w:color w:val="000000"/>
          <w:szCs w:val="18"/>
          <w:lang w:val="pt-BR"/>
        </w:rPr>
        <w:t xml:space="preserve">BizTalk Server 2013 Branch: </w:t>
      </w:r>
      <w:r w:rsidRPr="006301EB">
        <w:rPr>
          <w:rFonts w:eastAsia="Calibri" w:cs="Tahoma"/>
          <w:color w:val="000000"/>
          <w:szCs w:val="18"/>
          <w:lang w:val="pt-BR"/>
        </w:rPr>
        <w:t xml:space="preserve">O uso desta versão do software está sujeito aos direitos de uso do produto de licença do processador do BizTalk </w:t>
      </w:r>
      <w:r w:rsidR="003E651C" w:rsidRPr="006301EB">
        <w:rPr>
          <w:rFonts w:eastAsia="Calibri" w:cs="Tahoma"/>
          <w:color w:val="000000"/>
          <w:szCs w:val="18"/>
          <w:lang w:val="pt-BR"/>
        </w:rPr>
        <w:t>Server 2010 Branch, no entanto:</w:t>
      </w:r>
    </w:p>
    <w:p w:rsidR="008233B3" w:rsidRPr="006301EB" w:rsidRDefault="008233B3" w:rsidP="008233B3">
      <w:pPr>
        <w:numPr>
          <w:ilvl w:val="1"/>
          <w:numId w:val="67"/>
        </w:numPr>
        <w:tabs>
          <w:tab w:val="left" w:pos="2160"/>
        </w:tabs>
        <w:spacing w:after="60"/>
        <w:ind w:left="2160"/>
        <w:rPr>
          <w:lang w:val="pt-BR"/>
        </w:rPr>
      </w:pPr>
      <w:r w:rsidRPr="006301EB">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6301EB" w:rsidRDefault="008233B3" w:rsidP="00397ADC">
      <w:pPr>
        <w:keepNext/>
        <w:keepLines/>
        <w:numPr>
          <w:ilvl w:val="1"/>
          <w:numId w:val="67"/>
        </w:numPr>
        <w:tabs>
          <w:tab w:val="left" w:pos="2160"/>
          <w:tab w:val="left" w:pos="2970"/>
        </w:tabs>
        <w:spacing w:after="60"/>
        <w:ind w:left="2160"/>
        <w:rPr>
          <w:lang w:val="pt-BR"/>
        </w:rPr>
      </w:pPr>
      <w:r w:rsidRPr="006301EB">
        <w:rPr>
          <w:rFonts w:eastAsia="Calibri" w:cs="Tahoma"/>
          <w:color w:val="000000"/>
          <w:szCs w:val="18"/>
          <w:lang w:val="pt-BR"/>
        </w:rPr>
        <w:lastRenderedPageBreak/>
        <w:t xml:space="preserve">quaisquer reatribuição de licenças está sujeita a limitações abaixo relacionada a sua “equivalência de licença principal”. A equivalência de licença principal é determinada da seguinte forma: </w:t>
      </w:r>
    </w:p>
    <w:p w:rsidR="008233B3" w:rsidRPr="006301EB" w:rsidRDefault="008233B3" w:rsidP="008233B3">
      <w:pPr>
        <w:numPr>
          <w:ilvl w:val="2"/>
          <w:numId w:val="67"/>
        </w:numPr>
        <w:tabs>
          <w:tab w:val="left" w:pos="2520"/>
        </w:tabs>
        <w:spacing w:after="60"/>
        <w:ind w:left="2520"/>
        <w:rPr>
          <w:lang w:val="pt-BR"/>
        </w:rPr>
      </w:pPr>
      <w:r w:rsidRPr="006301EB">
        <w:rPr>
          <w:rFonts w:eastAsia="Calibri" w:cs="Tahoma"/>
          <w:color w:val="000000"/>
          <w:szCs w:val="18"/>
          <w:lang w:val="pt-BR"/>
        </w:rPr>
        <w:t xml:space="preserve">Para cada licença qualificada atribuída ao servidor, a equivalência de licença principal é maior do que: </w:t>
      </w:r>
    </w:p>
    <w:p w:rsidR="008233B3" w:rsidRPr="006301EB" w:rsidRDefault="008233B3" w:rsidP="008233B3">
      <w:pPr>
        <w:numPr>
          <w:ilvl w:val="4"/>
          <w:numId w:val="155"/>
        </w:numPr>
        <w:tabs>
          <w:tab w:val="left" w:pos="2880"/>
        </w:tabs>
        <w:spacing w:after="60"/>
        <w:ind w:left="2880"/>
        <w:rPr>
          <w:lang w:val="pt-BR"/>
        </w:rPr>
      </w:pPr>
      <w:r w:rsidRPr="006301EB">
        <w:rPr>
          <w:rFonts w:eastAsia="Calibri" w:cs="Tahoma"/>
          <w:color w:val="000000"/>
          <w:szCs w:val="18"/>
          <w:lang w:val="pt-BR"/>
        </w:rPr>
        <w:t xml:space="preserve">quatro núcleos por licença de processador OU </w:t>
      </w:r>
    </w:p>
    <w:p w:rsidR="008233B3" w:rsidRPr="006301EB" w:rsidRDefault="008233B3" w:rsidP="008233B3">
      <w:pPr>
        <w:numPr>
          <w:ilvl w:val="4"/>
          <w:numId w:val="155"/>
        </w:numPr>
        <w:tabs>
          <w:tab w:val="left" w:pos="2880"/>
        </w:tabs>
        <w:spacing w:after="60"/>
        <w:ind w:left="2880"/>
        <w:rPr>
          <w:lang w:val="pt-BR"/>
        </w:rPr>
      </w:pPr>
      <w:r w:rsidRPr="006301EB">
        <w:rPr>
          <w:rFonts w:eastAsia="Calibri" w:cs="Tahoma"/>
          <w:color w:val="000000"/>
          <w:szCs w:val="18"/>
          <w:lang w:val="pt-BR"/>
        </w:rPr>
        <w:t>um número de núcleos por licença do processador com base no número real de</w:t>
      </w:r>
      <w:r w:rsidR="00397ADC" w:rsidRPr="006301EB">
        <w:rPr>
          <w:rFonts w:eastAsia="Calibri" w:cs="Tahoma"/>
          <w:color w:val="000000"/>
          <w:szCs w:val="18"/>
          <w:lang w:val="pt-BR"/>
        </w:rPr>
        <w:t> </w:t>
      </w:r>
      <w:r w:rsidRPr="006301EB">
        <w:rPr>
          <w:rFonts w:eastAsia="Calibri" w:cs="Tahoma"/>
          <w:color w:val="000000"/>
          <w:szCs w:val="18"/>
          <w:lang w:val="pt-BR"/>
        </w:rPr>
        <w:t>núcleos por processador físico multiplicado pelo fator de núcleo apropriado. (Nos</w:t>
      </w:r>
      <w:r w:rsidR="00397ADC" w:rsidRPr="006301EB">
        <w:rPr>
          <w:rFonts w:eastAsia="Calibri" w:cs="Tahoma"/>
          <w:color w:val="000000"/>
          <w:szCs w:val="18"/>
          <w:lang w:val="pt-BR"/>
        </w:rPr>
        <w:t> </w:t>
      </w:r>
      <w:r w:rsidRPr="006301EB">
        <w:rPr>
          <w:rFonts w:eastAsia="Calibri" w:cs="Tahoma"/>
          <w:color w:val="000000"/>
          <w:szCs w:val="18"/>
          <w:lang w:val="pt-BR"/>
        </w:rPr>
        <w:t>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w:t>
      </w:r>
      <w:r w:rsidR="00397ADC" w:rsidRPr="006301EB">
        <w:rPr>
          <w:rFonts w:eastAsia="Calibri" w:cs="Tahoma"/>
          <w:color w:val="000000"/>
          <w:szCs w:val="18"/>
          <w:lang w:val="pt-BR"/>
        </w:rPr>
        <w:t> </w:t>
      </w:r>
      <w:r w:rsidRPr="006301EB">
        <w:rPr>
          <w:rFonts w:eastAsia="Calibri" w:cs="Tahoma"/>
          <w:color w:val="000000"/>
          <w:szCs w:val="18"/>
          <w:lang w:val="pt-BR"/>
        </w:rPr>
        <w:t>Assurance usando a ferramenta Microsoft MAP ou qualquer software</w:t>
      </w:r>
      <w:r w:rsidR="00397ADC" w:rsidRPr="006301EB">
        <w:rPr>
          <w:rFonts w:eastAsia="Calibri" w:cs="Tahoma"/>
          <w:color w:val="000000"/>
          <w:szCs w:val="18"/>
          <w:lang w:val="pt-BR"/>
        </w:rPr>
        <w:t> </w:t>
      </w:r>
      <w:r w:rsidR="009D57D2" w:rsidRPr="006301EB">
        <w:rPr>
          <w:rFonts w:eastAsia="Calibri" w:cs="Tahoma"/>
          <w:color w:val="000000"/>
          <w:szCs w:val="18"/>
          <w:lang w:val="pt-BR"/>
        </w:rPr>
        <w:t>equivalente.)</w:t>
      </w:r>
    </w:p>
    <w:p w:rsidR="008233B3" w:rsidRPr="006301EB" w:rsidRDefault="008233B3" w:rsidP="008233B3">
      <w:pPr>
        <w:numPr>
          <w:ilvl w:val="1"/>
          <w:numId w:val="157"/>
        </w:numPr>
        <w:tabs>
          <w:tab w:val="left" w:pos="1800"/>
        </w:tabs>
        <w:spacing w:after="60"/>
        <w:rPr>
          <w:lang w:val="pt-BR"/>
        </w:rPr>
      </w:pPr>
      <w:r w:rsidRPr="006301EB">
        <w:rPr>
          <w:rFonts w:eastAsia="Calibri" w:cs="Tahoma"/>
          <w:color w:val="000000"/>
          <w:szCs w:val="18"/>
          <w:lang w:val="pt-BR"/>
        </w:rPr>
        <w:t xml:space="preserve">Os Clientes </w:t>
      </w:r>
      <w:r w:rsidRPr="006301EB">
        <w:rPr>
          <w:rFonts w:eastAsia="Calibri" w:cs="Tahoma"/>
          <w:szCs w:val="18"/>
          <w:lang w:val="pt-BR"/>
        </w:rPr>
        <w:t>poderão transferir as Licenças para outro servidor. No entanto, se o cliente transferir uma licença para outro servidor, o cliente terá que seguir os direitos de uso do BizTalk Server 2013. Ao transferir licenças principais para servidores sob os direitos de uso do BizTalk 2013, o</w:t>
      </w:r>
      <w:r w:rsidR="00397ADC" w:rsidRPr="006301EB">
        <w:rPr>
          <w:rFonts w:eastAsia="Calibri" w:cs="Tahoma"/>
          <w:color w:val="000000"/>
          <w:szCs w:val="18"/>
          <w:lang w:val="pt-BR"/>
        </w:rPr>
        <w:t> </w:t>
      </w:r>
      <w:r w:rsidRPr="006301EB">
        <w:rPr>
          <w:rFonts w:eastAsia="Calibri" w:cs="Tahoma"/>
          <w:szCs w:val="18"/>
          <w:lang w:val="pt-BR"/>
        </w:rPr>
        <w:t>cliente poderá combinar a equivalência de núcleo de suas licenças existentes com as licenças principais do BizTalk Server 2013 adicionais.</w:t>
      </w:r>
    </w:p>
    <w:p w:rsidR="008233B3" w:rsidRPr="006301EB" w:rsidRDefault="008233B3" w:rsidP="008233B3">
      <w:pPr>
        <w:numPr>
          <w:ilvl w:val="1"/>
          <w:numId w:val="157"/>
        </w:numPr>
        <w:tabs>
          <w:tab w:val="left" w:pos="1800"/>
          <w:tab w:val="left" w:pos="2970"/>
        </w:tabs>
        <w:spacing w:after="60"/>
        <w:rPr>
          <w:lang w:val="pt-BR"/>
        </w:rPr>
      </w:pPr>
      <w:r w:rsidRPr="006301EB">
        <w:rPr>
          <w:rFonts w:eastAsia="Calibri" w:cs="Tahoma"/>
          <w:color w:val="000000"/>
          <w:szCs w:val="18"/>
          <w:lang w:val="pt-BR"/>
        </w:rPr>
        <w:t>A equivalência de licença principal dos clientes não implica que eles podem atribuir uma única licença de processador a núcleos por dois ou mais processadores.</w:t>
      </w:r>
    </w:p>
    <w:p w:rsidR="008233B3" w:rsidRPr="006301EB" w:rsidRDefault="008233B3" w:rsidP="008233B3">
      <w:pPr>
        <w:ind w:left="1440"/>
        <w:rPr>
          <w:lang w:val="pt-BR"/>
        </w:rPr>
      </w:pPr>
    </w:p>
    <w:p w:rsidR="008233B3" w:rsidRPr="006301EB" w:rsidRDefault="008233B3" w:rsidP="008233B3">
      <w:pPr>
        <w:tabs>
          <w:tab w:val="left" w:pos="720"/>
        </w:tabs>
        <w:spacing w:after="60"/>
        <w:ind w:left="720"/>
        <w:rPr>
          <w:lang w:val="pt-BR"/>
        </w:rPr>
      </w:pPr>
      <w:r w:rsidRPr="006301EB">
        <w:rPr>
          <w:b/>
          <w:lang w:val="pt-BR"/>
        </w:rPr>
        <w:t>Para os clientes localizados na República Popular da</w:t>
      </w:r>
      <w:r w:rsidRPr="006301EB">
        <w:rPr>
          <w:lang w:val="pt-BR"/>
        </w:rPr>
        <w:t xml:space="preserve"> </w:t>
      </w:r>
      <w:r w:rsidRPr="006301EB">
        <w:rPr>
          <w:b/>
          <w:lang w:val="pt-BR"/>
        </w:rPr>
        <w:t>China e para os que estão adquirindo licenças de processador e Software Assurance para BizTalk Server 2010</w:t>
      </w:r>
    </w:p>
    <w:p w:rsidR="008233B3" w:rsidRPr="006301EB" w:rsidRDefault="008233B3" w:rsidP="008233B3">
      <w:pPr>
        <w:tabs>
          <w:tab w:val="left" w:pos="720"/>
        </w:tabs>
        <w:ind w:left="720"/>
        <w:rPr>
          <w:lang w:val="pt-BR"/>
        </w:rPr>
      </w:pPr>
      <w:r w:rsidRPr="006301EB">
        <w:rPr>
          <w:lang w:val="pt-BR"/>
        </w:rPr>
        <w:t>A referência a 1</w:t>
      </w:r>
      <w:r w:rsidRPr="006301EB">
        <w:rPr>
          <w:vertAlign w:val="superscript"/>
          <w:lang w:val="pt-BR"/>
        </w:rPr>
        <w:t>º</w:t>
      </w:r>
      <w:r w:rsidRPr="006301EB">
        <w:rPr>
          <w:lang w:val="pt-BR"/>
        </w:rPr>
        <w:t xml:space="preserve"> de abril de 2013 nesta nota da lista de produtos não é aplicável. A data aplicável para esses clientes é 1</w:t>
      </w:r>
      <w:r w:rsidRPr="006301EB">
        <w:rPr>
          <w:vertAlign w:val="superscript"/>
          <w:lang w:val="pt-BR"/>
        </w:rPr>
        <w:t>º</w:t>
      </w:r>
      <w:r w:rsidRPr="006301EB">
        <w:rPr>
          <w:lang w:val="pt-BR"/>
        </w:rPr>
        <w:t xml:space="preserve"> de maio de 2013.</w:t>
      </w:r>
    </w:p>
    <w:p w:rsidR="008233B3" w:rsidRPr="006301EB" w:rsidRDefault="008233B3" w:rsidP="008233B3">
      <w:pPr>
        <w:rPr>
          <w:lang w:val="pt-BR"/>
        </w:rPr>
      </w:pPr>
    </w:p>
    <w:p w:rsidR="008233B3" w:rsidRPr="00416070" w:rsidRDefault="00A7003F" w:rsidP="008233B3">
      <w:pPr>
        <w:pStyle w:val="Heading3"/>
      </w:pPr>
      <w:bookmarkStart w:id="1150" w:name="_32_BizTalk_Server®"/>
      <w:bookmarkStart w:id="1151" w:name="_Toc352234358"/>
      <w:bookmarkStart w:id="1152" w:name="_Toc343596567"/>
      <w:bookmarkEnd w:id="1150"/>
      <w:r w:rsidRPr="00416070">
        <w:rPr>
          <w:rFonts w:ascii="Tahoma" w:hAnsi="Tahoma"/>
          <w:caps/>
          <w:color w:val="F66400"/>
          <w:sz w:val="22"/>
          <w:vertAlign w:val="superscript"/>
        </w:rPr>
        <w:t>32</w:t>
      </w:r>
      <w:r w:rsidR="00615CB9" w:rsidRPr="00416070">
        <w:rPr>
          <w:rFonts w:ascii="Tahoma" w:hAnsi="Tahoma"/>
          <w:color w:val="F66400"/>
          <w:sz w:val="22"/>
        </w:rPr>
        <w:t xml:space="preserve"> </w:t>
      </w:r>
      <w:r w:rsidRPr="00416070">
        <w:rPr>
          <w:rFonts w:ascii="Tahoma" w:hAnsi="Tahoma"/>
          <w:color w:val="F66400"/>
          <w:sz w:val="22"/>
        </w:rPr>
        <w:t>BizTalk Server</w:t>
      </w:r>
      <w:r w:rsidR="00510A6E" w:rsidRPr="00416070">
        <w:rPr>
          <w:rFonts w:ascii="Tahoma" w:hAnsi="Tahoma"/>
          <w:color w:val="F66400"/>
          <w:sz w:val="22"/>
          <w:vertAlign w:val="superscript"/>
        </w:rPr>
        <w:t>®</w:t>
      </w:r>
      <w:r w:rsidRPr="00416070">
        <w:rPr>
          <w:rFonts w:ascii="Tahoma" w:hAnsi="Tahoma"/>
          <w:color w:val="F66400"/>
          <w:sz w:val="22"/>
        </w:rPr>
        <w:t xml:space="preserve"> 2013 Enterprise</w:t>
      </w:r>
      <w:bookmarkEnd w:id="1151"/>
      <w:r w:rsidRPr="00416070">
        <w:rPr>
          <w:rFonts w:ascii="Tahoma" w:hAnsi="Tahoma"/>
          <w:color w:val="F66400"/>
          <w:sz w:val="22"/>
        </w:rPr>
        <w:t xml:space="preserve"> </w:t>
      </w:r>
      <w:bookmarkEnd w:id="1152"/>
    </w:p>
    <w:p w:rsidR="008233B3" w:rsidRPr="006301EB" w:rsidRDefault="008233B3" w:rsidP="008233B3">
      <w:pPr>
        <w:ind w:left="720"/>
        <w:rPr>
          <w:lang w:val="pt-BR"/>
        </w:rPr>
      </w:pPr>
    </w:p>
    <w:p w:rsidR="008233B3" w:rsidRPr="006301EB" w:rsidRDefault="008233B3" w:rsidP="008233B3">
      <w:pPr>
        <w:spacing w:after="60"/>
        <w:ind w:left="720"/>
        <w:rPr>
          <w:lang w:val="pt-BR"/>
        </w:rPr>
      </w:pPr>
      <w:r w:rsidRPr="006301EB">
        <w:rPr>
          <w:rFonts w:eastAsia="Calibri" w:cs="Tahoma"/>
          <w:b/>
          <w:color w:val="000000"/>
          <w:szCs w:val="18"/>
          <w:lang w:val="pt-BR"/>
        </w:rPr>
        <w:t>Outorgas de Licença Associadas à Alteração no Modelo de Licenciamento</w:t>
      </w:r>
    </w:p>
    <w:p w:rsidR="008233B3" w:rsidRPr="006301EB" w:rsidRDefault="008233B3" w:rsidP="009D57D2">
      <w:pPr>
        <w:ind w:left="720"/>
        <w:rPr>
          <w:lang w:val="pt-BR"/>
        </w:rPr>
      </w:pPr>
      <w:r w:rsidRPr="006301EB">
        <w:rPr>
          <w:rFonts w:eastAsia="Calibri" w:cs="Tahoma"/>
          <w:color w:val="000000"/>
          <w:szCs w:val="18"/>
          <w:lang w:val="pt-BR"/>
        </w:rPr>
        <w:t>O BizTalk Server 2010 será a última versão do BizTalk Server licenciada sob o modelo de licenciamento por</w:t>
      </w:r>
      <w:r w:rsidR="009D57D2" w:rsidRPr="006301EB">
        <w:rPr>
          <w:rFonts w:eastAsia="Calibri" w:cs="Tahoma"/>
          <w:color w:val="000000"/>
          <w:szCs w:val="18"/>
          <w:lang w:val="pt-BR"/>
        </w:rPr>
        <w:t> </w:t>
      </w:r>
      <w:r w:rsidRPr="006301EB">
        <w:rPr>
          <w:rFonts w:eastAsia="Calibri" w:cs="Tahoma"/>
          <w:color w:val="000000"/>
          <w:szCs w:val="18"/>
          <w:lang w:val="pt-BR"/>
        </w:rPr>
        <w:t>processador.</w:t>
      </w:r>
      <w:r w:rsidR="00FB5496" w:rsidRPr="006301EB">
        <w:rPr>
          <w:rFonts w:eastAsia="Calibri" w:cs="Tahoma"/>
          <w:color w:val="000000"/>
          <w:szCs w:val="18"/>
          <w:lang w:val="pt-BR"/>
        </w:rPr>
        <w:t xml:space="preserve"> </w:t>
      </w:r>
      <w:r w:rsidRPr="006301EB">
        <w:rPr>
          <w:rFonts w:eastAsia="Calibri" w:cs="Tahoma"/>
          <w:color w:val="000000"/>
          <w:szCs w:val="18"/>
          <w:lang w:val="pt-BR"/>
        </w:rPr>
        <w:t>Como uma exceção, aos clientes de licenciamento por volume com Software Assurance ativo para licenças do processador do BizTalk Server 2010 Enterprise em 1</w:t>
      </w:r>
      <w:r w:rsidRPr="006301EB">
        <w:rPr>
          <w:rFonts w:eastAsia="Calibri" w:cs="Tahoma"/>
          <w:color w:val="000000"/>
          <w:szCs w:val="18"/>
          <w:vertAlign w:val="superscript"/>
          <w:lang w:val="pt-BR"/>
        </w:rPr>
        <w:t>º</w:t>
      </w:r>
      <w:r w:rsidRPr="006301EB">
        <w:rPr>
          <w:rFonts w:eastAsia="Calibri" w:cs="Tahoma"/>
          <w:color w:val="000000"/>
          <w:szCs w:val="18"/>
          <w:lang w:val="pt-BR"/>
        </w:rPr>
        <w:t xml:space="preserve"> de abril de 2013 (“licenças qualificadas”) são concedidas as seguintes opções. As licenças do processador do BizTalk Server 2010 Enterprise </w:t>
      </w:r>
      <w:r w:rsidRPr="006301EB">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fins dessas opções.</w:t>
      </w:r>
      <w:r w:rsidR="00FB5496" w:rsidRPr="006301EB">
        <w:rPr>
          <w:rFonts w:cs="Tahoma"/>
          <w:bCs/>
          <w:color w:val="000000"/>
          <w:szCs w:val="18"/>
          <w:lang w:val="pt-BR"/>
        </w:rPr>
        <w:t xml:space="preserve"> </w:t>
      </w:r>
      <w:r w:rsidRPr="006301EB">
        <w:rPr>
          <w:rFonts w:cs="Tahoma"/>
          <w:bCs/>
          <w:color w:val="000000"/>
          <w:szCs w:val="18"/>
          <w:lang w:val="pt-BR"/>
        </w:rPr>
        <w:t>As licenças adquiridas sob um prazo de registro subsequente, um contrato separado ou qualquer registro com uma data de início de vigência após 1</w:t>
      </w:r>
      <w:r w:rsidRPr="006301EB">
        <w:rPr>
          <w:rFonts w:cs="Tahoma"/>
          <w:bCs/>
          <w:color w:val="000000"/>
          <w:szCs w:val="18"/>
          <w:vertAlign w:val="superscript"/>
          <w:lang w:val="pt-BR"/>
        </w:rPr>
        <w:t>º</w:t>
      </w:r>
      <w:r w:rsidRPr="006301EB">
        <w:rPr>
          <w:rFonts w:cs="Tahoma"/>
          <w:bCs/>
          <w:color w:val="000000"/>
          <w:szCs w:val="18"/>
          <w:lang w:val="pt-BR"/>
        </w:rPr>
        <w:t xml:space="preserve"> de abril de 2013 não são licenças qualificadas.</w:t>
      </w:r>
    </w:p>
    <w:p w:rsidR="008233B3" w:rsidRPr="006301EB" w:rsidRDefault="008233B3" w:rsidP="008233B3">
      <w:pPr>
        <w:ind w:left="720"/>
        <w:rPr>
          <w:lang w:val="pt-BR"/>
        </w:rPr>
      </w:pPr>
    </w:p>
    <w:p w:rsidR="008233B3" w:rsidRPr="006301EB" w:rsidRDefault="008233B3" w:rsidP="008233B3">
      <w:pPr>
        <w:spacing w:after="60"/>
        <w:ind w:left="720"/>
        <w:rPr>
          <w:lang w:val="pt-BR"/>
        </w:rPr>
      </w:pPr>
      <w:r w:rsidRPr="006301EB">
        <w:rPr>
          <w:rFonts w:eastAsia="Calibri" w:cs="Tahoma"/>
          <w:b/>
          <w:color w:val="000000"/>
          <w:szCs w:val="18"/>
          <w:lang w:val="pt-BR"/>
        </w:rPr>
        <w:t>Prazo Atual</w:t>
      </w:r>
    </w:p>
    <w:p w:rsidR="008233B3" w:rsidRPr="006301EB" w:rsidRDefault="008233B3" w:rsidP="009D57D2">
      <w:pPr>
        <w:ind w:left="720"/>
        <w:rPr>
          <w:lang w:val="pt-BR"/>
        </w:rPr>
      </w:pPr>
      <w:r w:rsidRPr="006301EB">
        <w:rPr>
          <w:rFonts w:eastAsia="Calibri" w:cs="Tahoma"/>
          <w:color w:val="000000"/>
          <w:szCs w:val="18"/>
          <w:lang w:val="pt-BR"/>
        </w:rPr>
        <w:t>Durante o prazo atual da sua cobertura de Software Assurance a partir de 1</w:t>
      </w:r>
      <w:r w:rsidRPr="006301EB">
        <w:rPr>
          <w:rFonts w:eastAsia="Calibri" w:cs="Tahoma"/>
          <w:color w:val="000000"/>
          <w:szCs w:val="18"/>
          <w:vertAlign w:val="superscript"/>
          <w:lang w:val="pt-BR"/>
        </w:rPr>
        <w:t>º</w:t>
      </w:r>
      <w:r w:rsidRPr="006301EB">
        <w:rPr>
          <w:rFonts w:eastAsia="Calibri" w:cs="Tahoma"/>
          <w:color w:val="000000"/>
          <w:szCs w:val="18"/>
          <w:lang w:val="pt-BR"/>
        </w:rPr>
        <w:t xml:space="preserve"> de abril de 2013, os clientes (incluindo aqueles sob contratos de assinatura) podem, sob qualquer licença qualificada, atualizar e usar o</w:t>
      </w:r>
      <w:r w:rsidR="009D57D2" w:rsidRPr="006301EB">
        <w:rPr>
          <w:rFonts w:eastAsia="Calibri" w:cs="Tahoma"/>
          <w:color w:val="000000"/>
          <w:szCs w:val="18"/>
          <w:lang w:val="pt-BR"/>
        </w:rPr>
        <w:t> </w:t>
      </w:r>
      <w:r w:rsidRPr="006301EB">
        <w:rPr>
          <w:rFonts w:eastAsia="Calibri" w:cs="Tahoma"/>
          <w:color w:val="000000"/>
          <w:szCs w:val="18"/>
          <w:lang w:val="pt-BR"/>
        </w:rPr>
        <w:t xml:space="preserve">BizTalk Server 2013 Enterprise em vez do BizTalk Server 2010 Enterprise sujeito aos direitos de uso do produto de licença do processador do BizTalk Server 2010 Enterprise (conforme os Direitos de Uso </w:t>
      </w:r>
      <w:r w:rsidR="009D57D2" w:rsidRPr="006301EB">
        <w:rPr>
          <w:rFonts w:eastAsia="Calibri" w:cs="Tahoma"/>
          <w:color w:val="000000"/>
          <w:szCs w:val="18"/>
          <w:lang w:val="pt-BR"/>
        </w:rPr>
        <w:t>do Produto de janeiro de 2013).</w:t>
      </w:r>
    </w:p>
    <w:p w:rsidR="008233B3" w:rsidRPr="006301EB" w:rsidRDefault="008233B3" w:rsidP="008233B3">
      <w:pPr>
        <w:ind w:left="720"/>
        <w:rPr>
          <w:lang w:val="pt-BR"/>
        </w:rPr>
      </w:pPr>
    </w:p>
    <w:p w:rsidR="00397ADC" w:rsidRPr="006301EB" w:rsidRDefault="00397ADC" w:rsidP="008233B3">
      <w:pPr>
        <w:ind w:left="720"/>
        <w:rPr>
          <w:lang w:val="pt-BR"/>
        </w:rPr>
      </w:pPr>
    </w:p>
    <w:p w:rsidR="00397ADC" w:rsidRPr="006301EB" w:rsidRDefault="00397ADC" w:rsidP="008233B3">
      <w:pPr>
        <w:ind w:left="720"/>
        <w:rPr>
          <w:lang w:val="pt-BR"/>
        </w:rPr>
      </w:pPr>
    </w:p>
    <w:p w:rsidR="00397ADC" w:rsidRPr="006301EB" w:rsidRDefault="00397ADC" w:rsidP="008233B3">
      <w:pPr>
        <w:ind w:left="720"/>
        <w:rPr>
          <w:lang w:val="pt-BR"/>
        </w:rPr>
      </w:pPr>
    </w:p>
    <w:p w:rsidR="00397ADC" w:rsidRPr="006301EB" w:rsidRDefault="00397ADC" w:rsidP="008233B3">
      <w:pPr>
        <w:ind w:left="720"/>
        <w:rPr>
          <w:lang w:val="pt-BR"/>
        </w:rPr>
      </w:pPr>
    </w:p>
    <w:p w:rsidR="00397ADC" w:rsidRPr="006301EB" w:rsidRDefault="00397ADC" w:rsidP="008233B3">
      <w:pPr>
        <w:ind w:left="720"/>
        <w:rPr>
          <w:lang w:val="pt-BR"/>
        </w:rPr>
      </w:pPr>
    </w:p>
    <w:p w:rsidR="00397ADC" w:rsidRPr="006301EB" w:rsidRDefault="00397ADC" w:rsidP="008233B3">
      <w:pPr>
        <w:ind w:left="720"/>
        <w:rPr>
          <w:lang w:val="pt-BR"/>
        </w:rPr>
      </w:pPr>
    </w:p>
    <w:p w:rsidR="00397ADC" w:rsidRPr="006301EB" w:rsidRDefault="00397ADC" w:rsidP="008233B3">
      <w:pPr>
        <w:ind w:left="720"/>
        <w:rPr>
          <w:lang w:val="pt-BR"/>
        </w:rPr>
      </w:pPr>
    </w:p>
    <w:p w:rsidR="00397ADC" w:rsidRPr="006301EB" w:rsidRDefault="00397ADC" w:rsidP="008233B3">
      <w:pPr>
        <w:ind w:left="720"/>
        <w:rPr>
          <w:lang w:val="pt-BR"/>
        </w:rPr>
      </w:pPr>
    </w:p>
    <w:p w:rsidR="008233B3" w:rsidRPr="006301EB" w:rsidRDefault="008233B3" w:rsidP="008233B3">
      <w:pPr>
        <w:spacing w:after="60"/>
        <w:ind w:left="720"/>
        <w:rPr>
          <w:lang w:val="pt-BR"/>
        </w:rPr>
      </w:pPr>
      <w:r w:rsidRPr="006301EB">
        <w:rPr>
          <w:rFonts w:eastAsia="Calibri" w:cs="Tahoma"/>
          <w:b/>
          <w:color w:val="000000"/>
          <w:szCs w:val="18"/>
          <w:lang w:val="pt-BR"/>
        </w:rPr>
        <w:lastRenderedPageBreak/>
        <w:t>Primeiro Prazo de Renovação</w:t>
      </w:r>
    </w:p>
    <w:p w:rsidR="008233B3" w:rsidRPr="006301EB" w:rsidRDefault="008233B3" w:rsidP="008233B3">
      <w:pPr>
        <w:tabs>
          <w:tab w:val="left" w:pos="1800"/>
        </w:tabs>
        <w:spacing w:after="60"/>
        <w:ind w:left="720"/>
        <w:rPr>
          <w:lang w:val="pt-BR"/>
        </w:rPr>
      </w:pPr>
      <w:r w:rsidRPr="006301EB">
        <w:rPr>
          <w:rFonts w:eastAsia="Calibri" w:cs="Tahoma"/>
          <w:color w:val="000000"/>
          <w:szCs w:val="18"/>
          <w:lang w:val="pt-BR"/>
        </w:rPr>
        <w:t>Na sua primeira renovação de Software Assurance em ou depois de 1</w:t>
      </w:r>
      <w:r w:rsidRPr="006301EB">
        <w:rPr>
          <w:rFonts w:eastAsia="Calibri" w:cs="Tahoma"/>
          <w:color w:val="000000"/>
          <w:szCs w:val="18"/>
          <w:vertAlign w:val="superscript"/>
          <w:lang w:val="pt-BR"/>
        </w:rPr>
        <w:t>º</w:t>
      </w:r>
      <w:r w:rsidRPr="006301EB">
        <w:rPr>
          <w:rFonts w:eastAsia="Calibri" w:cs="Tahoma"/>
          <w:color w:val="000000"/>
          <w:szCs w:val="18"/>
          <w:lang w:val="pt-BR"/>
        </w:rPr>
        <w:t xml:space="preserve"> de abril de 2013, para cada servidor que um cliente tiver licenciado corretamente sob os direitos de uso do produto da licença do processador do 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w:t>
      </w:r>
      <w:r w:rsidR="003E651C" w:rsidRPr="006301EB">
        <w:rPr>
          <w:rFonts w:eastAsia="Calibri" w:cs="Tahoma"/>
          <w:color w:val="000000"/>
          <w:szCs w:val="18"/>
          <w:lang w:val="pt-BR"/>
        </w:rPr>
        <w:t>dor multiplicado pelo maior de:</w:t>
      </w:r>
    </w:p>
    <w:p w:rsidR="008233B3" w:rsidRPr="00416070" w:rsidRDefault="008233B3" w:rsidP="008233B3">
      <w:pPr>
        <w:numPr>
          <w:ilvl w:val="3"/>
          <w:numId w:val="112"/>
        </w:numPr>
        <w:tabs>
          <w:tab w:val="left" w:pos="2160"/>
        </w:tabs>
        <w:spacing w:after="60"/>
        <w:ind w:left="2160"/>
      </w:pPr>
      <w:r w:rsidRPr="00416070">
        <w:rPr>
          <w:rFonts w:eastAsia="Calibri" w:cs="Tahoma"/>
          <w:color w:val="000000"/>
          <w:szCs w:val="18"/>
        </w:rPr>
        <w:t>Quatro OU</w:t>
      </w:r>
    </w:p>
    <w:p w:rsidR="008233B3" w:rsidRPr="006301EB" w:rsidRDefault="008233B3" w:rsidP="008233B3">
      <w:pPr>
        <w:numPr>
          <w:ilvl w:val="3"/>
          <w:numId w:val="112"/>
        </w:numPr>
        <w:tabs>
          <w:tab w:val="left" w:pos="2160"/>
        </w:tabs>
        <w:spacing w:after="60"/>
        <w:ind w:left="2160"/>
        <w:rPr>
          <w:lang w:val="pt-BR"/>
        </w:rPr>
      </w:pPr>
      <w:r w:rsidRPr="006301EB">
        <w:rPr>
          <w:rFonts w:eastAsia="Calibri" w:cs="Tahoma"/>
          <w:color w:val="000000"/>
          <w:szCs w:val="18"/>
          <w:lang w:val="pt-BR"/>
        </w:rPr>
        <w:t>o número real de núcleos por processador físico multiplicado pelo fator do núcleo apropriado.</w:t>
      </w:r>
      <w:r w:rsidR="00FB5496" w:rsidRPr="006301EB">
        <w:rPr>
          <w:rFonts w:eastAsia="Calibri" w:cs="Tahoma"/>
          <w:color w:val="000000"/>
          <w:szCs w:val="18"/>
          <w:lang w:val="pt-BR"/>
        </w:rPr>
        <w:t xml:space="preserve"> </w:t>
      </w:r>
      <w:r w:rsidRPr="006301EB">
        <w:rPr>
          <w:rFonts w:eastAsia="Calibri" w:cs="Tahoma"/>
          <w:color w:val="000000"/>
          <w:szCs w:val="18"/>
          <w:lang w:val="pt-BR"/>
        </w:rPr>
        <w:t>(Nos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w:t>
      </w:r>
      <w:r w:rsidR="00D52BBD" w:rsidRPr="006301EB">
        <w:rPr>
          <w:rFonts w:eastAsia="Calibri" w:cs="Tahoma"/>
          <w:color w:val="000000"/>
          <w:szCs w:val="18"/>
          <w:lang w:val="pt-BR"/>
        </w:rPr>
        <w:t> </w:t>
      </w:r>
      <w:r w:rsidRPr="006301EB">
        <w:rPr>
          <w:rFonts w:eastAsia="Calibri" w:cs="Tahoma"/>
          <w:color w:val="000000"/>
          <w:szCs w:val="18"/>
          <w:lang w:val="pt-BR"/>
        </w:rPr>
        <w:t xml:space="preserve">MAP ou qualquer software equivalente.) </w:t>
      </w:r>
    </w:p>
    <w:p w:rsidR="008233B3" w:rsidRPr="006301EB" w:rsidRDefault="008233B3" w:rsidP="008233B3">
      <w:pPr>
        <w:tabs>
          <w:tab w:val="left" w:pos="1800"/>
        </w:tabs>
        <w:ind w:left="1080"/>
        <w:rPr>
          <w:lang w:val="pt-BR"/>
        </w:rPr>
      </w:pPr>
    </w:p>
    <w:p w:rsidR="008233B3" w:rsidRPr="006301EB" w:rsidRDefault="008233B3" w:rsidP="008233B3">
      <w:pPr>
        <w:spacing w:after="60"/>
        <w:ind w:left="720"/>
        <w:rPr>
          <w:lang w:val="pt-BR"/>
        </w:rPr>
      </w:pPr>
      <w:r w:rsidRPr="006301EB">
        <w:rPr>
          <w:rFonts w:eastAsia="Calibri" w:cs="Tahoma"/>
          <w:color w:val="000000"/>
          <w:szCs w:val="18"/>
          <w:lang w:val="pt-BR"/>
        </w:rPr>
        <w:t xml:space="preserve">As licenças do processador dos clientes não são mais válidas na aquisição do Software Assurance para as licenças principais sob esta oferta. </w:t>
      </w:r>
      <w:r w:rsidRPr="006301EB">
        <w:rPr>
          <w:rFonts w:eastAsia="Calibri" w:cs="Tahoma"/>
          <w:szCs w:val="18"/>
          <w:lang w:val="pt-BR"/>
        </w:rPr>
        <w:t>A opção de adquirir o Software Assurance para licenças principais do BizTalk Server não é aplicável à renovação de cobertura sob os programas de assinatura.</w:t>
      </w:r>
      <w:r w:rsidR="00FB5496" w:rsidRPr="006301EB">
        <w:rPr>
          <w:rFonts w:eastAsia="Calibri" w:cs="Tahoma"/>
          <w:szCs w:val="18"/>
          <w:lang w:val="pt-BR"/>
        </w:rPr>
        <w:t xml:space="preserve"> </w:t>
      </w:r>
    </w:p>
    <w:p w:rsidR="008233B3" w:rsidRPr="006301EB" w:rsidRDefault="008233B3" w:rsidP="008233B3">
      <w:pPr>
        <w:ind w:left="1440"/>
        <w:rPr>
          <w:lang w:val="pt-BR"/>
        </w:rPr>
      </w:pPr>
    </w:p>
    <w:p w:rsidR="008233B3" w:rsidRPr="006301EB" w:rsidRDefault="008233B3" w:rsidP="008233B3">
      <w:pPr>
        <w:tabs>
          <w:tab w:val="left" w:pos="1440"/>
        </w:tabs>
        <w:spacing w:after="60"/>
        <w:ind w:left="720"/>
        <w:rPr>
          <w:lang w:val="pt-BR"/>
        </w:rPr>
      </w:pPr>
      <w:r w:rsidRPr="006301EB">
        <w:rPr>
          <w:rFonts w:eastAsia="Calibri" w:cs="Tahoma"/>
          <w:b/>
          <w:color w:val="000000"/>
          <w:szCs w:val="18"/>
          <w:lang w:val="pt-BR"/>
        </w:rPr>
        <w:t>Para os clientes com cobertura de Software Assurance que optaram pela não renovação</w:t>
      </w:r>
    </w:p>
    <w:p w:rsidR="008233B3" w:rsidRPr="006301EB" w:rsidRDefault="008233B3" w:rsidP="008233B3">
      <w:pPr>
        <w:tabs>
          <w:tab w:val="left" w:pos="1440"/>
        </w:tabs>
        <w:ind w:left="720"/>
        <w:rPr>
          <w:lang w:val="pt-BR"/>
        </w:rPr>
      </w:pPr>
      <w:r w:rsidRPr="006301EB">
        <w:rPr>
          <w:lang w:val="pt-BR"/>
        </w:rPr>
        <w:t xml:space="preserve">Os clientes </w:t>
      </w:r>
      <w:r w:rsidRPr="006301EB">
        <w:rPr>
          <w:rFonts w:eastAsia="Calibri" w:cs="Tahoma"/>
          <w:color w:val="000000"/>
          <w:szCs w:val="18"/>
          <w:lang w:val="pt-BR"/>
        </w:rPr>
        <w:t xml:space="preserve">Enterprise Subscription </w:t>
      </w:r>
      <w:r w:rsidRPr="006301EB">
        <w:rPr>
          <w:rFonts w:cs="Tahoma"/>
          <w:bCs/>
          <w:color w:val="000000"/>
          <w:szCs w:val="18"/>
          <w:lang w:val="pt-BR"/>
        </w:rPr>
        <w:t xml:space="preserve">e Open Value Subscription </w:t>
      </w:r>
      <w:r w:rsidRPr="006301EB">
        <w:rPr>
          <w:rFonts w:eastAsia="Calibri" w:cs="Tahoma"/>
          <w:color w:val="000000"/>
          <w:szCs w:val="18"/>
          <w:lang w:val="pt-BR"/>
        </w:rPr>
        <w:t>que optam por comprar licenças do processador e quaisquer outros clientes que adquirem licenças perpétuas sob seu contrato e optam por não</w:t>
      </w:r>
      <w:r w:rsidR="00D52BBD" w:rsidRPr="006301EB">
        <w:rPr>
          <w:rFonts w:eastAsia="Calibri" w:cs="Tahoma"/>
          <w:color w:val="000000"/>
          <w:szCs w:val="18"/>
          <w:lang w:val="pt-BR"/>
        </w:rPr>
        <w:t> </w:t>
      </w:r>
      <w:r w:rsidRPr="006301EB">
        <w:rPr>
          <w:rFonts w:eastAsia="Calibri" w:cs="Tahoma"/>
          <w:color w:val="000000"/>
          <w:szCs w:val="18"/>
          <w:lang w:val="pt-BR"/>
        </w:rPr>
        <w:t>renovar Software Assurance podem executar BizTalk Server 2010 ou BizTalk Server 2013 sob essas licenças da seguinte forma:</w:t>
      </w:r>
    </w:p>
    <w:p w:rsidR="008233B3" w:rsidRPr="006301EB" w:rsidRDefault="008233B3" w:rsidP="008233B3">
      <w:pPr>
        <w:tabs>
          <w:tab w:val="left" w:pos="1440"/>
        </w:tabs>
        <w:ind w:left="720"/>
        <w:rPr>
          <w:lang w:val="pt-BR"/>
        </w:rPr>
      </w:pPr>
    </w:p>
    <w:p w:rsidR="008233B3" w:rsidRPr="006301EB" w:rsidRDefault="008233B3" w:rsidP="008233B3">
      <w:pPr>
        <w:numPr>
          <w:ilvl w:val="0"/>
          <w:numId w:val="67"/>
        </w:numPr>
        <w:spacing w:after="60"/>
        <w:ind w:left="1440"/>
        <w:rPr>
          <w:lang w:val="pt-BR"/>
        </w:rPr>
      </w:pPr>
      <w:r w:rsidRPr="006301EB">
        <w:rPr>
          <w:rFonts w:eastAsia="Calibri" w:cs="Tahoma"/>
          <w:b/>
          <w:color w:val="000000"/>
          <w:szCs w:val="18"/>
          <w:lang w:val="pt-BR"/>
        </w:rPr>
        <w:t>BizTalk Server 2010 Enterprise:</w:t>
      </w:r>
      <w:r w:rsidRPr="006301EB">
        <w:rPr>
          <w:rFonts w:eastAsia="Calibri" w:cs="Tahoma"/>
          <w:color w:val="000000"/>
          <w:szCs w:val="18"/>
          <w:lang w:val="pt-BR"/>
        </w:rPr>
        <w:t xml:space="preserve"> O uso contínuo desta versão do software está sujeito aos direitos de uso do produto de licença do processador do BizTalk Server 2010 Enterprise; no entanto, os clientes não têm mais Mobilidade de Licenças por meio de Software Assurance.</w:t>
      </w:r>
    </w:p>
    <w:p w:rsidR="008233B3" w:rsidRPr="006301EB" w:rsidRDefault="008233B3" w:rsidP="008233B3">
      <w:pPr>
        <w:numPr>
          <w:ilvl w:val="0"/>
          <w:numId w:val="67"/>
        </w:numPr>
        <w:tabs>
          <w:tab w:val="left" w:pos="1800"/>
        </w:tabs>
        <w:spacing w:after="60"/>
        <w:ind w:left="1440"/>
        <w:rPr>
          <w:lang w:val="pt-BR"/>
        </w:rPr>
      </w:pPr>
      <w:r w:rsidRPr="006301EB">
        <w:rPr>
          <w:rFonts w:eastAsia="Calibri" w:cs="Tahoma"/>
          <w:b/>
          <w:color w:val="000000"/>
          <w:szCs w:val="18"/>
          <w:lang w:val="pt-BR"/>
        </w:rPr>
        <w:t xml:space="preserve">BizTalk Server 2013 Enterprise: </w:t>
      </w:r>
      <w:r w:rsidRPr="006301EB">
        <w:rPr>
          <w:rFonts w:eastAsia="Calibri" w:cs="Tahoma"/>
          <w:color w:val="000000"/>
          <w:szCs w:val="18"/>
          <w:lang w:val="pt-BR"/>
        </w:rPr>
        <w:t>O uso desta versão do software está sujeito aos direitos de</w:t>
      </w:r>
      <w:r w:rsidR="00D52BBD" w:rsidRPr="006301EB">
        <w:rPr>
          <w:rFonts w:eastAsia="Calibri" w:cs="Tahoma"/>
          <w:color w:val="000000"/>
          <w:szCs w:val="18"/>
          <w:lang w:val="pt-BR"/>
        </w:rPr>
        <w:t> </w:t>
      </w:r>
      <w:r w:rsidRPr="006301EB">
        <w:rPr>
          <w:rFonts w:eastAsia="Calibri" w:cs="Tahoma"/>
          <w:color w:val="000000"/>
          <w:szCs w:val="18"/>
          <w:lang w:val="pt-BR"/>
        </w:rPr>
        <w:t xml:space="preserve">uso do produto de licença do processador do BizTalk Server 2010 Enterprise, no entanto: </w:t>
      </w:r>
    </w:p>
    <w:p w:rsidR="008233B3" w:rsidRPr="006301EB" w:rsidRDefault="008233B3" w:rsidP="008233B3">
      <w:pPr>
        <w:numPr>
          <w:ilvl w:val="1"/>
          <w:numId w:val="67"/>
        </w:numPr>
        <w:tabs>
          <w:tab w:val="left" w:pos="2160"/>
        </w:tabs>
        <w:spacing w:after="60"/>
        <w:ind w:left="2160"/>
        <w:rPr>
          <w:lang w:val="pt-BR"/>
        </w:rPr>
      </w:pPr>
      <w:r w:rsidRPr="006301EB">
        <w:rPr>
          <w:rFonts w:eastAsia="Calibri" w:cs="Tahoma"/>
          <w:color w:val="000000"/>
          <w:szCs w:val="18"/>
          <w:lang w:val="pt-BR"/>
        </w:rPr>
        <w:t>os clientes não têm mais Mobilidade de Licença nos Farms de Servidores nem Mobilidade</w:t>
      </w:r>
      <w:r w:rsidR="00D52BBD" w:rsidRPr="006301EB">
        <w:rPr>
          <w:rFonts w:eastAsia="Calibri" w:cs="Tahoma"/>
          <w:color w:val="000000"/>
          <w:szCs w:val="18"/>
          <w:lang w:val="pt-BR"/>
        </w:rPr>
        <w:t> </w:t>
      </w:r>
      <w:r w:rsidRPr="006301EB">
        <w:rPr>
          <w:rFonts w:eastAsia="Calibri" w:cs="Tahoma"/>
          <w:color w:val="000000"/>
          <w:szCs w:val="18"/>
          <w:lang w:val="pt-BR"/>
        </w:rPr>
        <w:t xml:space="preserve">de Licença por meio de Software Assurance e </w:t>
      </w:r>
    </w:p>
    <w:p w:rsidR="008233B3" w:rsidRPr="006301EB" w:rsidRDefault="008233B3" w:rsidP="008233B3">
      <w:pPr>
        <w:numPr>
          <w:ilvl w:val="1"/>
          <w:numId w:val="67"/>
        </w:numPr>
        <w:tabs>
          <w:tab w:val="left" w:pos="2160"/>
          <w:tab w:val="left" w:pos="2970"/>
        </w:tabs>
        <w:spacing w:after="60"/>
        <w:ind w:left="2160"/>
        <w:rPr>
          <w:lang w:val="pt-BR"/>
        </w:rPr>
      </w:pPr>
      <w:r w:rsidRPr="006301EB">
        <w:rPr>
          <w:rFonts w:eastAsia="Calibri" w:cs="Tahoma"/>
          <w:color w:val="000000"/>
          <w:szCs w:val="18"/>
          <w:lang w:val="pt-BR"/>
        </w:rPr>
        <w:t>quaisquer reatribuição de licenças está sujeita a limitações abaixo relacionada a sua “equivalência de licença principal”. A equivalência de licença principal é determinada da</w:t>
      </w:r>
      <w:r w:rsidR="00D52BBD" w:rsidRPr="006301EB">
        <w:rPr>
          <w:rFonts w:eastAsia="Calibri" w:cs="Tahoma"/>
          <w:color w:val="000000"/>
          <w:szCs w:val="18"/>
          <w:lang w:val="pt-BR"/>
        </w:rPr>
        <w:t> </w:t>
      </w:r>
      <w:r w:rsidRPr="006301EB">
        <w:rPr>
          <w:rFonts w:eastAsia="Calibri" w:cs="Tahoma"/>
          <w:color w:val="000000"/>
          <w:szCs w:val="18"/>
          <w:lang w:val="pt-BR"/>
        </w:rPr>
        <w:t xml:space="preserve">seguinte forma: </w:t>
      </w:r>
    </w:p>
    <w:p w:rsidR="008233B3" w:rsidRPr="006301EB" w:rsidRDefault="008233B3" w:rsidP="008233B3">
      <w:pPr>
        <w:numPr>
          <w:ilvl w:val="2"/>
          <w:numId w:val="67"/>
        </w:numPr>
        <w:tabs>
          <w:tab w:val="left" w:pos="2520"/>
        </w:tabs>
        <w:spacing w:after="60"/>
        <w:ind w:left="2520"/>
        <w:rPr>
          <w:lang w:val="pt-BR"/>
        </w:rPr>
      </w:pPr>
      <w:r w:rsidRPr="006301EB">
        <w:rPr>
          <w:rFonts w:eastAsia="Calibri" w:cs="Tahoma"/>
          <w:color w:val="000000"/>
          <w:szCs w:val="18"/>
          <w:lang w:val="pt-BR"/>
        </w:rPr>
        <w:t xml:space="preserve">Para cada licença qualificada atribuída ao servidor, a equivalência de licença principal é maior do que: </w:t>
      </w:r>
    </w:p>
    <w:p w:rsidR="008233B3" w:rsidRPr="006301EB" w:rsidRDefault="008233B3" w:rsidP="008233B3">
      <w:pPr>
        <w:numPr>
          <w:ilvl w:val="4"/>
          <w:numId w:val="155"/>
        </w:numPr>
        <w:tabs>
          <w:tab w:val="left" w:pos="2880"/>
        </w:tabs>
        <w:spacing w:after="60"/>
        <w:ind w:left="2880"/>
        <w:rPr>
          <w:lang w:val="pt-BR"/>
        </w:rPr>
      </w:pPr>
      <w:r w:rsidRPr="006301EB">
        <w:rPr>
          <w:rFonts w:eastAsia="Calibri" w:cs="Tahoma"/>
          <w:color w:val="000000"/>
          <w:szCs w:val="18"/>
          <w:lang w:val="pt-BR"/>
        </w:rPr>
        <w:t xml:space="preserve">quatro núcleos por licença de processador OU </w:t>
      </w:r>
    </w:p>
    <w:p w:rsidR="008233B3" w:rsidRPr="006301EB" w:rsidRDefault="008233B3" w:rsidP="008233B3">
      <w:pPr>
        <w:numPr>
          <w:ilvl w:val="4"/>
          <w:numId w:val="155"/>
        </w:numPr>
        <w:tabs>
          <w:tab w:val="left" w:pos="2880"/>
        </w:tabs>
        <w:spacing w:after="60"/>
        <w:ind w:left="2880"/>
        <w:rPr>
          <w:lang w:val="pt-BR"/>
        </w:rPr>
      </w:pPr>
      <w:r w:rsidRPr="006301EB">
        <w:rPr>
          <w:rFonts w:eastAsia="Calibri" w:cs="Tahoma"/>
          <w:color w:val="000000"/>
          <w:szCs w:val="18"/>
          <w:lang w:val="pt-BR"/>
        </w:rPr>
        <w:t>um número de núcleos por licença do processador com base no número real de</w:t>
      </w:r>
      <w:r w:rsidR="00D52BBD" w:rsidRPr="006301EB">
        <w:rPr>
          <w:rFonts w:eastAsia="Calibri" w:cs="Tahoma"/>
          <w:color w:val="000000"/>
          <w:szCs w:val="18"/>
          <w:lang w:val="pt-BR"/>
        </w:rPr>
        <w:t> </w:t>
      </w:r>
      <w:r w:rsidRPr="006301EB">
        <w:rPr>
          <w:rFonts w:eastAsia="Calibri" w:cs="Tahoma"/>
          <w:color w:val="000000"/>
          <w:szCs w:val="18"/>
          <w:lang w:val="pt-BR"/>
        </w:rPr>
        <w:t>núcleos por processador físico multiplicado pelo fator de núcleo apropriado. (Nos</w:t>
      </w:r>
      <w:r w:rsidR="00D52BBD" w:rsidRPr="006301EB">
        <w:rPr>
          <w:rFonts w:eastAsia="Calibri" w:cs="Tahoma"/>
          <w:color w:val="000000"/>
          <w:szCs w:val="18"/>
          <w:lang w:val="pt-BR"/>
        </w:rPr>
        <w:t> </w:t>
      </w:r>
      <w:r w:rsidRPr="006301EB">
        <w:rPr>
          <w:rFonts w:eastAsia="Calibri" w:cs="Tahoma"/>
          <w:color w:val="000000"/>
          <w:szCs w:val="18"/>
          <w:lang w:val="pt-BR"/>
        </w:rPr>
        <w:t>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w:t>
      </w:r>
      <w:r w:rsidR="00D52BBD" w:rsidRPr="006301EB">
        <w:rPr>
          <w:rFonts w:eastAsia="Calibri" w:cs="Tahoma"/>
          <w:color w:val="000000"/>
          <w:szCs w:val="18"/>
          <w:lang w:val="pt-BR"/>
        </w:rPr>
        <w:t> </w:t>
      </w:r>
      <w:r w:rsidRPr="006301EB">
        <w:rPr>
          <w:rFonts w:eastAsia="Calibri" w:cs="Tahoma"/>
          <w:color w:val="000000"/>
          <w:szCs w:val="18"/>
          <w:lang w:val="pt-BR"/>
        </w:rPr>
        <w:t>Assurance usando a ferramenta Microsoft MAP ou qualquer software</w:t>
      </w:r>
      <w:r w:rsidR="00D52BBD" w:rsidRPr="006301EB">
        <w:rPr>
          <w:rFonts w:eastAsia="Calibri" w:cs="Tahoma"/>
          <w:color w:val="000000"/>
          <w:szCs w:val="18"/>
          <w:lang w:val="pt-BR"/>
        </w:rPr>
        <w:t> </w:t>
      </w:r>
      <w:r w:rsidR="009D57D2" w:rsidRPr="006301EB">
        <w:rPr>
          <w:rFonts w:eastAsia="Calibri" w:cs="Tahoma"/>
          <w:color w:val="000000"/>
          <w:szCs w:val="18"/>
          <w:lang w:val="pt-BR"/>
        </w:rPr>
        <w:t>equivalente.)</w:t>
      </w:r>
    </w:p>
    <w:p w:rsidR="008233B3" w:rsidRPr="006301EB" w:rsidRDefault="008233B3" w:rsidP="008233B3">
      <w:pPr>
        <w:numPr>
          <w:ilvl w:val="1"/>
          <w:numId w:val="156"/>
        </w:numPr>
        <w:tabs>
          <w:tab w:val="left" w:pos="1800"/>
        </w:tabs>
        <w:spacing w:after="60"/>
        <w:rPr>
          <w:lang w:val="pt-BR"/>
        </w:rPr>
      </w:pPr>
      <w:r w:rsidRPr="006301EB">
        <w:rPr>
          <w:rFonts w:eastAsia="Calibri" w:cs="Tahoma"/>
          <w:color w:val="000000"/>
          <w:szCs w:val="18"/>
          <w:lang w:val="pt-BR"/>
        </w:rPr>
        <w:t>Os Clientes poderão transferir as Licenças para outro servidor. No entanto, se o cliente transferir uma licença para outro servidor, o cliente terá que seguir os direitos de uso do BizTalk Server 2013. Ao transferir licenças principais para servidores sob os direitos de uso do BizTalk 2013, o</w:t>
      </w:r>
      <w:r w:rsidR="00D52BBD" w:rsidRPr="006301EB">
        <w:rPr>
          <w:rFonts w:eastAsia="Calibri" w:cs="Tahoma"/>
          <w:color w:val="000000"/>
          <w:szCs w:val="18"/>
          <w:lang w:val="pt-BR"/>
        </w:rPr>
        <w:t> </w:t>
      </w:r>
      <w:r w:rsidRPr="006301EB">
        <w:rPr>
          <w:rFonts w:eastAsia="Calibri" w:cs="Tahoma"/>
          <w:color w:val="000000"/>
          <w:szCs w:val="18"/>
          <w:lang w:val="pt-BR"/>
        </w:rPr>
        <w:t>cliente poderá combinar a equivalência de núcleo de suas licenças existentes com as licenças principais do BizTalk Server 2013 adicionais.</w:t>
      </w:r>
    </w:p>
    <w:p w:rsidR="008233B3" w:rsidRPr="006301EB" w:rsidRDefault="008233B3" w:rsidP="008233B3">
      <w:pPr>
        <w:numPr>
          <w:ilvl w:val="1"/>
          <w:numId w:val="156"/>
        </w:numPr>
        <w:tabs>
          <w:tab w:val="left" w:pos="1800"/>
          <w:tab w:val="left" w:pos="2970"/>
        </w:tabs>
        <w:spacing w:after="60"/>
        <w:rPr>
          <w:lang w:val="pt-BR"/>
        </w:rPr>
      </w:pPr>
      <w:r w:rsidRPr="006301EB">
        <w:rPr>
          <w:rFonts w:eastAsia="Calibri" w:cs="Tahoma"/>
          <w:color w:val="000000"/>
          <w:szCs w:val="18"/>
          <w:lang w:val="pt-BR"/>
        </w:rPr>
        <w:t>A equivalência de licença principal dos clientes não implica que eles podem atribuir uma única licença de processador a núcleos por dois ou mais processadores.</w:t>
      </w:r>
    </w:p>
    <w:p w:rsidR="008233B3" w:rsidRPr="006301EB" w:rsidRDefault="008233B3" w:rsidP="008233B3">
      <w:pPr>
        <w:ind w:left="1440"/>
        <w:rPr>
          <w:lang w:val="pt-BR"/>
        </w:rPr>
      </w:pPr>
    </w:p>
    <w:p w:rsidR="008233B3" w:rsidRPr="006301EB" w:rsidRDefault="008233B3" w:rsidP="008233B3">
      <w:pPr>
        <w:tabs>
          <w:tab w:val="left" w:pos="720"/>
        </w:tabs>
        <w:spacing w:after="60"/>
        <w:ind w:left="720"/>
        <w:rPr>
          <w:lang w:val="pt-BR"/>
        </w:rPr>
      </w:pPr>
      <w:r w:rsidRPr="006301EB">
        <w:rPr>
          <w:b/>
          <w:lang w:val="pt-BR"/>
        </w:rPr>
        <w:lastRenderedPageBreak/>
        <w:t>Para os clientes localizados na República Popular da</w:t>
      </w:r>
      <w:r w:rsidRPr="006301EB">
        <w:rPr>
          <w:lang w:val="pt-BR"/>
        </w:rPr>
        <w:t xml:space="preserve"> </w:t>
      </w:r>
      <w:r w:rsidRPr="006301EB">
        <w:rPr>
          <w:b/>
          <w:lang w:val="pt-BR"/>
        </w:rPr>
        <w:t>China e para os que estão adquirindo licenças de processador e Software Assurance para BizTalk Server 2010</w:t>
      </w:r>
    </w:p>
    <w:p w:rsidR="008233B3" w:rsidRPr="006301EB" w:rsidRDefault="008233B3" w:rsidP="008233B3">
      <w:pPr>
        <w:tabs>
          <w:tab w:val="left" w:pos="720"/>
        </w:tabs>
        <w:ind w:left="720"/>
        <w:rPr>
          <w:lang w:val="pt-BR"/>
        </w:rPr>
      </w:pPr>
      <w:r w:rsidRPr="006301EB">
        <w:rPr>
          <w:lang w:val="pt-BR"/>
        </w:rPr>
        <w:t>A referência a 1</w:t>
      </w:r>
      <w:r w:rsidRPr="006301EB">
        <w:rPr>
          <w:vertAlign w:val="superscript"/>
          <w:lang w:val="pt-BR"/>
        </w:rPr>
        <w:t>º</w:t>
      </w:r>
      <w:r w:rsidRPr="006301EB">
        <w:rPr>
          <w:lang w:val="pt-BR"/>
        </w:rPr>
        <w:t xml:space="preserve"> de abril de 2013 nesta nota da lista de produtos não é aplicável. A data aplicável para esses clientes é 1</w:t>
      </w:r>
      <w:r w:rsidRPr="006301EB">
        <w:rPr>
          <w:vertAlign w:val="superscript"/>
          <w:lang w:val="pt-BR"/>
        </w:rPr>
        <w:t>º</w:t>
      </w:r>
      <w:r w:rsidRPr="006301EB">
        <w:rPr>
          <w:lang w:val="pt-BR"/>
        </w:rPr>
        <w:t xml:space="preserve"> de maio de 2013.</w:t>
      </w:r>
    </w:p>
    <w:p w:rsidR="008233B3" w:rsidRPr="006301EB" w:rsidRDefault="008233B3" w:rsidP="008233B3">
      <w:pPr>
        <w:ind w:left="720"/>
        <w:rPr>
          <w:lang w:val="pt-BR"/>
        </w:rPr>
      </w:pPr>
    </w:p>
    <w:p w:rsidR="004A1891" w:rsidRPr="006301EB" w:rsidRDefault="004A1891" w:rsidP="008233B3">
      <w:pPr>
        <w:ind w:left="720"/>
        <w:rPr>
          <w:lang w:val="pt-BR"/>
        </w:rPr>
      </w:pPr>
    </w:p>
    <w:p w:rsidR="008233B3" w:rsidRPr="00416070" w:rsidRDefault="008233B3" w:rsidP="008233B3">
      <w:pPr>
        <w:pStyle w:val="Heading3"/>
      </w:pPr>
      <w:bookmarkStart w:id="1153" w:name="_33_BizTalk_Server®"/>
      <w:bookmarkStart w:id="1154" w:name="_Toc352234359"/>
      <w:bookmarkStart w:id="1155" w:name="_Toc343596569"/>
      <w:bookmarkEnd w:id="1153"/>
      <w:r w:rsidRPr="00416070">
        <w:rPr>
          <w:rFonts w:ascii="Tahoma" w:hAnsi="Tahoma" w:cs="Tahoma"/>
          <w:caps/>
          <w:color w:val="F66400"/>
          <w:sz w:val="22"/>
          <w:vertAlign w:val="superscript"/>
        </w:rPr>
        <w:t>33</w:t>
      </w:r>
      <w:r w:rsidRPr="00416070">
        <w:rPr>
          <w:rFonts w:ascii="Tahoma" w:hAnsi="Tahoma" w:cs="Tahoma"/>
          <w:color w:val="F66400"/>
          <w:sz w:val="22"/>
        </w:rPr>
        <w:t xml:space="preserve"> BizTalk Server</w:t>
      </w:r>
      <w:r w:rsidR="00510A6E" w:rsidRPr="00416070">
        <w:rPr>
          <w:rFonts w:ascii="Tahoma" w:hAnsi="Tahoma" w:cs="Tahoma"/>
          <w:color w:val="F66400"/>
          <w:sz w:val="22"/>
          <w:vertAlign w:val="superscript"/>
        </w:rPr>
        <w:t>®</w:t>
      </w:r>
      <w:r w:rsidRPr="00416070">
        <w:rPr>
          <w:rFonts w:ascii="Tahoma" w:hAnsi="Tahoma" w:cs="Tahoma"/>
          <w:color w:val="F66400"/>
          <w:sz w:val="22"/>
        </w:rPr>
        <w:t xml:space="preserve"> 2013 Standard</w:t>
      </w:r>
      <w:bookmarkEnd w:id="1154"/>
      <w:r w:rsidRPr="00416070">
        <w:rPr>
          <w:rFonts w:ascii="Tahoma" w:eastAsia="Calibri" w:hAnsi="Tahoma" w:cs="Tahoma"/>
          <w:color w:val="F66400"/>
          <w:sz w:val="22"/>
          <w:szCs w:val="18"/>
        </w:rPr>
        <w:t xml:space="preserve"> </w:t>
      </w:r>
      <w:bookmarkEnd w:id="1155"/>
    </w:p>
    <w:p w:rsidR="008233B3" w:rsidRPr="006301EB" w:rsidRDefault="008233B3" w:rsidP="008233B3">
      <w:pPr>
        <w:rPr>
          <w:lang w:val="pt-BR"/>
        </w:rPr>
      </w:pPr>
    </w:p>
    <w:p w:rsidR="008233B3" w:rsidRPr="006301EB" w:rsidRDefault="008233B3" w:rsidP="008233B3">
      <w:pPr>
        <w:spacing w:after="60"/>
        <w:ind w:left="720"/>
        <w:rPr>
          <w:lang w:val="pt-BR"/>
        </w:rPr>
      </w:pPr>
      <w:r w:rsidRPr="006301EB">
        <w:rPr>
          <w:rFonts w:eastAsia="Calibri" w:cs="Tahoma"/>
          <w:b/>
          <w:color w:val="000000"/>
          <w:szCs w:val="18"/>
          <w:lang w:val="pt-BR"/>
        </w:rPr>
        <w:t>Outorgas de Licença Associadas à Alteração no Modelo de Licenciamento</w:t>
      </w:r>
    </w:p>
    <w:p w:rsidR="008233B3" w:rsidRPr="006301EB" w:rsidRDefault="008233B3" w:rsidP="009D57D2">
      <w:pPr>
        <w:ind w:left="720"/>
        <w:rPr>
          <w:lang w:val="pt-BR"/>
        </w:rPr>
      </w:pPr>
      <w:r w:rsidRPr="006301EB">
        <w:rPr>
          <w:rFonts w:eastAsia="Calibri" w:cs="Tahoma"/>
          <w:color w:val="000000"/>
          <w:szCs w:val="18"/>
          <w:lang w:val="pt-BR"/>
        </w:rPr>
        <w:t>O BizTalk Server 2010 será a última versão do BizTalk Server licenciada sob o modelo de licenciamento por</w:t>
      </w:r>
      <w:r w:rsidR="009D57D2" w:rsidRPr="006301EB">
        <w:rPr>
          <w:rFonts w:eastAsia="Calibri" w:cs="Tahoma"/>
          <w:color w:val="000000"/>
          <w:szCs w:val="18"/>
          <w:lang w:val="pt-BR"/>
        </w:rPr>
        <w:t> </w:t>
      </w:r>
      <w:r w:rsidRPr="006301EB">
        <w:rPr>
          <w:rFonts w:eastAsia="Calibri" w:cs="Tahoma"/>
          <w:color w:val="000000"/>
          <w:szCs w:val="18"/>
          <w:lang w:val="pt-BR"/>
        </w:rPr>
        <w:t>processador.</w:t>
      </w:r>
      <w:r w:rsidR="00FB5496" w:rsidRPr="006301EB">
        <w:rPr>
          <w:rFonts w:eastAsia="Calibri" w:cs="Tahoma"/>
          <w:color w:val="000000"/>
          <w:szCs w:val="18"/>
          <w:lang w:val="pt-BR"/>
        </w:rPr>
        <w:t xml:space="preserve"> </w:t>
      </w:r>
      <w:r w:rsidRPr="006301EB">
        <w:rPr>
          <w:rFonts w:eastAsia="Calibri" w:cs="Tahoma"/>
          <w:color w:val="000000"/>
          <w:szCs w:val="18"/>
          <w:lang w:val="pt-BR"/>
        </w:rPr>
        <w:t>Como uma exceção, aos clientes de licenciamento por volume com Software Assurance ativo para licenças do processador do BizTalk Server 2010 Standard em 1</w:t>
      </w:r>
      <w:r w:rsidRPr="006301EB">
        <w:rPr>
          <w:rFonts w:eastAsia="Calibri" w:cs="Tahoma"/>
          <w:color w:val="000000"/>
          <w:szCs w:val="18"/>
          <w:vertAlign w:val="superscript"/>
          <w:lang w:val="pt-BR"/>
        </w:rPr>
        <w:t>º</w:t>
      </w:r>
      <w:r w:rsidRPr="006301EB">
        <w:rPr>
          <w:rFonts w:eastAsia="Calibri" w:cs="Tahoma"/>
          <w:color w:val="000000"/>
          <w:szCs w:val="18"/>
          <w:lang w:val="pt-BR"/>
        </w:rPr>
        <w:t xml:space="preserve"> de abril de 2013 (“licenças qualificadas”) são concedidas as seguintes opções. As licenças do processador do BizTalk Server 2010 Standard </w:t>
      </w:r>
      <w:r w:rsidRPr="006301EB">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fins dessas opções.</w:t>
      </w:r>
      <w:r w:rsidR="00FB5496" w:rsidRPr="006301EB">
        <w:rPr>
          <w:rFonts w:cs="Tahoma"/>
          <w:bCs/>
          <w:color w:val="000000"/>
          <w:szCs w:val="18"/>
          <w:lang w:val="pt-BR"/>
        </w:rPr>
        <w:t xml:space="preserve"> </w:t>
      </w:r>
      <w:r w:rsidRPr="006301EB">
        <w:rPr>
          <w:rFonts w:cs="Tahoma"/>
          <w:bCs/>
          <w:color w:val="000000"/>
          <w:szCs w:val="18"/>
          <w:lang w:val="pt-BR"/>
        </w:rPr>
        <w:t>As licenças adquiridas sob um prazo de registro subsequente, um contrato separado ou qualquer registro com uma data de início de vigência após 1</w:t>
      </w:r>
      <w:r w:rsidRPr="006301EB">
        <w:rPr>
          <w:rFonts w:cs="Tahoma"/>
          <w:bCs/>
          <w:color w:val="000000"/>
          <w:szCs w:val="18"/>
          <w:vertAlign w:val="superscript"/>
          <w:lang w:val="pt-BR"/>
        </w:rPr>
        <w:t>º</w:t>
      </w:r>
      <w:r w:rsidRPr="006301EB">
        <w:rPr>
          <w:rFonts w:cs="Tahoma"/>
          <w:bCs/>
          <w:color w:val="000000"/>
          <w:szCs w:val="18"/>
          <w:lang w:val="pt-BR"/>
        </w:rPr>
        <w:t xml:space="preserve"> de abril de 2013 não são licenças qualificadas.</w:t>
      </w:r>
    </w:p>
    <w:p w:rsidR="008233B3" w:rsidRPr="006301EB" w:rsidRDefault="008233B3" w:rsidP="008233B3">
      <w:pPr>
        <w:ind w:left="720"/>
        <w:rPr>
          <w:lang w:val="pt-BR"/>
        </w:rPr>
      </w:pPr>
    </w:p>
    <w:p w:rsidR="008233B3" w:rsidRPr="006301EB" w:rsidRDefault="008233B3" w:rsidP="008233B3">
      <w:pPr>
        <w:spacing w:after="60"/>
        <w:ind w:left="720"/>
        <w:rPr>
          <w:lang w:val="pt-BR"/>
        </w:rPr>
      </w:pPr>
      <w:r w:rsidRPr="006301EB">
        <w:rPr>
          <w:rFonts w:eastAsia="Calibri" w:cs="Tahoma"/>
          <w:b/>
          <w:color w:val="000000"/>
          <w:szCs w:val="18"/>
          <w:lang w:val="pt-BR"/>
        </w:rPr>
        <w:t>Prazo Atual</w:t>
      </w:r>
    </w:p>
    <w:p w:rsidR="008233B3" w:rsidRPr="006301EB" w:rsidRDefault="008233B3" w:rsidP="008233B3">
      <w:pPr>
        <w:ind w:left="720"/>
        <w:rPr>
          <w:lang w:val="pt-BR"/>
        </w:rPr>
      </w:pPr>
      <w:r w:rsidRPr="006301EB">
        <w:rPr>
          <w:rFonts w:eastAsia="Calibri" w:cs="Tahoma"/>
          <w:color w:val="000000"/>
          <w:szCs w:val="18"/>
          <w:lang w:val="pt-BR"/>
        </w:rPr>
        <w:t>Durante o prazo atual da sua cobertura de Software Assurance a partir de 1</w:t>
      </w:r>
      <w:r w:rsidRPr="006301EB">
        <w:rPr>
          <w:rFonts w:eastAsia="Calibri" w:cs="Tahoma"/>
          <w:color w:val="000000"/>
          <w:szCs w:val="18"/>
          <w:vertAlign w:val="superscript"/>
          <w:lang w:val="pt-BR"/>
        </w:rPr>
        <w:t>º</w:t>
      </w:r>
      <w:r w:rsidRPr="006301EB">
        <w:rPr>
          <w:rFonts w:eastAsia="Calibri" w:cs="Tahoma"/>
          <w:color w:val="000000"/>
          <w:szCs w:val="18"/>
          <w:lang w:val="pt-BR"/>
        </w:rPr>
        <w:t xml:space="preserve"> de abril de 2013, os clientes (incluindo aqueles sob contratos de assinatura) podem, sob qualquer licença qualificada, atualizar e usar o</w:t>
      </w:r>
      <w:r w:rsidR="004A1891" w:rsidRPr="006301EB">
        <w:rPr>
          <w:rFonts w:eastAsia="Calibri" w:cs="Tahoma"/>
          <w:color w:val="000000"/>
          <w:szCs w:val="18"/>
          <w:lang w:val="pt-BR"/>
        </w:rPr>
        <w:t> </w:t>
      </w:r>
      <w:r w:rsidRPr="006301EB">
        <w:rPr>
          <w:rFonts w:eastAsia="Calibri" w:cs="Tahoma"/>
          <w:color w:val="000000"/>
          <w:szCs w:val="18"/>
          <w:lang w:val="pt-BR"/>
        </w:rPr>
        <w:t xml:space="preserve">BizTalk Server 2013 Standard em vez do BizTalk Server 2010 Standard sujeito aos direitos de uso do produto de licença do processador do BizTalk Server 2010 Standard (conforme os Direitos de Uso do Produto de janeiro de 2013). </w:t>
      </w:r>
    </w:p>
    <w:p w:rsidR="008233B3" w:rsidRPr="006301EB" w:rsidRDefault="008233B3" w:rsidP="008233B3">
      <w:pPr>
        <w:ind w:left="720"/>
        <w:rPr>
          <w:lang w:val="pt-BR"/>
        </w:rPr>
      </w:pPr>
    </w:p>
    <w:p w:rsidR="008233B3" w:rsidRPr="006301EB" w:rsidRDefault="008233B3" w:rsidP="008233B3">
      <w:pPr>
        <w:spacing w:after="60"/>
        <w:ind w:left="720"/>
        <w:rPr>
          <w:lang w:val="pt-BR"/>
        </w:rPr>
      </w:pPr>
      <w:r w:rsidRPr="006301EB">
        <w:rPr>
          <w:rFonts w:eastAsia="Calibri" w:cs="Tahoma"/>
          <w:b/>
          <w:color w:val="000000"/>
          <w:szCs w:val="18"/>
          <w:lang w:val="pt-BR"/>
        </w:rPr>
        <w:t>Primeiro Prazo de Renovação</w:t>
      </w:r>
    </w:p>
    <w:p w:rsidR="008233B3" w:rsidRPr="006301EB" w:rsidRDefault="008233B3" w:rsidP="008233B3">
      <w:pPr>
        <w:tabs>
          <w:tab w:val="left" w:pos="1800"/>
        </w:tabs>
        <w:spacing w:after="60"/>
        <w:ind w:left="720"/>
        <w:rPr>
          <w:lang w:val="pt-BR"/>
        </w:rPr>
      </w:pPr>
      <w:r w:rsidRPr="006301EB">
        <w:rPr>
          <w:rFonts w:eastAsia="Calibri" w:cs="Tahoma"/>
          <w:color w:val="000000"/>
          <w:szCs w:val="18"/>
          <w:lang w:val="pt-BR"/>
        </w:rPr>
        <w:t>Na sua primeira renovação de Software Assurance em ou depois de 1</w:t>
      </w:r>
      <w:r w:rsidRPr="006301EB">
        <w:rPr>
          <w:rFonts w:eastAsia="Calibri" w:cs="Tahoma"/>
          <w:color w:val="000000"/>
          <w:szCs w:val="18"/>
          <w:vertAlign w:val="superscript"/>
          <w:lang w:val="pt-BR"/>
        </w:rPr>
        <w:t>º</w:t>
      </w:r>
      <w:r w:rsidRPr="006301EB">
        <w:rPr>
          <w:rFonts w:eastAsia="Calibri" w:cs="Tahoma"/>
          <w:color w:val="000000"/>
          <w:szCs w:val="18"/>
          <w:lang w:val="pt-BR"/>
        </w:rPr>
        <w:t xml:space="preserve"> de abril de 2013, para cada servidor que um cliente tiver licenciado corretamente sob os direitos de uso do produto da licença do processador do BizTalk Server 2010, o cliente poderá adquirir licenças principais do Software Assurance para BizTalk Server Standard sem adquirir as licenças principais subjacentes para uma série de licenças principais iguais ao número de licenças de processador qualificadas atribuídas ao servidor multiplicado pelo maior de: </w:t>
      </w:r>
    </w:p>
    <w:p w:rsidR="008233B3" w:rsidRPr="00416070" w:rsidRDefault="008233B3" w:rsidP="008233B3">
      <w:pPr>
        <w:numPr>
          <w:ilvl w:val="3"/>
          <w:numId w:val="112"/>
        </w:numPr>
        <w:tabs>
          <w:tab w:val="left" w:pos="2160"/>
        </w:tabs>
        <w:spacing w:after="60"/>
        <w:ind w:left="2160"/>
      </w:pPr>
      <w:r w:rsidRPr="00416070">
        <w:rPr>
          <w:rFonts w:eastAsia="Calibri" w:cs="Tahoma"/>
          <w:color w:val="000000"/>
          <w:szCs w:val="18"/>
        </w:rPr>
        <w:t>Quatro OU</w:t>
      </w:r>
    </w:p>
    <w:p w:rsidR="008233B3" w:rsidRPr="006301EB" w:rsidRDefault="008233B3" w:rsidP="008233B3">
      <w:pPr>
        <w:numPr>
          <w:ilvl w:val="3"/>
          <w:numId w:val="112"/>
        </w:numPr>
        <w:tabs>
          <w:tab w:val="left" w:pos="2160"/>
        </w:tabs>
        <w:spacing w:after="60"/>
        <w:ind w:left="2160"/>
        <w:rPr>
          <w:lang w:val="pt-BR"/>
        </w:rPr>
      </w:pPr>
      <w:r w:rsidRPr="006301EB">
        <w:rPr>
          <w:rFonts w:eastAsia="Calibri" w:cs="Tahoma"/>
          <w:color w:val="000000"/>
          <w:szCs w:val="18"/>
          <w:lang w:val="pt-BR"/>
        </w:rPr>
        <w:t>o número real de núcleos por processador físico multiplicado pelo fator do núcleo apropriado.</w:t>
      </w:r>
      <w:r w:rsidR="00FB5496" w:rsidRPr="006301EB">
        <w:rPr>
          <w:rFonts w:eastAsia="Calibri" w:cs="Tahoma"/>
          <w:color w:val="000000"/>
          <w:szCs w:val="18"/>
          <w:lang w:val="pt-BR"/>
        </w:rPr>
        <w:t xml:space="preserve"> </w:t>
      </w:r>
      <w:r w:rsidRPr="006301EB">
        <w:rPr>
          <w:rFonts w:eastAsia="Calibri" w:cs="Tahoma"/>
          <w:color w:val="000000"/>
          <w:szCs w:val="18"/>
          <w:lang w:val="pt-BR"/>
        </w:rPr>
        <w:t>(Nos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w:t>
      </w:r>
      <w:r w:rsidR="004A1891" w:rsidRPr="006301EB">
        <w:rPr>
          <w:rFonts w:eastAsia="Calibri" w:cs="Tahoma"/>
          <w:color w:val="000000"/>
          <w:szCs w:val="18"/>
          <w:lang w:val="pt-BR"/>
        </w:rPr>
        <w:t> </w:t>
      </w:r>
      <w:r w:rsidRPr="006301EB">
        <w:rPr>
          <w:rFonts w:eastAsia="Calibri" w:cs="Tahoma"/>
          <w:color w:val="000000"/>
          <w:szCs w:val="18"/>
          <w:lang w:val="pt-BR"/>
        </w:rPr>
        <w:t xml:space="preserve">MAP ou </w:t>
      </w:r>
      <w:r w:rsidR="009D57D2" w:rsidRPr="006301EB">
        <w:rPr>
          <w:rFonts w:eastAsia="Calibri" w:cs="Tahoma"/>
          <w:color w:val="000000"/>
          <w:szCs w:val="18"/>
          <w:lang w:val="pt-BR"/>
        </w:rPr>
        <w:t>qualquer software equivalente.)</w:t>
      </w:r>
    </w:p>
    <w:p w:rsidR="008233B3" w:rsidRPr="006301EB" w:rsidRDefault="008233B3" w:rsidP="008233B3">
      <w:pPr>
        <w:tabs>
          <w:tab w:val="left" w:pos="1800"/>
        </w:tabs>
        <w:ind w:left="1080"/>
        <w:rPr>
          <w:lang w:val="pt-BR"/>
        </w:rPr>
      </w:pPr>
    </w:p>
    <w:p w:rsidR="008233B3" w:rsidRPr="006301EB" w:rsidRDefault="008233B3" w:rsidP="008233B3">
      <w:pPr>
        <w:spacing w:after="60"/>
        <w:ind w:left="720"/>
        <w:rPr>
          <w:lang w:val="pt-BR"/>
        </w:rPr>
      </w:pPr>
      <w:r w:rsidRPr="006301EB">
        <w:rPr>
          <w:rFonts w:eastAsia="Calibri" w:cs="Tahoma"/>
          <w:color w:val="000000"/>
          <w:szCs w:val="18"/>
          <w:lang w:val="pt-BR"/>
        </w:rPr>
        <w:t xml:space="preserve">As licenças do processador dos clientes não são mais válidas na aquisição do Software Assurance para as licenças principais sob esta oferta. </w:t>
      </w:r>
      <w:r w:rsidRPr="006301EB">
        <w:rPr>
          <w:rFonts w:eastAsia="Calibri" w:cs="Tahoma"/>
          <w:szCs w:val="18"/>
          <w:lang w:val="pt-BR"/>
        </w:rPr>
        <w:t>A opção de adquirir o Software Assurance para licenças principais do BizTalk Server não é aplicável à renovação de cobertura sob os programas de assinatura.</w:t>
      </w:r>
    </w:p>
    <w:p w:rsidR="008233B3" w:rsidRPr="006301EB" w:rsidRDefault="008233B3" w:rsidP="008233B3">
      <w:pPr>
        <w:ind w:left="1440"/>
        <w:rPr>
          <w:lang w:val="pt-BR"/>
        </w:rPr>
      </w:pPr>
    </w:p>
    <w:p w:rsidR="008233B3" w:rsidRPr="006301EB" w:rsidRDefault="008233B3" w:rsidP="008233B3">
      <w:pPr>
        <w:tabs>
          <w:tab w:val="left" w:pos="1440"/>
        </w:tabs>
        <w:spacing w:after="60"/>
        <w:ind w:left="720"/>
        <w:rPr>
          <w:lang w:val="pt-BR"/>
        </w:rPr>
      </w:pPr>
      <w:r w:rsidRPr="006301EB">
        <w:rPr>
          <w:rFonts w:eastAsia="Calibri" w:cs="Tahoma"/>
          <w:b/>
          <w:color w:val="000000"/>
          <w:szCs w:val="18"/>
          <w:lang w:val="pt-BR"/>
        </w:rPr>
        <w:t>Para os clientes com cobertura de Software Assurance que optaram pela não renovação</w:t>
      </w:r>
    </w:p>
    <w:p w:rsidR="008233B3" w:rsidRPr="006301EB" w:rsidRDefault="008233B3" w:rsidP="008233B3">
      <w:pPr>
        <w:tabs>
          <w:tab w:val="left" w:pos="1440"/>
        </w:tabs>
        <w:ind w:left="720"/>
        <w:rPr>
          <w:lang w:val="pt-BR"/>
        </w:rPr>
      </w:pPr>
      <w:r w:rsidRPr="006301EB">
        <w:rPr>
          <w:lang w:val="pt-BR"/>
        </w:rPr>
        <w:t xml:space="preserve">Os clientes </w:t>
      </w:r>
      <w:r w:rsidRPr="006301EB">
        <w:rPr>
          <w:rFonts w:eastAsia="Calibri" w:cs="Tahoma"/>
          <w:color w:val="000000"/>
          <w:szCs w:val="18"/>
          <w:lang w:val="pt-BR"/>
        </w:rPr>
        <w:t xml:space="preserve">Enterprise Subscription </w:t>
      </w:r>
      <w:r w:rsidRPr="006301EB">
        <w:rPr>
          <w:rFonts w:cs="Tahoma"/>
          <w:bCs/>
          <w:color w:val="000000"/>
          <w:szCs w:val="18"/>
          <w:lang w:val="pt-BR"/>
        </w:rPr>
        <w:t xml:space="preserve">e Open Value Subscription </w:t>
      </w:r>
      <w:r w:rsidRPr="006301EB">
        <w:rPr>
          <w:rFonts w:eastAsia="Calibri" w:cs="Tahoma"/>
          <w:color w:val="000000"/>
          <w:szCs w:val="18"/>
          <w:lang w:val="pt-BR"/>
        </w:rPr>
        <w:t>que optam por comprar licenças do processador e quaisquer outros clientes que adquirem licenças perpétuas sob seu contrato e optam por não</w:t>
      </w:r>
      <w:r w:rsidR="00D52BBD" w:rsidRPr="006301EB">
        <w:rPr>
          <w:rFonts w:eastAsia="Calibri" w:cs="Tahoma"/>
          <w:color w:val="000000"/>
          <w:szCs w:val="18"/>
          <w:lang w:val="pt-BR"/>
        </w:rPr>
        <w:t> </w:t>
      </w:r>
      <w:r w:rsidRPr="006301EB">
        <w:rPr>
          <w:rFonts w:eastAsia="Calibri" w:cs="Tahoma"/>
          <w:color w:val="000000"/>
          <w:szCs w:val="18"/>
          <w:lang w:val="pt-BR"/>
        </w:rPr>
        <w:t>renovar Software Assurance podem executar BizTalk Server 2010 ou BizTalk Server 2013 sob essas licenças da seguinte forma:</w:t>
      </w:r>
    </w:p>
    <w:p w:rsidR="008233B3" w:rsidRPr="006301EB" w:rsidRDefault="008233B3" w:rsidP="008233B3">
      <w:pPr>
        <w:tabs>
          <w:tab w:val="left" w:pos="1440"/>
        </w:tabs>
        <w:ind w:left="720"/>
        <w:rPr>
          <w:lang w:val="pt-BR"/>
        </w:rPr>
      </w:pPr>
    </w:p>
    <w:p w:rsidR="008233B3" w:rsidRPr="006301EB" w:rsidRDefault="008233B3" w:rsidP="008233B3">
      <w:pPr>
        <w:numPr>
          <w:ilvl w:val="0"/>
          <w:numId w:val="67"/>
        </w:numPr>
        <w:spacing w:after="60"/>
        <w:ind w:left="1440"/>
        <w:rPr>
          <w:lang w:val="pt-BR"/>
        </w:rPr>
      </w:pPr>
      <w:r w:rsidRPr="006301EB">
        <w:rPr>
          <w:rFonts w:eastAsia="Calibri" w:cs="Tahoma"/>
          <w:b/>
          <w:color w:val="000000"/>
          <w:szCs w:val="18"/>
          <w:lang w:val="pt-BR"/>
        </w:rPr>
        <w:t>BizTalk Server 2010 Standard:</w:t>
      </w:r>
      <w:r w:rsidRPr="006301EB">
        <w:rPr>
          <w:rFonts w:eastAsia="Calibri" w:cs="Tahoma"/>
          <w:color w:val="000000"/>
          <w:szCs w:val="18"/>
          <w:lang w:val="pt-BR"/>
        </w:rPr>
        <w:t xml:space="preserve"> O uso contínuo desta versão do software está sujeito aos direitos de uso do produto de licença do processador do BizTalk Server 2010 Standard; no entanto,</w:t>
      </w:r>
      <w:r w:rsidR="00D52BBD" w:rsidRPr="006301EB">
        <w:rPr>
          <w:rFonts w:eastAsia="Calibri" w:cs="Tahoma"/>
          <w:color w:val="000000"/>
          <w:szCs w:val="18"/>
          <w:lang w:val="pt-BR"/>
        </w:rPr>
        <w:t> </w:t>
      </w:r>
      <w:r w:rsidRPr="006301EB">
        <w:rPr>
          <w:rFonts w:eastAsia="Calibri" w:cs="Tahoma"/>
          <w:color w:val="000000"/>
          <w:szCs w:val="18"/>
          <w:lang w:val="pt-BR"/>
        </w:rPr>
        <w:t>os clientes não têm mais Mobilidade de Licenças por meio de Software Assurance.</w:t>
      </w:r>
    </w:p>
    <w:p w:rsidR="00397ADC" w:rsidRPr="006301EB" w:rsidRDefault="00397ADC" w:rsidP="00397ADC">
      <w:pPr>
        <w:spacing w:after="60"/>
        <w:ind w:left="1440"/>
        <w:rPr>
          <w:rFonts w:eastAsia="Calibri" w:cs="Tahoma"/>
          <w:b/>
          <w:color w:val="000000"/>
          <w:szCs w:val="18"/>
          <w:lang w:val="pt-BR"/>
        </w:rPr>
      </w:pPr>
    </w:p>
    <w:p w:rsidR="00397ADC" w:rsidRPr="006301EB" w:rsidRDefault="00397ADC" w:rsidP="00397ADC">
      <w:pPr>
        <w:spacing w:after="60"/>
        <w:ind w:left="1440"/>
        <w:rPr>
          <w:lang w:val="pt-BR"/>
        </w:rPr>
      </w:pPr>
    </w:p>
    <w:p w:rsidR="008233B3" w:rsidRPr="006301EB" w:rsidRDefault="008233B3" w:rsidP="008233B3">
      <w:pPr>
        <w:numPr>
          <w:ilvl w:val="0"/>
          <w:numId w:val="67"/>
        </w:numPr>
        <w:tabs>
          <w:tab w:val="left" w:pos="1800"/>
        </w:tabs>
        <w:spacing w:after="60"/>
        <w:ind w:left="1440"/>
        <w:rPr>
          <w:lang w:val="pt-BR"/>
        </w:rPr>
      </w:pPr>
      <w:r w:rsidRPr="006301EB">
        <w:rPr>
          <w:rFonts w:eastAsia="Calibri" w:cs="Tahoma"/>
          <w:b/>
          <w:color w:val="000000"/>
          <w:szCs w:val="18"/>
          <w:lang w:val="pt-BR"/>
        </w:rPr>
        <w:lastRenderedPageBreak/>
        <w:t xml:space="preserve">BizTalk Server 2013 Standard: </w:t>
      </w:r>
      <w:r w:rsidRPr="006301EB">
        <w:rPr>
          <w:rFonts w:eastAsia="Calibri" w:cs="Tahoma"/>
          <w:color w:val="000000"/>
          <w:szCs w:val="18"/>
          <w:lang w:val="pt-BR"/>
        </w:rPr>
        <w:t xml:space="preserve">O uso desta versão do software está sujeito aos direitos de uso do produto de licença do processador do BizTalk Server 2010 Standard, no entanto: </w:t>
      </w:r>
    </w:p>
    <w:p w:rsidR="008233B3" w:rsidRPr="006301EB" w:rsidRDefault="008233B3" w:rsidP="008233B3">
      <w:pPr>
        <w:numPr>
          <w:ilvl w:val="1"/>
          <w:numId w:val="67"/>
        </w:numPr>
        <w:tabs>
          <w:tab w:val="left" w:pos="2160"/>
        </w:tabs>
        <w:spacing w:after="60"/>
        <w:ind w:left="2160"/>
        <w:rPr>
          <w:lang w:val="pt-BR"/>
        </w:rPr>
      </w:pPr>
      <w:r w:rsidRPr="006301EB">
        <w:rPr>
          <w:rFonts w:eastAsia="Calibri" w:cs="Tahoma"/>
          <w:color w:val="000000"/>
          <w:szCs w:val="18"/>
          <w:lang w:val="pt-BR"/>
        </w:rPr>
        <w:t xml:space="preserve">os clientes não têm mais Mobilidade de Licença nos Farms de Servidores nem Mobilidade de Licença por meio de Software Assurance e </w:t>
      </w:r>
    </w:p>
    <w:p w:rsidR="008233B3" w:rsidRPr="006301EB" w:rsidRDefault="008233B3" w:rsidP="008233B3">
      <w:pPr>
        <w:numPr>
          <w:ilvl w:val="1"/>
          <w:numId w:val="67"/>
        </w:numPr>
        <w:tabs>
          <w:tab w:val="left" w:pos="2160"/>
          <w:tab w:val="left" w:pos="2970"/>
        </w:tabs>
        <w:spacing w:after="60"/>
        <w:ind w:left="2160"/>
        <w:rPr>
          <w:lang w:val="pt-BR"/>
        </w:rPr>
      </w:pPr>
      <w:r w:rsidRPr="006301EB">
        <w:rPr>
          <w:rFonts w:eastAsia="Calibri" w:cs="Tahoma"/>
          <w:color w:val="000000"/>
          <w:szCs w:val="18"/>
          <w:lang w:val="pt-BR"/>
        </w:rPr>
        <w:t xml:space="preserve">quaisquer reatribuição de licenças está sujeita a limitações abaixo relacionada a sua “equivalência de licença principal”. A equivalência de licença principal é determinada da seguinte forma: </w:t>
      </w:r>
    </w:p>
    <w:p w:rsidR="008233B3" w:rsidRPr="006301EB" w:rsidRDefault="008233B3" w:rsidP="008233B3">
      <w:pPr>
        <w:numPr>
          <w:ilvl w:val="2"/>
          <w:numId w:val="67"/>
        </w:numPr>
        <w:tabs>
          <w:tab w:val="left" w:pos="2520"/>
        </w:tabs>
        <w:spacing w:after="60"/>
        <w:ind w:left="2520"/>
        <w:rPr>
          <w:lang w:val="pt-BR"/>
        </w:rPr>
      </w:pPr>
      <w:r w:rsidRPr="006301EB">
        <w:rPr>
          <w:rFonts w:eastAsia="Calibri" w:cs="Tahoma"/>
          <w:color w:val="000000"/>
          <w:szCs w:val="18"/>
          <w:lang w:val="pt-BR"/>
        </w:rPr>
        <w:t xml:space="preserve">Para cada licença qualificada atribuída ao servidor, a equivalência de licença principal é maior do que: </w:t>
      </w:r>
    </w:p>
    <w:p w:rsidR="008233B3" w:rsidRPr="006301EB" w:rsidRDefault="008233B3" w:rsidP="008233B3">
      <w:pPr>
        <w:numPr>
          <w:ilvl w:val="4"/>
          <w:numId w:val="155"/>
        </w:numPr>
        <w:tabs>
          <w:tab w:val="left" w:pos="2880"/>
        </w:tabs>
        <w:spacing w:after="60"/>
        <w:ind w:left="2880"/>
        <w:rPr>
          <w:lang w:val="pt-BR"/>
        </w:rPr>
      </w:pPr>
      <w:r w:rsidRPr="006301EB">
        <w:rPr>
          <w:rFonts w:eastAsia="Calibri" w:cs="Tahoma"/>
          <w:color w:val="000000"/>
          <w:szCs w:val="18"/>
          <w:lang w:val="pt-BR"/>
        </w:rPr>
        <w:t xml:space="preserve">quatro núcleos por licença de processador OU </w:t>
      </w:r>
    </w:p>
    <w:p w:rsidR="008233B3" w:rsidRPr="006301EB" w:rsidRDefault="008233B3" w:rsidP="009D57D2">
      <w:pPr>
        <w:numPr>
          <w:ilvl w:val="4"/>
          <w:numId w:val="155"/>
        </w:numPr>
        <w:tabs>
          <w:tab w:val="left" w:pos="2880"/>
        </w:tabs>
        <w:spacing w:after="60"/>
        <w:ind w:left="2880"/>
        <w:rPr>
          <w:lang w:val="pt-BR"/>
        </w:rPr>
      </w:pPr>
      <w:r w:rsidRPr="006301EB">
        <w:rPr>
          <w:rFonts w:eastAsia="Calibri" w:cs="Tahoma"/>
          <w:color w:val="000000"/>
          <w:szCs w:val="18"/>
          <w:lang w:val="pt-BR"/>
        </w:rPr>
        <w:t>um número de núcleos por licença do processador com base no número real de</w:t>
      </w:r>
      <w:r w:rsidR="00397ADC" w:rsidRPr="006301EB">
        <w:rPr>
          <w:rFonts w:eastAsia="Calibri" w:cs="Tahoma"/>
          <w:color w:val="000000"/>
          <w:szCs w:val="18"/>
          <w:lang w:val="pt-BR"/>
        </w:rPr>
        <w:t> </w:t>
      </w:r>
      <w:r w:rsidRPr="006301EB">
        <w:rPr>
          <w:rFonts w:eastAsia="Calibri" w:cs="Tahoma"/>
          <w:color w:val="000000"/>
          <w:szCs w:val="18"/>
          <w:lang w:val="pt-BR"/>
        </w:rPr>
        <w:t>núcleos por processador físico multiplicado pelo fator de núcleo apropriado. (Nos</w:t>
      </w:r>
      <w:r w:rsidR="00397ADC" w:rsidRPr="006301EB">
        <w:rPr>
          <w:rFonts w:eastAsia="Calibri" w:cs="Tahoma"/>
          <w:color w:val="000000"/>
          <w:szCs w:val="18"/>
          <w:lang w:val="pt-BR"/>
        </w:rPr>
        <w:t> </w:t>
      </w:r>
      <w:r w:rsidRPr="006301EB">
        <w:rPr>
          <w:rFonts w:eastAsia="Calibri" w:cs="Tahoma"/>
          <w:color w:val="000000"/>
          <w:szCs w:val="18"/>
          <w:lang w:val="pt-BR"/>
        </w:rPr>
        <w:t>casos em que o número real de núcleos por processador físico excede quatro, os clientes devem manter um registro da configuração do software BizTalk Server executando no servidor) instâncias licenciadas executando em</w:t>
      </w:r>
      <w:r w:rsidR="009D57D2" w:rsidRPr="006301EB">
        <w:rPr>
          <w:rFonts w:eastAsia="Calibri" w:cs="Tahoma"/>
          <w:color w:val="000000"/>
          <w:szCs w:val="18"/>
          <w:lang w:val="pt-BR"/>
        </w:rPr>
        <w:t> </w:t>
      </w:r>
      <w:r w:rsidRPr="006301EB">
        <w:rPr>
          <w:rFonts w:eastAsia="Calibri" w:cs="Tahoma"/>
          <w:color w:val="000000"/>
          <w:szCs w:val="18"/>
          <w:lang w:val="pt-BR"/>
        </w:rPr>
        <w:t>ambientes do sistema operacional no servidor licenciado) e o hardware físico</w:t>
      </w:r>
      <w:r w:rsidR="009D57D2" w:rsidRPr="006301EB">
        <w:rPr>
          <w:rFonts w:eastAsia="Calibri" w:cs="Tahoma"/>
          <w:color w:val="000000"/>
          <w:szCs w:val="18"/>
          <w:lang w:val="pt-BR"/>
        </w:rPr>
        <w:t> </w:t>
      </w:r>
      <w:r w:rsidRPr="006301EB">
        <w:rPr>
          <w:rFonts w:eastAsia="Calibri" w:cs="Tahoma"/>
          <w:color w:val="000000"/>
          <w:szCs w:val="18"/>
          <w:lang w:val="pt-BR"/>
        </w:rPr>
        <w:t>oferecendo suporte ao software que está antecedendo a expiração do Software</w:t>
      </w:r>
      <w:r w:rsidR="00397ADC" w:rsidRPr="006301EB">
        <w:rPr>
          <w:rFonts w:eastAsia="Calibri" w:cs="Tahoma"/>
          <w:color w:val="000000"/>
          <w:szCs w:val="18"/>
          <w:lang w:val="pt-BR"/>
        </w:rPr>
        <w:t> </w:t>
      </w:r>
      <w:r w:rsidRPr="006301EB">
        <w:rPr>
          <w:rFonts w:eastAsia="Calibri" w:cs="Tahoma"/>
          <w:color w:val="000000"/>
          <w:szCs w:val="18"/>
          <w:lang w:val="pt-BR"/>
        </w:rPr>
        <w:t>Assurance usando a ferramenta Microsoft MAP ou qualq</w:t>
      </w:r>
      <w:r w:rsidR="009D57D2" w:rsidRPr="006301EB">
        <w:rPr>
          <w:rFonts w:eastAsia="Calibri" w:cs="Tahoma"/>
          <w:color w:val="000000"/>
          <w:szCs w:val="18"/>
          <w:lang w:val="pt-BR"/>
        </w:rPr>
        <w:t>uer software equivalente.)</w:t>
      </w:r>
    </w:p>
    <w:p w:rsidR="008233B3" w:rsidRPr="006301EB" w:rsidRDefault="008233B3" w:rsidP="008233B3">
      <w:pPr>
        <w:numPr>
          <w:ilvl w:val="1"/>
          <w:numId w:val="157"/>
        </w:numPr>
        <w:tabs>
          <w:tab w:val="left" w:pos="1800"/>
        </w:tabs>
        <w:spacing w:after="60"/>
        <w:rPr>
          <w:lang w:val="pt-BR"/>
        </w:rPr>
      </w:pPr>
      <w:r w:rsidRPr="006301EB">
        <w:rPr>
          <w:rFonts w:eastAsia="Calibri" w:cs="Tahoma"/>
          <w:color w:val="000000"/>
          <w:szCs w:val="18"/>
          <w:lang w:val="pt-BR"/>
        </w:rPr>
        <w:t xml:space="preserve">Os Clientes </w:t>
      </w:r>
      <w:r w:rsidRPr="006301EB">
        <w:rPr>
          <w:rFonts w:eastAsia="Calibri" w:cs="Tahoma"/>
          <w:szCs w:val="18"/>
          <w:lang w:val="pt-BR"/>
        </w:rPr>
        <w:t>poderão transferir as Licenças para outro servidor. No entanto, se o cliente transferir uma licença para outro servidor, o cliente terá que seguir os direitos de uso do BizTalk Server</w:t>
      </w:r>
      <w:r w:rsidR="00D52BBD" w:rsidRPr="006301EB">
        <w:rPr>
          <w:rFonts w:eastAsia="Calibri" w:cs="Tahoma"/>
          <w:szCs w:val="18"/>
          <w:lang w:val="pt-BR"/>
        </w:rPr>
        <w:t> </w:t>
      </w:r>
      <w:r w:rsidRPr="006301EB">
        <w:rPr>
          <w:rFonts w:eastAsia="Calibri" w:cs="Tahoma"/>
          <w:szCs w:val="18"/>
          <w:lang w:val="pt-BR"/>
        </w:rPr>
        <w:t>2013. Ao transferir licenças principais para servidores sob os direitos de uso do BizTalk</w:t>
      </w:r>
      <w:r w:rsidR="00D52BBD" w:rsidRPr="006301EB">
        <w:rPr>
          <w:rFonts w:eastAsia="Calibri" w:cs="Tahoma"/>
          <w:szCs w:val="18"/>
          <w:lang w:val="pt-BR"/>
        </w:rPr>
        <w:t> </w:t>
      </w:r>
      <w:r w:rsidRPr="006301EB">
        <w:rPr>
          <w:rFonts w:eastAsia="Calibri" w:cs="Tahoma"/>
          <w:szCs w:val="18"/>
          <w:lang w:val="pt-BR"/>
        </w:rPr>
        <w:t>2013, o</w:t>
      </w:r>
      <w:r w:rsidR="00D52BBD" w:rsidRPr="006301EB">
        <w:rPr>
          <w:rFonts w:eastAsia="Calibri" w:cs="Tahoma"/>
          <w:szCs w:val="18"/>
          <w:lang w:val="pt-BR"/>
        </w:rPr>
        <w:t> </w:t>
      </w:r>
      <w:r w:rsidRPr="006301EB">
        <w:rPr>
          <w:rFonts w:eastAsia="Calibri" w:cs="Tahoma"/>
          <w:szCs w:val="18"/>
          <w:lang w:val="pt-BR"/>
        </w:rPr>
        <w:t>cliente poderá combinar a equivalência de núcleo de suas licenças existentes com</w:t>
      </w:r>
      <w:r w:rsidR="00D52BBD" w:rsidRPr="006301EB">
        <w:rPr>
          <w:rFonts w:eastAsia="Calibri" w:cs="Tahoma"/>
          <w:szCs w:val="18"/>
          <w:lang w:val="pt-BR"/>
        </w:rPr>
        <w:t> </w:t>
      </w:r>
      <w:r w:rsidRPr="006301EB">
        <w:rPr>
          <w:rFonts w:eastAsia="Calibri" w:cs="Tahoma"/>
          <w:szCs w:val="18"/>
          <w:lang w:val="pt-BR"/>
        </w:rPr>
        <w:t>as licenças principais do BizTalk Server 2013 adicionais.</w:t>
      </w:r>
    </w:p>
    <w:p w:rsidR="008233B3" w:rsidRPr="006301EB" w:rsidRDefault="008233B3" w:rsidP="008233B3">
      <w:pPr>
        <w:numPr>
          <w:ilvl w:val="1"/>
          <w:numId w:val="157"/>
        </w:numPr>
        <w:tabs>
          <w:tab w:val="left" w:pos="1800"/>
          <w:tab w:val="left" w:pos="2970"/>
        </w:tabs>
        <w:spacing w:after="60"/>
        <w:rPr>
          <w:lang w:val="pt-BR"/>
        </w:rPr>
      </w:pPr>
      <w:r w:rsidRPr="006301EB">
        <w:rPr>
          <w:rFonts w:eastAsia="Calibri" w:cs="Tahoma"/>
          <w:color w:val="000000"/>
          <w:szCs w:val="18"/>
          <w:lang w:val="pt-BR"/>
        </w:rPr>
        <w:t>A equivalência de licença principal dos clientes não implica que eles podem atribuir uma única licença de processador a núcleos por dois ou mais processadores.</w:t>
      </w:r>
    </w:p>
    <w:p w:rsidR="008233B3" w:rsidRPr="006301EB" w:rsidRDefault="008233B3" w:rsidP="008233B3">
      <w:pPr>
        <w:ind w:left="1440"/>
        <w:rPr>
          <w:lang w:val="pt-BR"/>
        </w:rPr>
      </w:pPr>
    </w:p>
    <w:p w:rsidR="008233B3" w:rsidRPr="006301EB" w:rsidRDefault="008233B3" w:rsidP="008233B3">
      <w:pPr>
        <w:tabs>
          <w:tab w:val="left" w:pos="720"/>
        </w:tabs>
        <w:spacing w:after="60"/>
        <w:ind w:left="720"/>
        <w:rPr>
          <w:lang w:val="pt-BR"/>
        </w:rPr>
      </w:pPr>
      <w:r w:rsidRPr="006301EB">
        <w:rPr>
          <w:b/>
          <w:lang w:val="pt-BR"/>
        </w:rPr>
        <w:t>Para os clientes localizados na República Popular da</w:t>
      </w:r>
      <w:r w:rsidRPr="006301EB">
        <w:rPr>
          <w:lang w:val="pt-BR"/>
        </w:rPr>
        <w:t xml:space="preserve"> </w:t>
      </w:r>
      <w:r w:rsidRPr="006301EB">
        <w:rPr>
          <w:b/>
          <w:lang w:val="pt-BR"/>
        </w:rPr>
        <w:t>China e para os que estão adquirindo licenças de processador e Software Assurance para BizTalk Server 2010</w:t>
      </w:r>
    </w:p>
    <w:p w:rsidR="008233B3" w:rsidRPr="006301EB" w:rsidRDefault="008233B3" w:rsidP="008233B3">
      <w:pPr>
        <w:tabs>
          <w:tab w:val="left" w:pos="720"/>
        </w:tabs>
        <w:ind w:left="720"/>
        <w:rPr>
          <w:lang w:val="pt-BR"/>
        </w:rPr>
      </w:pPr>
      <w:r w:rsidRPr="006301EB">
        <w:rPr>
          <w:lang w:val="pt-BR"/>
        </w:rPr>
        <w:t>A referência a 1</w:t>
      </w:r>
      <w:r w:rsidRPr="006301EB">
        <w:rPr>
          <w:vertAlign w:val="superscript"/>
          <w:lang w:val="pt-BR"/>
        </w:rPr>
        <w:t>º</w:t>
      </w:r>
      <w:r w:rsidRPr="006301EB">
        <w:rPr>
          <w:lang w:val="pt-BR"/>
        </w:rPr>
        <w:t xml:space="preserve"> de abril de 2013 nesta nota da lista de produtos não é aplicável. A data aplicável para esses clientes é 1</w:t>
      </w:r>
      <w:r w:rsidRPr="006301EB">
        <w:rPr>
          <w:vertAlign w:val="superscript"/>
          <w:lang w:val="pt-BR"/>
        </w:rPr>
        <w:t>º</w:t>
      </w:r>
      <w:r w:rsidRPr="006301EB">
        <w:rPr>
          <w:lang w:val="pt-BR"/>
        </w:rPr>
        <w:t xml:space="preserve"> de maio de 2013.</w:t>
      </w:r>
    </w:p>
    <w:p w:rsidR="003540FA" w:rsidRPr="006301EB" w:rsidRDefault="003540FA" w:rsidP="00A66BD2">
      <w:pPr>
        <w:ind w:left="540"/>
        <w:rPr>
          <w:lang w:val="pt-BR"/>
        </w:rPr>
      </w:pPr>
    </w:p>
    <w:p w:rsidR="004A1891" w:rsidRPr="006301EB" w:rsidRDefault="004A1891" w:rsidP="00A66BD2">
      <w:pPr>
        <w:ind w:left="540"/>
        <w:rPr>
          <w:lang w:val="pt-BR"/>
        </w:rPr>
      </w:pPr>
    </w:p>
    <w:p w:rsidR="007B48BC" w:rsidRPr="00416070" w:rsidRDefault="00B26237" w:rsidP="000773D2">
      <w:pPr>
        <w:pStyle w:val="Heading3"/>
        <w:ind w:left="270" w:hanging="270"/>
      </w:pPr>
      <w:bookmarkStart w:id="1156" w:name="_34_Business_Intelligence"/>
      <w:bookmarkStart w:id="1157" w:name="_Toc336338293"/>
      <w:bookmarkStart w:id="1158" w:name="_Toc352234360"/>
      <w:bookmarkStart w:id="1159" w:name="Srv_35BusinessIntellApp2012"/>
      <w:bookmarkStart w:id="1160" w:name="Srv_35CoreCALBridgeWinIntune"/>
      <w:bookmarkEnd w:id="1156"/>
      <w:r w:rsidRPr="00416070">
        <w:rPr>
          <w:rFonts w:ascii="Tahoma" w:hAnsi="Tahoma"/>
          <w:caps/>
          <w:color w:val="F66400"/>
          <w:sz w:val="22"/>
          <w:vertAlign w:val="superscript"/>
        </w:rPr>
        <w:t>34</w:t>
      </w:r>
      <w:r w:rsidR="00615CB9" w:rsidRPr="00416070">
        <w:rPr>
          <w:rFonts w:ascii="Tahoma" w:hAnsi="Tahoma"/>
          <w:color w:val="F66400"/>
          <w:sz w:val="22"/>
        </w:rPr>
        <w:t xml:space="preserve"> </w:t>
      </w:r>
      <w:r w:rsidRPr="00416070">
        <w:rPr>
          <w:rFonts w:ascii="Tahoma" w:hAnsi="Tahoma"/>
          <w:color w:val="F66400"/>
          <w:sz w:val="22"/>
        </w:rPr>
        <w:t>Business Intelligence Appliance 2012</w:t>
      </w:r>
      <w:bookmarkEnd w:id="1157"/>
      <w:bookmarkEnd w:id="1158"/>
      <w:r w:rsidRPr="00416070">
        <w:rPr>
          <w:rFonts w:ascii="Tahoma" w:hAnsi="Tahoma"/>
          <w:caps/>
          <w:color w:val="F66400"/>
          <w:sz w:val="22"/>
          <w:vertAlign w:val="superscript"/>
        </w:rPr>
        <w:t xml:space="preserve"> </w:t>
      </w:r>
    </w:p>
    <w:bookmarkEnd w:id="1159"/>
    <w:p w:rsidR="007B48BC" w:rsidRPr="006301EB" w:rsidRDefault="007B48BC" w:rsidP="007B48BC">
      <w:pPr>
        <w:rPr>
          <w:lang w:val="pt-BR"/>
        </w:rPr>
      </w:pPr>
    </w:p>
    <w:p w:rsidR="00E03856" w:rsidRPr="006301EB" w:rsidRDefault="00E50460" w:rsidP="00A66BD2">
      <w:pPr>
        <w:ind w:left="720"/>
        <w:rPr>
          <w:lang w:val="pt-BR"/>
        </w:rPr>
      </w:pPr>
      <w:r w:rsidRPr="006301EB">
        <w:rPr>
          <w:rFonts w:cs="Tahoma"/>
          <w:szCs w:val="18"/>
          <w:lang w:val="pt-BR"/>
        </w:rPr>
        <w:t>O software Business Intelligence Appliance 2012, que incorpora o SQL Server 2008 R2 e SharePoint Server</w:t>
      </w:r>
      <w:r w:rsidR="00B01D7E" w:rsidRPr="006301EB">
        <w:rPr>
          <w:rFonts w:cs="Tahoma"/>
          <w:szCs w:val="18"/>
          <w:lang w:val="pt-BR"/>
        </w:rPr>
        <w:t> </w:t>
      </w:r>
      <w:r w:rsidRPr="006301EB">
        <w:rPr>
          <w:rFonts w:cs="Tahoma"/>
          <w:szCs w:val="18"/>
          <w:lang w:val="pt-BR"/>
        </w:rPr>
        <w:t>2010, está disponível somente nas configurações de hardware e software aprovadas pela Microsoft.</w:t>
      </w:r>
      <w:r w:rsidR="00FB5496" w:rsidRPr="006301EB">
        <w:rPr>
          <w:rFonts w:cs="Tahoma"/>
          <w:szCs w:val="18"/>
          <w:lang w:val="pt-BR"/>
        </w:rPr>
        <w:t xml:space="preserve"> </w:t>
      </w:r>
      <w:r w:rsidRPr="006301EB">
        <w:rPr>
          <w:rFonts w:cs="Tahoma"/>
          <w:szCs w:val="18"/>
          <w:lang w:val="pt-BR"/>
        </w:rPr>
        <w:t>Não há suporte para o uso do software em outras configurações e, nesse caso, o desempenho poderá afetado.</w:t>
      </w:r>
      <w:r w:rsidR="00FB5496" w:rsidRPr="006301EB">
        <w:rPr>
          <w:rFonts w:cs="Tahoma"/>
          <w:szCs w:val="18"/>
          <w:lang w:val="pt-BR"/>
        </w:rPr>
        <w:t xml:space="preserve"> </w:t>
      </w:r>
      <w:r w:rsidRPr="006301EB">
        <w:rPr>
          <w:rFonts w:cs="Tahoma"/>
          <w:szCs w:val="18"/>
          <w:lang w:val="pt-BR"/>
        </w:rPr>
        <w:t>Para</w:t>
      </w:r>
      <w:r w:rsidR="00397ADC" w:rsidRPr="006301EB">
        <w:rPr>
          <w:rFonts w:cs="Tahoma"/>
          <w:szCs w:val="18"/>
          <w:lang w:val="pt-BR"/>
        </w:rPr>
        <w:t> </w:t>
      </w:r>
      <w:r w:rsidRPr="006301EB">
        <w:rPr>
          <w:rFonts w:cs="Tahoma"/>
          <w:szCs w:val="18"/>
          <w:lang w:val="pt-BR"/>
        </w:rPr>
        <w:t>obter mais informações, visite o site</w:t>
      </w:r>
      <w:r w:rsidRPr="006301EB">
        <w:rPr>
          <w:rFonts w:cs="Tahoma"/>
          <w:color w:val="1F497D"/>
          <w:szCs w:val="18"/>
          <w:lang w:val="pt-BR"/>
        </w:rPr>
        <w:t xml:space="preserve"> </w:t>
      </w:r>
      <w:hyperlink r:id="rId52" w:tooltip="http://www.microsoft.com/sqlserver/en/us/get-sql-server/how-to-buy.aspx" w:history="1">
        <w:r w:rsidRPr="006301EB">
          <w:rPr>
            <w:rStyle w:val="Hyperlink"/>
            <w:rFonts w:cs="Tahoma"/>
            <w:szCs w:val="18"/>
            <w:lang w:val="pt-BR"/>
          </w:rPr>
          <w:t>http://www.microsoft.com/sqlserver/en/us/get-sql-server/how-to-buy.aspx</w:t>
        </w:r>
      </w:hyperlink>
      <w:r w:rsidRPr="006301EB">
        <w:rPr>
          <w:rFonts w:cs="Tahoma"/>
          <w:szCs w:val="18"/>
          <w:lang w:val="pt-BR"/>
        </w:rPr>
        <w:t>.</w:t>
      </w:r>
    </w:p>
    <w:p w:rsidR="00A66BD2" w:rsidRPr="006301EB" w:rsidRDefault="00A66BD2" w:rsidP="00A66BD2">
      <w:pPr>
        <w:rPr>
          <w:lang w:val="pt-BR"/>
        </w:rPr>
      </w:pPr>
    </w:p>
    <w:p w:rsidR="00A66BD2" w:rsidRPr="006301EB" w:rsidRDefault="00A66BD2" w:rsidP="00A66BD2">
      <w:pPr>
        <w:rPr>
          <w:lang w:val="pt-BR"/>
        </w:rPr>
      </w:pPr>
    </w:p>
    <w:p w:rsidR="003540FA" w:rsidRPr="00416070" w:rsidRDefault="00B26237" w:rsidP="000773D2">
      <w:pPr>
        <w:pStyle w:val="Heading3"/>
        <w:ind w:left="270" w:hanging="270"/>
      </w:pPr>
      <w:bookmarkStart w:id="1161" w:name="_35_Bridge_do"/>
      <w:bookmarkStart w:id="1162" w:name="_Toc336338294"/>
      <w:bookmarkStart w:id="1163" w:name="_Toc352234361"/>
      <w:bookmarkEnd w:id="1161"/>
      <w:r w:rsidRPr="00416070">
        <w:rPr>
          <w:rFonts w:ascii="Tahoma" w:hAnsi="Tahoma"/>
          <w:caps/>
          <w:color w:val="F66400"/>
          <w:sz w:val="22"/>
          <w:vertAlign w:val="superscript"/>
        </w:rPr>
        <w:t>35</w:t>
      </w:r>
      <w:r w:rsidRPr="00416070">
        <w:rPr>
          <w:rFonts w:ascii="Tahoma" w:hAnsi="Tahoma"/>
          <w:color w:val="F66400"/>
          <w:sz w:val="22"/>
        </w:rPr>
        <w:t xml:space="preserve"> Bridge </w:t>
      </w:r>
      <w:r w:rsidRPr="00416070">
        <w:rPr>
          <w:rFonts w:ascii="Tahoma" w:hAnsi="Tahoma"/>
          <w:color w:val="FF6600"/>
          <w:sz w:val="22"/>
        </w:rPr>
        <w:t>do Pacote de CALs Principais para Office 365, Bridge do Pacote de CALs Principais para Office 365 e Windows Intune e Bridge do Pacote de CALs Principais para Windows Intune</w:t>
      </w:r>
      <w:bookmarkEnd w:id="1162"/>
      <w:bookmarkEnd w:id="1163"/>
    </w:p>
    <w:bookmarkEnd w:id="1160"/>
    <w:p w:rsidR="003540FA" w:rsidRPr="006301EB" w:rsidRDefault="003540FA" w:rsidP="00A66BD2">
      <w:pPr>
        <w:ind w:left="540"/>
        <w:rPr>
          <w:lang w:val="pt-BR"/>
        </w:rPr>
      </w:pPr>
    </w:p>
    <w:p w:rsidR="00A66BD2" w:rsidRPr="006301EB" w:rsidRDefault="000773D2" w:rsidP="00A66BD2">
      <w:pPr>
        <w:spacing w:after="60"/>
        <w:ind w:left="720"/>
        <w:rPr>
          <w:lang w:val="pt-BR"/>
        </w:rPr>
      </w:pPr>
      <w:r w:rsidRPr="006301EB">
        <w:rPr>
          <w:b/>
          <w:szCs w:val="18"/>
          <w:lang w:val="pt-BR"/>
        </w:rPr>
        <w:t>Definição</w:t>
      </w:r>
    </w:p>
    <w:p w:rsidR="000773D2" w:rsidRPr="006301EB" w:rsidRDefault="00A66BD2" w:rsidP="00A66BD2">
      <w:pPr>
        <w:ind w:left="720"/>
        <w:rPr>
          <w:lang w:val="pt-BR"/>
        </w:rPr>
      </w:pPr>
      <w:r w:rsidRPr="006301EB">
        <w:rPr>
          <w:b/>
          <w:szCs w:val="18"/>
          <w:lang w:val="pt-BR"/>
        </w:rPr>
        <w:t>“</w:t>
      </w:r>
      <w:r w:rsidRPr="006301EB">
        <w:rPr>
          <w:szCs w:val="18"/>
          <w:lang w:val="pt-BR"/>
        </w:rPr>
        <w:t xml:space="preserve">Transição” significa a conversão de uma Licença </w:t>
      </w:r>
      <w:r w:rsidRPr="006301EB">
        <w:rPr>
          <w:rFonts w:cs="Tahoma"/>
          <w:szCs w:val="18"/>
          <w:lang w:val="pt-BR"/>
        </w:rPr>
        <w:t>com o Software Assurance atual para ou de uma licença de assinatura.</w:t>
      </w:r>
    </w:p>
    <w:p w:rsidR="00A66BD2" w:rsidRPr="006301EB" w:rsidRDefault="00A66BD2" w:rsidP="00A66BD2">
      <w:pPr>
        <w:ind w:left="720"/>
        <w:rPr>
          <w:lang w:val="pt-BR"/>
        </w:rPr>
      </w:pPr>
    </w:p>
    <w:p w:rsidR="00397ADC" w:rsidRPr="006301EB" w:rsidRDefault="00397ADC" w:rsidP="00A66BD2">
      <w:pPr>
        <w:ind w:left="720"/>
        <w:rPr>
          <w:lang w:val="pt-BR"/>
        </w:rPr>
      </w:pPr>
    </w:p>
    <w:p w:rsidR="00397ADC" w:rsidRPr="006301EB" w:rsidRDefault="00397ADC" w:rsidP="00A66BD2">
      <w:pPr>
        <w:ind w:left="720"/>
        <w:rPr>
          <w:lang w:val="pt-BR"/>
        </w:rPr>
      </w:pPr>
    </w:p>
    <w:p w:rsidR="00397ADC" w:rsidRPr="006301EB" w:rsidRDefault="00397ADC" w:rsidP="00A66BD2">
      <w:pPr>
        <w:ind w:left="720"/>
        <w:rPr>
          <w:lang w:val="pt-BR"/>
        </w:rPr>
      </w:pPr>
    </w:p>
    <w:p w:rsidR="00397ADC" w:rsidRPr="006301EB" w:rsidRDefault="00397ADC" w:rsidP="00A66BD2">
      <w:pPr>
        <w:ind w:left="720"/>
        <w:rPr>
          <w:lang w:val="pt-BR"/>
        </w:rPr>
      </w:pPr>
    </w:p>
    <w:p w:rsidR="00397ADC" w:rsidRPr="006301EB" w:rsidRDefault="00397ADC" w:rsidP="00A66BD2">
      <w:pPr>
        <w:ind w:left="720"/>
        <w:rPr>
          <w:lang w:val="pt-BR"/>
        </w:rPr>
      </w:pPr>
    </w:p>
    <w:p w:rsidR="00A66BD2" w:rsidRPr="006301EB" w:rsidRDefault="000773D2" w:rsidP="00A66BD2">
      <w:pPr>
        <w:spacing w:after="60"/>
        <w:ind w:left="720"/>
        <w:rPr>
          <w:lang w:val="pt-BR"/>
        </w:rPr>
      </w:pPr>
      <w:r w:rsidRPr="006301EB">
        <w:rPr>
          <w:b/>
          <w:szCs w:val="18"/>
          <w:lang w:val="pt-BR"/>
        </w:rPr>
        <w:lastRenderedPageBreak/>
        <w:t xml:space="preserve">Direitos de Uso Aplicáveis </w:t>
      </w:r>
    </w:p>
    <w:p w:rsidR="000773D2" w:rsidRPr="006301EB" w:rsidRDefault="000773D2" w:rsidP="009D57D2">
      <w:pPr>
        <w:spacing w:line="276" w:lineRule="auto"/>
        <w:ind w:left="720"/>
        <w:rPr>
          <w:lang w:val="pt-BR"/>
        </w:rPr>
      </w:pPr>
      <w:r w:rsidRPr="006301EB">
        <w:rPr>
          <w:rFonts w:eastAsia="Calibri" w:cs="Tahoma"/>
          <w:szCs w:val="18"/>
          <w:lang w:val="pt-BR"/>
        </w:rPr>
        <w:t>O Bridge do Pacote de CALs é independente da versão e os Direitos de Uso de Produto são determinados pelo status da cobertura do Software Assurance sobre ele.</w:t>
      </w:r>
      <w:r w:rsidR="00FB5496" w:rsidRPr="006301EB">
        <w:rPr>
          <w:rFonts w:eastAsia="Calibri" w:cs="Tahoma"/>
          <w:szCs w:val="18"/>
          <w:lang w:val="pt-BR"/>
        </w:rPr>
        <w:t xml:space="preserve"> </w:t>
      </w:r>
      <w:r w:rsidRPr="006301EB">
        <w:rPr>
          <w:rFonts w:eastAsia="Calibri" w:cs="Tahoma"/>
          <w:szCs w:val="18"/>
          <w:lang w:val="pt-BR"/>
        </w:rPr>
        <w:t>Se a cobertura for interrompida, os direitos de acesso sob as Licenças perpétuas serão determinados com base nos Direitos de Uso de Produto em vigor antes da interrupção.</w:t>
      </w:r>
      <w:r w:rsidR="00FB5496" w:rsidRPr="006301EB">
        <w:rPr>
          <w:rFonts w:eastAsia="Calibri" w:cs="Tahoma"/>
          <w:szCs w:val="18"/>
          <w:lang w:val="pt-BR"/>
        </w:rPr>
        <w:t xml:space="preserve"> </w:t>
      </w:r>
      <w:r w:rsidRPr="006301EB">
        <w:rPr>
          <w:rFonts w:eastAsia="Calibri" w:cs="Tahoma"/>
          <w:szCs w:val="18"/>
          <w:lang w:val="pt-BR"/>
        </w:rPr>
        <w:t>A Licença para um Bridge do Pacote de CALs é uma licença individual que deverá ser</w:t>
      </w:r>
      <w:r w:rsidR="009D57D2" w:rsidRPr="006301EB">
        <w:rPr>
          <w:rFonts w:eastAsia="Calibri" w:cs="Tahoma"/>
          <w:szCs w:val="18"/>
          <w:lang w:val="pt-BR"/>
        </w:rPr>
        <w:t> </w:t>
      </w:r>
      <w:r w:rsidRPr="006301EB">
        <w:rPr>
          <w:rFonts w:eastAsia="Calibri" w:cs="Tahoma"/>
          <w:szCs w:val="18"/>
          <w:lang w:val="pt-BR"/>
        </w:rPr>
        <w:t>cedida a um único usuário ou dispositivo.</w:t>
      </w:r>
    </w:p>
    <w:p w:rsidR="00A66BD2" w:rsidRPr="006301EB" w:rsidRDefault="00A66BD2" w:rsidP="00A66BD2">
      <w:pPr>
        <w:spacing w:line="276" w:lineRule="auto"/>
        <w:ind w:left="720"/>
        <w:rPr>
          <w:lang w:val="pt-BR"/>
        </w:rPr>
      </w:pPr>
    </w:p>
    <w:p w:rsidR="00A66BD2" w:rsidRPr="006301EB" w:rsidRDefault="000773D2" w:rsidP="00A66BD2">
      <w:pPr>
        <w:spacing w:after="60"/>
        <w:ind w:left="720"/>
        <w:rPr>
          <w:lang w:val="pt-BR"/>
        </w:rPr>
      </w:pPr>
      <w:r w:rsidRPr="006301EB">
        <w:rPr>
          <w:b/>
          <w:szCs w:val="18"/>
          <w:lang w:val="pt-BR"/>
        </w:rPr>
        <w:t>Exigências</w:t>
      </w:r>
    </w:p>
    <w:p w:rsidR="000773D2" w:rsidRPr="006301EB" w:rsidRDefault="000773D2" w:rsidP="00A66BD2">
      <w:pPr>
        <w:spacing w:line="276" w:lineRule="auto"/>
        <w:ind w:left="720"/>
        <w:rPr>
          <w:lang w:val="pt-BR"/>
        </w:rPr>
      </w:pPr>
      <w:r w:rsidRPr="006301EB">
        <w:rPr>
          <w:rFonts w:eastAsia="Calibri" w:cs="Tahoma"/>
          <w:szCs w:val="18"/>
          <w:lang w:val="pt-BR"/>
        </w:rPr>
        <w:t>Um Bridge do Pacote de CALs poderá ser solicitado durante a Transição de um Pacote de CALs para uma combinação de Produto e Serviço Online comparáveis.</w:t>
      </w:r>
      <w:r w:rsidR="00FB5496" w:rsidRPr="006301EB">
        <w:rPr>
          <w:rFonts w:eastAsia="Calibri" w:cs="Tahoma"/>
          <w:szCs w:val="18"/>
          <w:lang w:val="pt-BR"/>
        </w:rPr>
        <w:t xml:space="preserve"> </w:t>
      </w:r>
      <w:r w:rsidRPr="006301EB">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FB5496" w:rsidRPr="006301EB">
        <w:rPr>
          <w:rFonts w:eastAsia="Calibri" w:cs="Tahoma"/>
          <w:szCs w:val="18"/>
          <w:lang w:val="pt-BR"/>
        </w:rPr>
        <w:t xml:space="preserve"> </w:t>
      </w:r>
      <w:r w:rsidRPr="006301EB">
        <w:rPr>
          <w:rFonts w:eastAsia="Calibri" w:cs="Tahoma"/>
          <w:szCs w:val="18"/>
          <w:lang w:val="pt-BR"/>
        </w:rPr>
        <w:t>Em vez disso, o Software Assurance poderá ser comprado para o Bridge do Pacote de CALs no aniversário do Registro em que a Transição entrar em vigor.</w:t>
      </w:r>
      <w:r w:rsidR="00FB5496" w:rsidRPr="006301EB">
        <w:rPr>
          <w:rFonts w:eastAsia="Calibri" w:cs="Tahoma"/>
          <w:szCs w:val="18"/>
          <w:lang w:val="pt-BR"/>
        </w:rPr>
        <w:t xml:space="preserve"> </w:t>
      </w:r>
      <w:r w:rsidRPr="006301EB">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p>
    <w:p w:rsidR="00A66BD2" w:rsidRPr="006301EB" w:rsidRDefault="00A66BD2" w:rsidP="00A66BD2">
      <w:pPr>
        <w:spacing w:line="276" w:lineRule="auto"/>
        <w:ind w:left="720"/>
        <w:rPr>
          <w:lang w:val="pt-BR"/>
        </w:rPr>
      </w:pPr>
    </w:p>
    <w:p w:rsidR="000773D2" w:rsidRPr="006301EB" w:rsidRDefault="000773D2" w:rsidP="00A66BD2">
      <w:pPr>
        <w:spacing w:line="276" w:lineRule="auto"/>
        <w:ind w:left="720"/>
        <w:rPr>
          <w:lang w:val="pt-BR"/>
        </w:rPr>
      </w:pPr>
      <w:r w:rsidRPr="006301EB">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rsidR="002A6416" w:rsidRPr="006301EB" w:rsidRDefault="002A6416" w:rsidP="002A6416">
      <w:pPr>
        <w:spacing w:line="276" w:lineRule="auto"/>
        <w:ind w:left="720"/>
        <w:rPr>
          <w:lang w:val="pt-BR"/>
        </w:rPr>
      </w:pPr>
    </w:p>
    <w:tbl>
      <w:tblPr>
        <w:tblW w:w="4558" w:type="pct"/>
        <w:tblInd w:w="730" w:type="dxa"/>
        <w:tblCellMar>
          <w:left w:w="0" w:type="dxa"/>
          <w:right w:w="0" w:type="dxa"/>
        </w:tblCellMar>
        <w:tblLook w:val="04A0" w:firstRow="1" w:lastRow="0" w:firstColumn="1" w:lastColumn="0" w:noHBand="0" w:noVBand="1"/>
      </w:tblPr>
      <w:tblGrid>
        <w:gridCol w:w="2970"/>
        <w:gridCol w:w="2251"/>
        <w:gridCol w:w="3330"/>
      </w:tblGrid>
      <w:tr w:rsidR="005A36EF" w:rsidRPr="00416070" w:rsidTr="00397ADC">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6301EB" w:rsidRDefault="000773D2" w:rsidP="000773D2">
            <w:pPr>
              <w:spacing w:before="80" w:after="200" w:line="276" w:lineRule="auto"/>
              <w:jc w:val="center"/>
              <w:rPr>
                <w:rFonts w:eastAsia="Calibri" w:cs="Tahoma"/>
                <w:b/>
                <w:bCs/>
                <w:color w:val="000000"/>
                <w:szCs w:val="18"/>
                <w:lang w:val="pt-BR" w:eastAsia="ja-JP"/>
              </w:rPr>
            </w:pPr>
            <w:r w:rsidRPr="006301EB">
              <w:rPr>
                <w:rFonts w:eastAsia="Calibri" w:cs="Tahoma"/>
                <w:b/>
                <w:bCs/>
                <w:szCs w:val="18"/>
                <w:lang w:val="pt-BR"/>
              </w:rPr>
              <w:t>Bridge do Pacote de CALs</w:t>
            </w:r>
          </w:p>
        </w:tc>
        <w:tc>
          <w:tcPr>
            <w:tcW w:w="1316" w:type="pct"/>
            <w:tcBorders>
              <w:top w:val="single" w:sz="8" w:space="0" w:color="auto"/>
              <w:left w:val="nil"/>
              <w:bottom w:val="single" w:sz="8" w:space="0" w:color="auto"/>
              <w:right w:val="single" w:sz="8" w:space="0" w:color="auto"/>
            </w:tcBorders>
            <w:shd w:val="clear" w:color="auto" w:fill="FABF8F"/>
            <w:vAlign w:val="center"/>
            <w:hideMark/>
          </w:tcPr>
          <w:p w:rsidR="000773D2" w:rsidRPr="00416070" w:rsidRDefault="000773D2" w:rsidP="000773D2">
            <w:pPr>
              <w:spacing w:before="80" w:after="200" w:line="276" w:lineRule="auto"/>
              <w:jc w:val="center"/>
              <w:rPr>
                <w:rFonts w:eastAsia="Calibri" w:cs="Tahoma"/>
                <w:b/>
                <w:bCs/>
                <w:color w:val="000000"/>
                <w:szCs w:val="18"/>
                <w:lang w:eastAsia="ja-JP"/>
              </w:rPr>
            </w:pPr>
            <w:r w:rsidRPr="00416070">
              <w:rPr>
                <w:rFonts w:eastAsia="Calibri" w:cs="Tahoma"/>
                <w:b/>
                <w:bCs/>
                <w:szCs w:val="18"/>
              </w:rPr>
              <w:t>Pacote de CALs Pai</w:t>
            </w:r>
          </w:p>
        </w:tc>
        <w:tc>
          <w:tcPr>
            <w:tcW w:w="1947" w:type="pct"/>
            <w:tcBorders>
              <w:top w:val="single" w:sz="8" w:space="0" w:color="auto"/>
              <w:left w:val="nil"/>
              <w:bottom w:val="single" w:sz="8" w:space="0" w:color="auto"/>
              <w:right w:val="single" w:sz="8" w:space="0" w:color="auto"/>
            </w:tcBorders>
            <w:shd w:val="clear" w:color="auto" w:fill="FABF8F"/>
            <w:hideMark/>
          </w:tcPr>
          <w:p w:rsidR="000773D2" w:rsidRPr="00416070" w:rsidRDefault="000773D2" w:rsidP="005A36EF">
            <w:pPr>
              <w:spacing w:before="80" w:after="200" w:line="276" w:lineRule="auto"/>
              <w:ind w:left="180" w:right="180"/>
              <w:jc w:val="center"/>
              <w:rPr>
                <w:rFonts w:eastAsia="Calibri" w:cs="Tahoma"/>
                <w:b/>
                <w:bCs/>
                <w:color w:val="000000"/>
                <w:szCs w:val="18"/>
                <w:lang w:eastAsia="ja-JP"/>
              </w:rPr>
            </w:pPr>
            <w:r w:rsidRPr="00416070">
              <w:rPr>
                <w:rFonts w:eastAsia="Calibri" w:cs="Tahoma"/>
                <w:b/>
                <w:bCs/>
                <w:szCs w:val="18"/>
              </w:rPr>
              <w:t>Serviços Online Qualificados</w:t>
            </w:r>
          </w:p>
        </w:tc>
      </w:tr>
      <w:tr w:rsidR="005A36EF" w:rsidRPr="00416070" w:rsidTr="00397ADC">
        <w:trPr>
          <w:trHeight w:val="576"/>
        </w:trPr>
        <w:tc>
          <w:tcPr>
            <w:tcW w:w="1737" w:type="pct"/>
            <w:tcBorders>
              <w:top w:val="nil"/>
              <w:left w:val="single" w:sz="8" w:space="0" w:color="auto"/>
              <w:bottom w:val="single" w:sz="8" w:space="0" w:color="auto"/>
              <w:right w:val="single" w:sz="8" w:space="0" w:color="auto"/>
            </w:tcBorders>
          </w:tcPr>
          <w:p w:rsidR="000773D2" w:rsidRPr="006301EB" w:rsidRDefault="000773D2" w:rsidP="002C1048">
            <w:pPr>
              <w:numPr>
                <w:ilvl w:val="0"/>
                <w:numId w:val="52"/>
              </w:numPr>
              <w:spacing w:before="120" w:after="200" w:line="276" w:lineRule="auto"/>
              <w:ind w:left="679" w:right="181" w:hanging="450"/>
              <w:rPr>
                <w:rFonts w:eastAsia="Calibri" w:cs="Tahoma"/>
                <w:color w:val="000000"/>
                <w:szCs w:val="18"/>
                <w:lang w:val="pt-BR"/>
              </w:rPr>
            </w:pPr>
            <w:r w:rsidRPr="006301EB">
              <w:rPr>
                <w:rFonts w:eastAsia="Calibri" w:cs="Tahoma"/>
                <w:color w:val="000000"/>
                <w:szCs w:val="18"/>
                <w:lang w:val="pt-BR"/>
              </w:rPr>
              <w:t>Bridge do Pacote de CALs Principais para Office 365</w:t>
            </w:r>
          </w:p>
        </w:tc>
        <w:tc>
          <w:tcPr>
            <w:tcW w:w="1316" w:type="pct"/>
            <w:tcBorders>
              <w:top w:val="nil"/>
              <w:left w:val="nil"/>
              <w:bottom w:val="single" w:sz="8" w:space="0" w:color="auto"/>
              <w:right w:val="single" w:sz="8" w:space="0" w:color="auto"/>
            </w:tcBorders>
          </w:tcPr>
          <w:p w:rsidR="000773D2" w:rsidRPr="00416070" w:rsidRDefault="000773D2" w:rsidP="002C1048">
            <w:pPr>
              <w:numPr>
                <w:ilvl w:val="0"/>
                <w:numId w:val="53"/>
              </w:numPr>
              <w:spacing w:before="120" w:after="200" w:line="276" w:lineRule="auto"/>
              <w:ind w:left="682" w:hanging="450"/>
              <w:rPr>
                <w:rFonts w:eastAsia="Calibri" w:cs="Tahoma"/>
                <w:color w:val="000000"/>
                <w:szCs w:val="18"/>
              </w:rPr>
            </w:pPr>
            <w:r w:rsidRPr="00416070">
              <w:rPr>
                <w:rFonts w:eastAsia="Calibri" w:cs="Tahoma"/>
                <w:color w:val="000000"/>
                <w:szCs w:val="18"/>
              </w:rPr>
              <w:t>Core CAL Suite</w:t>
            </w:r>
          </w:p>
        </w:tc>
        <w:tc>
          <w:tcPr>
            <w:tcW w:w="1947" w:type="pct"/>
            <w:tcBorders>
              <w:top w:val="nil"/>
              <w:left w:val="nil"/>
              <w:bottom w:val="single" w:sz="8" w:space="0" w:color="auto"/>
              <w:right w:val="single" w:sz="8" w:space="0" w:color="auto"/>
            </w:tcBorders>
          </w:tcPr>
          <w:p w:rsidR="000773D2" w:rsidRPr="00416070" w:rsidRDefault="000773D2" w:rsidP="002C1048">
            <w:pPr>
              <w:numPr>
                <w:ilvl w:val="0"/>
                <w:numId w:val="54"/>
              </w:numPr>
              <w:spacing w:before="120" w:after="200" w:line="276" w:lineRule="auto"/>
              <w:ind w:left="684" w:right="181" w:hanging="450"/>
            </w:pPr>
            <w:r w:rsidRPr="00416070">
              <w:rPr>
                <w:rFonts w:eastAsia="Calibri" w:cs="Tahoma"/>
                <w:color w:val="000000"/>
                <w:szCs w:val="18"/>
              </w:rPr>
              <w:t>Office 365 Enterprise E1 ou</w:t>
            </w:r>
          </w:p>
          <w:p w:rsidR="000773D2" w:rsidRPr="00416070" w:rsidRDefault="000773D2" w:rsidP="002C1048">
            <w:pPr>
              <w:numPr>
                <w:ilvl w:val="0"/>
                <w:numId w:val="54"/>
              </w:numPr>
              <w:spacing w:before="120" w:after="200" w:line="276" w:lineRule="auto"/>
              <w:ind w:left="684" w:right="181" w:hanging="450"/>
            </w:pPr>
            <w:r w:rsidRPr="00416070">
              <w:rPr>
                <w:rFonts w:eastAsia="Calibri" w:cs="Tahoma"/>
                <w:color w:val="000000"/>
                <w:szCs w:val="18"/>
              </w:rPr>
              <w:t>Office 365 Enterprise E2 ou</w:t>
            </w:r>
          </w:p>
          <w:p w:rsidR="000773D2" w:rsidRPr="00416070" w:rsidRDefault="000773D2" w:rsidP="002C1048">
            <w:pPr>
              <w:numPr>
                <w:ilvl w:val="0"/>
                <w:numId w:val="54"/>
              </w:numPr>
              <w:spacing w:before="120" w:after="200" w:line="276" w:lineRule="auto"/>
              <w:ind w:left="684" w:right="181" w:hanging="450"/>
            </w:pPr>
            <w:r w:rsidRPr="00416070">
              <w:rPr>
                <w:rFonts w:eastAsia="Calibri" w:cs="Tahoma"/>
                <w:color w:val="000000"/>
                <w:szCs w:val="18"/>
              </w:rPr>
              <w:t>Office 365 Enterprise E3 ou</w:t>
            </w:r>
          </w:p>
          <w:p w:rsidR="000773D2" w:rsidRPr="00416070" w:rsidRDefault="000773D2" w:rsidP="009B3FA2">
            <w:pPr>
              <w:numPr>
                <w:ilvl w:val="0"/>
                <w:numId w:val="54"/>
              </w:numPr>
              <w:spacing w:before="120" w:after="200" w:line="276" w:lineRule="auto"/>
              <w:ind w:left="684" w:right="181" w:hanging="450"/>
              <w:rPr>
                <w:rFonts w:eastAsia="Calibri" w:cs="Tahoma"/>
                <w:color w:val="000000"/>
                <w:szCs w:val="18"/>
              </w:rPr>
            </w:pPr>
            <w:r w:rsidRPr="00416070">
              <w:rPr>
                <w:rFonts w:eastAsia="Calibri" w:cs="Tahoma"/>
                <w:color w:val="000000"/>
                <w:szCs w:val="18"/>
              </w:rPr>
              <w:t>Office 365 Enterprise E4</w:t>
            </w:r>
          </w:p>
        </w:tc>
      </w:tr>
      <w:tr w:rsidR="005A36EF" w:rsidRPr="00416070" w:rsidTr="00397ADC">
        <w:trPr>
          <w:trHeight w:val="576"/>
        </w:trPr>
        <w:tc>
          <w:tcPr>
            <w:tcW w:w="1737" w:type="pct"/>
            <w:tcBorders>
              <w:top w:val="nil"/>
              <w:left w:val="single" w:sz="8" w:space="0" w:color="auto"/>
              <w:bottom w:val="single" w:sz="8" w:space="0" w:color="auto"/>
              <w:right w:val="single" w:sz="8" w:space="0" w:color="auto"/>
            </w:tcBorders>
          </w:tcPr>
          <w:p w:rsidR="000773D2" w:rsidRPr="006301EB" w:rsidRDefault="000773D2" w:rsidP="002C1048">
            <w:pPr>
              <w:numPr>
                <w:ilvl w:val="0"/>
                <w:numId w:val="52"/>
              </w:numPr>
              <w:spacing w:before="120" w:after="200" w:line="276" w:lineRule="auto"/>
              <w:ind w:left="679" w:right="181" w:hanging="450"/>
              <w:rPr>
                <w:rFonts w:eastAsia="Calibri" w:cs="Tahoma"/>
                <w:color w:val="000000"/>
                <w:szCs w:val="18"/>
                <w:lang w:val="pt-BR"/>
              </w:rPr>
            </w:pPr>
            <w:r w:rsidRPr="006301EB">
              <w:rPr>
                <w:rFonts w:eastAsia="Calibri" w:cs="Tahoma"/>
                <w:color w:val="000000"/>
                <w:szCs w:val="18"/>
                <w:lang w:val="pt-BR"/>
              </w:rPr>
              <w:t>Bridge do Pacote de CALs Principais para Office 365 e Windows Intune</w:t>
            </w:r>
          </w:p>
        </w:tc>
        <w:tc>
          <w:tcPr>
            <w:tcW w:w="1316" w:type="pct"/>
            <w:tcBorders>
              <w:top w:val="nil"/>
              <w:left w:val="nil"/>
              <w:bottom w:val="single" w:sz="8" w:space="0" w:color="auto"/>
              <w:right w:val="single" w:sz="8" w:space="0" w:color="auto"/>
            </w:tcBorders>
          </w:tcPr>
          <w:p w:rsidR="000773D2" w:rsidRPr="00416070" w:rsidRDefault="000773D2" w:rsidP="002C1048">
            <w:pPr>
              <w:numPr>
                <w:ilvl w:val="0"/>
                <w:numId w:val="53"/>
              </w:numPr>
              <w:spacing w:before="120" w:after="200" w:line="276" w:lineRule="auto"/>
              <w:ind w:left="682" w:hanging="450"/>
              <w:rPr>
                <w:rFonts w:eastAsia="Calibri" w:cs="Tahoma"/>
                <w:color w:val="000000"/>
                <w:szCs w:val="18"/>
              </w:rPr>
            </w:pPr>
            <w:r w:rsidRPr="00416070">
              <w:rPr>
                <w:rFonts w:eastAsia="Calibri" w:cs="Tahoma"/>
                <w:color w:val="000000"/>
                <w:szCs w:val="18"/>
              </w:rPr>
              <w:t>Core CAL Suite</w:t>
            </w:r>
          </w:p>
        </w:tc>
        <w:tc>
          <w:tcPr>
            <w:tcW w:w="1947" w:type="pct"/>
            <w:tcBorders>
              <w:top w:val="nil"/>
              <w:left w:val="nil"/>
              <w:bottom w:val="single" w:sz="8" w:space="0" w:color="auto"/>
              <w:right w:val="single" w:sz="8" w:space="0" w:color="auto"/>
            </w:tcBorders>
          </w:tcPr>
          <w:p w:rsidR="000773D2" w:rsidRPr="00416070" w:rsidRDefault="000773D2" w:rsidP="002C1048">
            <w:pPr>
              <w:numPr>
                <w:ilvl w:val="0"/>
                <w:numId w:val="54"/>
              </w:numPr>
              <w:spacing w:before="120" w:after="200" w:line="276" w:lineRule="auto"/>
              <w:ind w:left="684" w:right="181" w:hanging="450"/>
            </w:pPr>
            <w:r w:rsidRPr="00416070">
              <w:rPr>
                <w:rFonts w:eastAsia="Calibri" w:cs="Tahoma"/>
                <w:color w:val="000000"/>
                <w:szCs w:val="18"/>
              </w:rPr>
              <w:t>Office 365 Enterprise E1 e Windows Intune ou</w:t>
            </w:r>
          </w:p>
          <w:p w:rsidR="000773D2" w:rsidRPr="00416070" w:rsidRDefault="000773D2" w:rsidP="002C1048">
            <w:pPr>
              <w:numPr>
                <w:ilvl w:val="0"/>
                <w:numId w:val="54"/>
              </w:numPr>
              <w:spacing w:before="120" w:after="200" w:line="276" w:lineRule="auto"/>
              <w:ind w:left="684" w:right="181" w:hanging="450"/>
            </w:pPr>
            <w:r w:rsidRPr="00416070">
              <w:rPr>
                <w:rFonts w:eastAsia="Calibri" w:cs="Tahoma"/>
                <w:color w:val="000000"/>
                <w:szCs w:val="18"/>
              </w:rPr>
              <w:t>Office 365 Enterprise E2 e Windows Intune ou</w:t>
            </w:r>
          </w:p>
          <w:p w:rsidR="000773D2" w:rsidRPr="00416070" w:rsidRDefault="000773D2" w:rsidP="002C1048">
            <w:pPr>
              <w:numPr>
                <w:ilvl w:val="0"/>
                <w:numId w:val="54"/>
              </w:numPr>
              <w:spacing w:before="120" w:after="200" w:line="276" w:lineRule="auto"/>
              <w:ind w:left="684" w:right="181" w:hanging="450"/>
            </w:pPr>
            <w:r w:rsidRPr="00416070">
              <w:rPr>
                <w:rFonts w:eastAsia="Calibri" w:cs="Tahoma"/>
                <w:color w:val="000000"/>
                <w:szCs w:val="18"/>
              </w:rPr>
              <w:t>Office 365 Enterprise E3 e Windows Intune ou</w:t>
            </w:r>
          </w:p>
          <w:p w:rsidR="000773D2" w:rsidRPr="00416070" w:rsidRDefault="000773D2" w:rsidP="009B3FA2">
            <w:pPr>
              <w:numPr>
                <w:ilvl w:val="0"/>
                <w:numId w:val="54"/>
              </w:numPr>
              <w:spacing w:before="120" w:after="200" w:line="276" w:lineRule="auto"/>
              <w:ind w:left="684" w:right="181" w:hanging="450"/>
              <w:rPr>
                <w:rFonts w:eastAsia="Calibri" w:cs="Tahoma"/>
                <w:color w:val="000000"/>
                <w:szCs w:val="18"/>
              </w:rPr>
            </w:pPr>
            <w:r w:rsidRPr="00416070">
              <w:rPr>
                <w:rFonts w:eastAsia="Calibri" w:cs="Tahoma"/>
                <w:color w:val="000000"/>
                <w:szCs w:val="18"/>
              </w:rPr>
              <w:t>Office 365 Enterprise E4 e Windows Intune</w:t>
            </w:r>
          </w:p>
        </w:tc>
      </w:tr>
      <w:tr w:rsidR="00A2083B" w:rsidRPr="00416070" w:rsidTr="00397ADC">
        <w:trPr>
          <w:trHeight w:val="576"/>
        </w:trPr>
        <w:tc>
          <w:tcPr>
            <w:tcW w:w="1737" w:type="pct"/>
            <w:tcBorders>
              <w:top w:val="single" w:sz="8" w:space="0" w:color="auto"/>
              <w:left w:val="single" w:sz="8" w:space="0" w:color="auto"/>
              <w:bottom w:val="single" w:sz="8" w:space="0" w:color="auto"/>
              <w:right w:val="single" w:sz="8" w:space="0" w:color="auto"/>
            </w:tcBorders>
          </w:tcPr>
          <w:p w:rsidR="00A2083B" w:rsidRPr="006301EB" w:rsidRDefault="00A2083B" w:rsidP="002C1048">
            <w:pPr>
              <w:numPr>
                <w:ilvl w:val="0"/>
                <w:numId w:val="52"/>
              </w:numPr>
              <w:spacing w:before="120" w:after="200" w:line="276" w:lineRule="auto"/>
              <w:ind w:left="679" w:right="181" w:hanging="450"/>
              <w:rPr>
                <w:rFonts w:eastAsia="Calibri" w:cs="Tahoma"/>
                <w:color w:val="000000"/>
                <w:szCs w:val="18"/>
                <w:lang w:val="pt-BR"/>
              </w:rPr>
            </w:pPr>
            <w:r w:rsidRPr="006301EB">
              <w:rPr>
                <w:rFonts w:cs="Tahoma"/>
                <w:color w:val="000000"/>
                <w:szCs w:val="18"/>
                <w:lang w:val="pt-BR"/>
              </w:rPr>
              <w:t>Bridge do Pacote de CALs Principais para Windows Intune</w:t>
            </w:r>
          </w:p>
        </w:tc>
        <w:tc>
          <w:tcPr>
            <w:tcW w:w="1316" w:type="pct"/>
            <w:tcBorders>
              <w:top w:val="single" w:sz="8" w:space="0" w:color="auto"/>
              <w:left w:val="nil"/>
              <w:bottom w:val="single" w:sz="8" w:space="0" w:color="auto"/>
              <w:right w:val="single" w:sz="8" w:space="0" w:color="auto"/>
            </w:tcBorders>
          </w:tcPr>
          <w:p w:rsidR="00A2083B" w:rsidRPr="00416070" w:rsidRDefault="00A2083B" w:rsidP="002C1048">
            <w:pPr>
              <w:numPr>
                <w:ilvl w:val="0"/>
                <w:numId w:val="53"/>
              </w:numPr>
              <w:spacing w:before="120" w:after="200" w:line="276" w:lineRule="auto"/>
              <w:ind w:left="682" w:hanging="450"/>
              <w:rPr>
                <w:rFonts w:eastAsia="Calibri" w:cs="Tahoma"/>
                <w:color w:val="000000"/>
                <w:szCs w:val="18"/>
              </w:rPr>
            </w:pPr>
            <w:r w:rsidRPr="00416070">
              <w:rPr>
                <w:rFonts w:cs="Tahoma"/>
                <w:color w:val="000000"/>
                <w:szCs w:val="18"/>
              </w:rPr>
              <w:t>Core CAL Suite</w:t>
            </w:r>
          </w:p>
        </w:tc>
        <w:tc>
          <w:tcPr>
            <w:tcW w:w="1947" w:type="pct"/>
            <w:tcBorders>
              <w:top w:val="single" w:sz="8" w:space="0" w:color="auto"/>
              <w:left w:val="nil"/>
              <w:bottom w:val="single" w:sz="8" w:space="0" w:color="auto"/>
              <w:right w:val="single" w:sz="8" w:space="0" w:color="auto"/>
            </w:tcBorders>
          </w:tcPr>
          <w:p w:rsidR="00A2083B" w:rsidRPr="00416070" w:rsidRDefault="00A2083B" w:rsidP="002C1048">
            <w:pPr>
              <w:numPr>
                <w:ilvl w:val="0"/>
                <w:numId w:val="54"/>
              </w:numPr>
              <w:spacing w:before="120" w:after="200" w:line="276" w:lineRule="auto"/>
              <w:ind w:left="684" w:right="181" w:hanging="450"/>
              <w:rPr>
                <w:rFonts w:eastAsia="Calibri" w:cs="Tahoma"/>
                <w:color w:val="000000"/>
                <w:szCs w:val="18"/>
              </w:rPr>
            </w:pPr>
            <w:r w:rsidRPr="00416070">
              <w:rPr>
                <w:rFonts w:cs="Tahoma"/>
                <w:color w:val="000000"/>
                <w:szCs w:val="18"/>
              </w:rPr>
              <w:t>Windows</w:t>
            </w:r>
            <w:r w:rsidRPr="00416070">
              <w:rPr>
                <w:rFonts w:cs="Tahoma"/>
                <w:color w:val="000000"/>
                <w:szCs w:val="18"/>
                <w:vertAlign w:val="superscript"/>
              </w:rPr>
              <w:t xml:space="preserve"> </w:t>
            </w:r>
            <w:r w:rsidRPr="00416070">
              <w:rPr>
                <w:rFonts w:cs="Tahoma"/>
                <w:color w:val="000000"/>
                <w:szCs w:val="18"/>
              </w:rPr>
              <w:t>Intune</w:t>
            </w:r>
          </w:p>
        </w:tc>
      </w:tr>
    </w:tbl>
    <w:p w:rsidR="00A66BD2" w:rsidRPr="00416070" w:rsidRDefault="00A66BD2" w:rsidP="00AF3B19">
      <w:pPr>
        <w:pStyle w:val="Heading3"/>
      </w:pPr>
      <w:bookmarkStart w:id="1164" w:name="_Toc336338295"/>
      <w:bookmarkStart w:id="1165" w:name="Srv_34CoreCALSuite"/>
      <w:bookmarkStart w:id="1166" w:name="Srv_31CoreCALSuite"/>
    </w:p>
    <w:p w:rsidR="00A66BD2" w:rsidRDefault="00A66BD2" w:rsidP="00AF3B19">
      <w:pPr>
        <w:pStyle w:val="Heading3"/>
        <w:rPr>
          <w:lang w:val="en-US"/>
        </w:rPr>
      </w:pPr>
    </w:p>
    <w:p w:rsidR="00397ADC" w:rsidRDefault="00397ADC" w:rsidP="00397ADC">
      <w:pPr>
        <w:rPr>
          <w:lang w:eastAsia="x-none"/>
        </w:rPr>
      </w:pPr>
    </w:p>
    <w:p w:rsidR="00397ADC" w:rsidRPr="00397ADC" w:rsidRDefault="00397ADC" w:rsidP="00397ADC">
      <w:pPr>
        <w:rPr>
          <w:lang w:eastAsia="x-none"/>
        </w:rPr>
      </w:pPr>
    </w:p>
    <w:p w:rsidR="00023FE7" w:rsidRPr="00416070" w:rsidRDefault="00B26237">
      <w:pPr>
        <w:pStyle w:val="Heading3"/>
      </w:pPr>
      <w:bookmarkStart w:id="1167" w:name="_36_Pacote_de"/>
      <w:bookmarkStart w:id="1168" w:name="_Toc352234362"/>
      <w:bookmarkEnd w:id="1167"/>
      <w:r w:rsidRPr="00416070">
        <w:rPr>
          <w:rFonts w:ascii="Tahoma" w:hAnsi="Tahoma"/>
          <w:caps/>
          <w:color w:val="F66400"/>
          <w:sz w:val="22"/>
          <w:vertAlign w:val="superscript"/>
        </w:rPr>
        <w:lastRenderedPageBreak/>
        <w:t>36</w:t>
      </w:r>
      <w:r w:rsidRPr="00416070">
        <w:rPr>
          <w:rFonts w:ascii="Tahoma" w:hAnsi="Tahoma"/>
          <w:color w:val="F66400"/>
          <w:sz w:val="22"/>
        </w:rPr>
        <w:t xml:space="preserve"> Pacote de CALs Principais</w:t>
      </w:r>
      <w:bookmarkEnd w:id="1164"/>
      <w:bookmarkEnd w:id="1168"/>
    </w:p>
    <w:bookmarkEnd w:id="1165"/>
    <w:bookmarkEnd w:id="1166"/>
    <w:p w:rsidR="00023FE7" w:rsidRPr="00397ADC" w:rsidRDefault="00023FE7">
      <w:pPr>
        <w:ind w:firstLine="540"/>
        <w:rPr>
          <w:sz w:val="16"/>
          <w:szCs w:val="16"/>
        </w:rPr>
      </w:pPr>
    </w:p>
    <w:p w:rsidR="000D76F0" w:rsidRPr="006301EB" w:rsidRDefault="000D76F0" w:rsidP="009D57D2">
      <w:pPr>
        <w:ind w:left="720"/>
        <w:rPr>
          <w:lang w:val="pt-BR"/>
        </w:rPr>
      </w:pPr>
      <w:r w:rsidRPr="006301EB">
        <w:rPr>
          <w:rFonts w:cs="Tahoma"/>
          <w:szCs w:val="20"/>
          <w:lang w:val="pt-BR"/>
        </w:rPr>
        <w:t>O Core CAL Suite é independente da versão e os direitos de uso de produto são determinados pelo status da cobertura do Software Assurance para o Core CAL Suite.</w:t>
      </w:r>
      <w:r w:rsidR="00FB5496" w:rsidRPr="006301EB">
        <w:rPr>
          <w:rFonts w:cs="Tahoma"/>
          <w:szCs w:val="20"/>
          <w:lang w:val="pt-BR"/>
        </w:rPr>
        <w:t xml:space="preserve"> </w:t>
      </w:r>
      <w:r w:rsidRPr="006301EB">
        <w:rPr>
          <w:rFonts w:cs="Tahoma"/>
          <w:szCs w:val="20"/>
          <w:lang w:val="pt-BR"/>
        </w:rPr>
        <w:t>Se a cobertura for interrompida, os direitos de acesso sob as licenças perpétuas serão determinados com base nos direitos de uso de produto em vigor antes da interrupção.</w:t>
      </w:r>
      <w:r w:rsidR="00FB5496" w:rsidRPr="006301EB">
        <w:rPr>
          <w:rFonts w:cs="Tahoma"/>
          <w:szCs w:val="20"/>
          <w:lang w:val="pt-BR"/>
        </w:rPr>
        <w:t xml:space="preserve"> </w:t>
      </w:r>
      <w:r w:rsidRPr="006301EB">
        <w:rPr>
          <w:rFonts w:cs="Tahoma"/>
          <w:szCs w:val="20"/>
          <w:lang w:val="pt-BR"/>
        </w:rPr>
        <w:t xml:space="preserve">A partir de 1° de dezembro de 2012, uma licença para o Pacote de CALs Principais </w:t>
      </w:r>
      <w:r w:rsidRPr="006301EB">
        <w:rPr>
          <w:rFonts w:cs="Tahoma"/>
          <w:color w:val="000000"/>
          <w:szCs w:val="20"/>
          <w:lang w:val="pt-BR"/>
        </w:rPr>
        <w:t xml:space="preserve">com cobertura do Software Assurance ativa concede direitos equivalentes aos seguintes: CAL do Windows Server 20012, CAL Padrão do Exchange Server 2013, </w:t>
      </w:r>
      <w:r w:rsidRPr="006301EB">
        <w:rPr>
          <w:color w:val="000000"/>
          <w:lang w:val="pt-BR"/>
        </w:rPr>
        <w:t xml:space="preserve">CAL Padrão do Lync Server 2013, </w:t>
      </w:r>
      <w:r w:rsidRPr="006301EB">
        <w:rPr>
          <w:rFonts w:cs="Tahoma"/>
          <w:color w:val="000000"/>
          <w:szCs w:val="20"/>
          <w:lang w:val="pt-BR"/>
        </w:rPr>
        <w:t xml:space="preserve">CAL Padrão do SharePoint </w:t>
      </w:r>
      <w:r w:rsidRPr="006301EB">
        <w:rPr>
          <w:rFonts w:cs="Tahoma"/>
          <w:szCs w:val="20"/>
          <w:lang w:val="pt-BR"/>
        </w:rPr>
        <w:t>Server 2013, Licença de Gerenciamento de Cliente do System Center 2012 Configuration Manager e System Center 2012 Endpoint Protection</w:t>
      </w:r>
      <w:r w:rsidRPr="006301EB">
        <w:rPr>
          <w:rFonts w:cs="Tahoma"/>
          <w:color w:val="000000"/>
          <w:szCs w:val="20"/>
          <w:lang w:val="pt-BR"/>
        </w:rPr>
        <w:t>.</w:t>
      </w:r>
      <w:r w:rsidR="00FB5496" w:rsidRPr="006301EB">
        <w:rPr>
          <w:rFonts w:cs="Tahoma"/>
          <w:color w:val="000000"/>
          <w:szCs w:val="20"/>
          <w:lang w:val="pt-BR"/>
        </w:rPr>
        <w:t xml:space="preserve"> </w:t>
      </w:r>
      <w:r w:rsidRPr="006301EB">
        <w:rPr>
          <w:rFonts w:cs="Tahoma"/>
          <w:color w:val="000000"/>
          <w:szCs w:val="18"/>
          <w:lang w:val="pt-BR"/>
        </w:rPr>
        <w:t>Uma licença para o Core CAL Suite é uma licença individual que deverá ser cedida a um único usuário ou dispositivo.</w:t>
      </w:r>
      <w:r w:rsidR="00FB5496" w:rsidRPr="006301EB">
        <w:rPr>
          <w:rFonts w:cs="Tahoma"/>
          <w:color w:val="000000"/>
          <w:szCs w:val="18"/>
          <w:lang w:val="pt-BR"/>
        </w:rPr>
        <w:t xml:space="preserve"> </w:t>
      </w:r>
      <w:r w:rsidRPr="006301EB">
        <w:rPr>
          <w:rFonts w:cs="Tahoma"/>
          <w:color w:val="000000"/>
          <w:szCs w:val="18"/>
          <w:lang w:val="pt-BR"/>
        </w:rPr>
        <w:t>Conforme disposto no contrato da licença por volume, os clientes não poderão separar os direitos sob o Core CAL Suite para permitir que</w:t>
      </w:r>
      <w:r w:rsidR="009D57D2" w:rsidRPr="006301EB">
        <w:rPr>
          <w:rFonts w:cs="Tahoma"/>
          <w:color w:val="000000"/>
          <w:szCs w:val="18"/>
          <w:lang w:val="pt-BR"/>
        </w:rPr>
        <w:t> </w:t>
      </w:r>
      <w:r w:rsidRPr="006301EB">
        <w:rPr>
          <w:rFonts w:cs="Tahoma"/>
          <w:color w:val="000000"/>
          <w:szCs w:val="18"/>
          <w:lang w:val="pt-BR"/>
        </w:rPr>
        <w:t>dois</w:t>
      </w:r>
      <w:r w:rsidR="00397ADC" w:rsidRPr="006301EB">
        <w:rPr>
          <w:rFonts w:cs="Tahoma"/>
          <w:color w:val="000000"/>
          <w:szCs w:val="18"/>
          <w:lang w:val="pt-BR"/>
        </w:rPr>
        <w:t> </w:t>
      </w:r>
      <w:r w:rsidRPr="006301EB">
        <w:rPr>
          <w:rFonts w:cs="Tahoma"/>
          <w:color w:val="000000"/>
          <w:szCs w:val="18"/>
          <w:lang w:val="pt-BR"/>
        </w:rPr>
        <w:t>ou mais usuários ou dispositivos acessem seus diver</w:t>
      </w:r>
      <w:r w:rsidR="009D57D2" w:rsidRPr="006301EB">
        <w:rPr>
          <w:rFonts w:cs="Tahoma"/>
          <w:color w:val="000000"/>
          <w:szCs w:val="18"/>
          <w:lang w:val="pt-BR"/>
        </w:rPr>
        <w:t>sos componentes ao mesmo tempo.</w:t>
      </w:r>
    </w:p>
    <w:p w:rsidR="00023FE7" w:rsidRPr="006301EB" w:rsidRDefault="00023FE7" w:rsidP="001154B5">
      <w:pPr>
        <w:ind w:left="720"/>
        <w:rPr>
          <w:sz w:val="16"/>
          <w:szCs w:val="16"/>
          <w:lang w:val="pt-BR"/>
        </w:rPr>
      </w:pPr>
    </w:p>
    <w:p w:rsidR="00023FE7" w:rsidRPr="006301EB" w:rsidRDefault="00023FE7" w:rsidP="00A66BD2">
      <w:pPr>
        <w:spacing w:after="60"/>
        <w:ind w:left="720"/>
        <w:rPr>
          <w:lang w:val="pt-BR"/>
        </w:rPr>
      </w:pPr>
      <w:r w:rsidRPr="006301EB">
        <w:rPr>
          <w:rFonts w:cs="Tahoma"/>
          <w:b/>
          <w:bCs/>
          <w:color w:val="000000"/>
          <w:szCs w:val="20"/>
          <w:lang w:val="pt-BR"/>
        </w:rPr>
        <w:t>CALs Somente para Aluno (Licença Academic Open e Academic Select)</w:t>
      </w:r>
    </w:p>
    <w:p w:rsidR="00023FE7" w:rsidRPr="006301EB" w:rsidRDefault="00023FE7" w:rsidP="001154B5">
      <w:pPr>
        <w:ind w:left="720"/>
        <w:rPr>
          <w:lang w:val="pt-BR"/>
        </w:rPr>
      </w:pPr>
      <w:r w:rsidRPr="006301EB">
        <w:rPr>
          <w:rFonts w:cs="Tahoma"/>
          <w:szCs w:val="20"/>
          <w:lang w:val="pt-BR"/>
        </w:rPr>
        <w:t>As CALs Somente para Aluno estão restritas a PCs de propriedade de um aluno ou de uma instituição licenciados dedicados a um aluno individual e NÃO se destinam ao uso em laboratórios ou salas de aula.</w:t>
      </w:r>
    </w:p>
    <w:p w:rsidR="0036063B" w:rsidRPr="006301EB" w:rsidRDefault="0036063B" w:rsidP="00AF3B19">
      <w:pPr>
        <w:rPr>
          <w:sz w:val="16"/>
          <w:szCs w:val="16"/>
          <w:lang w:val="pt-BR"/>
        </w:rPr>
      </w:pPr>
    </w:p>
    <w:p w:rsidR="00285E3D" w:rsidRPr="006301EB" w:rsidRDefault="00285E3D" w:rsidP="00AF3B19">
      <w:pPr>
        <w:rPr>
          <w:sz w:val="16"/>
          <w:szCs w:val="16"/>
          <w:lang w:val="pt-BR"/>
        </w:rPr>
      </w:pPr>
    </w:p>
    <w:p w:rsidR="00B947E4" w:rsidRPr="00416070" w:rsidRDefault="00B26237" w:rsidP="00416294">
      <w:pPr>
        <w:pStyle w:val="Heading3"/>
      </w:pPr>
      <w:bookmarkStart w:id="1169" w:name="_37_Core_Infrastructure"/>
      <w:bookmarkStart w:id="1170" w:name="_Toc336338296"/>
      <w:bookmarkStart w:id="1171" w:name="_Toc352234363"/>
      <w:bookmarkStart w:id="1172" w:name="Srv_35CoreInfraServerSuiteStd"/>
      <w:bookmarkStart w:id="1173" w:name="Srv_32CoreInfraServerSuiteStd"/>
      <w:bookmarkStart w:id="1174" w:name="Srv_35DynCRMWorkProEnt"/>
      <w:bookmarkEnd w:id="1169"/>
      <w:r w:rsidRPr="00416070">
        <w:rPr>
          <w:rFonts w:ascii="Tahoma" w:hAnsi="Tahoma"/>
          <w:caps/>
          <w:color w:val="F66400"/>
          <w:sz w:val="22"/>
          <w:vertAlign w:val="superscript"/>
        </w:rPr>
        <w:t>37</w:t>
      </w:r>
      <w:r w:rsidRPr="00416070">
        <w:rPr>
          <w:rFonts w:ascii="Tahoma" w:hAnsi="Tahoma"/>
          <w:color w:val="F66400"/>
          <w:sz w:val="22"/>
        </w:rPr>
        <w:t xml:space="preserve"> Core Infrastructure Server Suite Standard</w:t>
      </w:r>
      <w:bookmarkEnd w:id="1170"/>
      <w:bookmarkEnd w:id="1171"/>
    </w:p>
    <w:bookmarkEnd w:id="1172"/>
    <w:bookmarkEnd w:id="1173"/>
    <w:p w:rsidR="004D776B" w:rsidRPr="006301EB" w:rsidRDefault="004D776B" w:rsidP="00416294">
      <w:pPr>
        <w:rPr>
          <w:sz w:val="16"/>
          <w:szCs w:val="16"/>
          <w:lang w:val="pt-BR"/>
        </w:rPr>
      </w:pPr>
    </w:p>
    <w:p w:rsidR="004D776B" w:rsidRPr="006301EB" w:rsidRDefault="00A66BD2" w:rsidP="00A66BD2">
      <w:pPr>
        <w:spacing w:after="60"/>
        <w:ind w:left="720"/>
        <w:rPr>
          <w:rFonts w:cs="Tahoma"/>
          <w:szCs w:val="18"/>
          <w:lang w:val="pt-BR"/>
        </w:rPr>
      </w:pPr>
      <w:r w:rsidRPr="006301EB">
        <w:rPr>
          <w:rFonts w:eastAsia="Calibri" w:cs="Tahoma"/>
          <w:b/>
          <w:szCs w:val="18"/>
          <w:lang w:val="pt-BR"/>
        </w:rPr>
        <w:t>Migração para Novo Modelo de Licenciamento</w:t>
      </w:r>
    </w:p>
    <w:p w:rsidR="004D776B" w:rsidRPr="006301EB" w:rsidRDefault="004D776B" w:rsidP="00A66BD2">
      <w:pPr>
        <w:ind w:left="720"/>
        <w:rPr>
          <w:rFonts w:cs="Tahoma"/>
          <w:szCs w:val="18"/>
          <w:lang w:val="pt-BR"/>
        </w:rPr>
      </w:pPr>
      <w:r w:rsidRPr="006301EB">
        <w:rPr>
          <w:rFonts w:eastAsia="Calibri" w:cs="Tahoma"/>
          <w:szCs w:val="18"/>
          <w:lang w:val="pt-BR"/>
        </w:rPr>
        <w:t>A partir de 1</w:t>
      </w:r>
      <w:r w:rsidRPr="006301EB">
        <w:rPr>
          <w:rFonts w:eastAsia="Calibri" w:cs="Tahoma"/>
          <w:szCs w:val="18"/>
          <w:vertAlign w:val="superscript"/>
          <w:lang w:val="pt-BR"/>
        </w:rPr>
        <w:t>º</w:t>
      </w:r>
      <w:r w:rsidRPr="006301EB">
        <w:rPr>
          <w:rFonts w:eastAsia="Calibri" w:cs="Tahoma"/>
          <w:szCs w:val="18"/>
          <w:lang w:val="pt-BR"/>
        </w:rPr>
        <w:t xml:space="preserve"> de abril de 2012, o modelo de licenciamento foi alterado. As licenças adquiridas sob novos registros em vigor a partir de 1</w:t>
      </w:r>
      <w:r w:rsidRPr="006301EB">
        <w:rPr>
          <w:rFonts w:eastAsia="Calibri" w:cs="Tahoma"/>
          <w:szCs w:val="18"/>
          <w:vertAlign w:val="superscript"/>
          <w:lang w:val="pt-BR"/>
        </w:rPr>
        <w:t>º</w:t>
      </w:r>
      <w:r w:rsidRPr="006301EB">
        <w:rPr>
          <w:rFonts w:eastAsia="Calibri" w:cs="Tahoma"/>
          <w:szCs w:val="18"/>
          <w:lang w:val="pt-BR"/>
        </w:rPr>
        <w:t xml:space="preserve"> de abril de 2012 podem licenciar até dois processadores físicos.</w:t>
      </w:r>
    </w:p>
    <w:p w:rsidR="00A66BD2" w:rsidRPr="006301EB" w:rsidRDefault="00A66BD2" w:rsidP="00A66BD2">
      <w:pPr>
        <w:ind w:left="720"/>
        <w:rPr>
          <w:rFonts w:cs="Tahoma"/>
          <w:szCs w:val="18"/>
          <w:lang w:val="pt-BR"/>
        </w:rPr>
      </w:pPr>
    </w:p>
    <w:p w:rsidR="004D776B" w:rsidRPr="006301EB" w:rsidRDefault="004D776B" w:rsidP="00A66BD2">
      <w:pPr>
        <w:ind w:left="720"/>
        <w:rPr>
          <w:rFonts w:cs="Tahoma"/>
          <w:szCs w:val="18"/>
          <w:lang w:val="pt-BR"/>
        </w:rPr>
      </w:pPr>
      <w:r w:rsidRPr="006301EB">
        <w:rPr>
          <w:rFonts w:eastAsia="Calibri" w:cs="Tahoma"/>
          <w:szCs w:val="18"/>
          <w:lang w:val="pt-BR"/>
        </w:rPr>
        <w:t>Os clientes sob registros existentes a partir de 1</w:t>
      </w:r>
      <w:r w:rsidRPr="006301EB">
        <w:rPr>
          <w:rFonts w:eastAsia="Calibri" w:cs="Tahoma"/>
          <w:szCs w:val="18"/>
          <w:vertAlign w:val="superscript"/>
          <w:lang w:val="pt-BR"/>
        </w:rPr>
        <w:t>º</w:t>
      </w:r>
      <w:r w:rsidRPr="006301EB">
        <w:rPr>
          <w:rFonts w:eastAsia="Calibri" w:cs="Tahoma"/>
          <w:szCs w:val="18"/>
          <w:lang w:val="pt-BR"/>
        </w:rPr>
        <w:t xml:space="preserve"> de abril de 2012 (em vigor ou antes de 1</w:t>
      </w:r>
      <w:r w:rsidRPr="006301EB">
        <w:rPr>
          <w:rFonts w:eastAsia="Calibri" w:cs="Tahoma"/>
          <w:szCs w:val="18"/>
          <w:vertAlign w:val="superscript"/>
          <w:lang w:val="pt-BR"/>
        </w:rPr>
        <w:t>º</w:t>
      </w:r>
      <w:r w:rsidRPr="006301EB">
        <w:rPr>
          <w:rFonts w:eastAsia="Calibri" w:cs="Tahoma"/>
          <w:szCs w:val="18"/>
          <w:lang w:val="pt-BR"/>
        </w:rPr>
        <w:t xml:space="preserve"> de abril de</w:t>
      </w:r>
      <w:r w:rsidR="00397ADC" w:rsidRPr="006301EB">
        <w:rPr>
          <w:rFonts w:eastAsia="Calibri" w:cs="Tahoma"/>
          <w:szCs w:val="18"/>
          <w:lang w:val="pt-BR"/>
        </w:rPr>
        <w:t> </w:t>
      </w:r>
      <w:r w:rsidRPr="006301EB">
        <w:rPr>
          <w:rFonts w:eastAsia="Calibri" w:cs="Tahoma"/>
          <w:szCs w:val="18"/>
          <w:lang w:val="pt-BR"/>
        </w:rPr>
        <w:t>2012) podem continuar a fazer adequações (“true-up”) de licenças sob o modelo antigo sob o qual cada</w:t>
      </w:r>
      <w:r w:rsidR="00397ADC" w:rsidRPr="006301EB">
        <w:rPr>
          <w:rFonts w:eastAsia="Calibri" w:cs="Tahoma"/>
          <w:szCs w:val="18"/>
          <w:lang w:val="pt-BR"/>
        </w:rPr>
        <w:t> </w:t>
      </w:r>
      <w:r w:rsidRPr="006301EB">
        <w:rPr>
          <w:rFonts w:eastAsia="Calibri" w:cs="Tahoma"/>
          <w:szCs w:val="18"/>
          <w:lang w:val="pt-BR"/>
        </w:rPr>
        <w:t>licença pode licenciar apenas um processador. Os direitos de migração a seguir se aplicam a licenças</w:t>
      </w:r>
      <w:r w:rsidR="00397ADC" w:rsidRPr="006301EB">
        <w:rPr>
          <w:rFonts w:eastAsia="Calibri" w:cs="Tahoma"/>
          <w:szCs w:val="18"/>
          <w:lang w:val="pt-BR"/>
        </w:rPr>
        <w:t> </w:t>
      </w:r>
      <w:r w:rsidRPr="006301EB">
        <w:rPr>
          <w:rFonts w:eastAsia="Calibri" w:cs="Tahoma"/>
          <w:szCs w:val="18"/>
          <w:lang w:val="pt-BR"/>
        </w:rPr>
        <w:t>para esses clientes:</w:t>
      </w:r>
    </w:p>
    <w:p w:rsidR="004D776B" w:rsidRPr="009D57D2" w:rsidRDefault="004D776B" w:rsidP="009D57D2">
      <w:pPr>
        <w:pStyle w:val="ListParagraph"/>
        <w:contextualSpacing w:val="0"/>
        <w:rPr>
          <w:rFonts w:ascii="Tahoma" w:hAnsi="Tahoma" w:cs="Tahoma"/>
          <w:sz w:val="18"/>
          <w:szCs w:val="18"/>
        </w:rPr>
      </w:pPr>
      <w:r w:rsidRPr="009D57D2">
        <w:rPr>
          <w:rFonts w:ascii="Tahoma" w:eastAsia="Calibri" w:hAnsi="Tahoma" w:cs="Tahoma"/>
          <w:sz w:val="18"/>
          <w:szCs w:val="18"/>
        </w:rPr>
        <w:t>Para a duração do registro existente, as licenças novas e existentes dos clientes sob o modelo antigo serão consideradas como equivalentes a licenças sob o novo modelo em uma proporção 1:1. Na renovação, os</w:t>
      </w:r>
      <w:r w:rsidR="009D57D2" w:rsidRPr="006301EB">
        <w:rPr>
          <w:rFonts w:ascii="Tahoma" w:eastAsia="Calibri" w:hAnsi="Tahoma" w:cs="Tahoma"/>
          <w:sz w:val="18"/>
          <w:szCs w:val="18"/>
          <w:lang w:val="pt-BR"/>
        </w:rPr>
        <w:t> </w:t>
      </w:r>
      <w:r w:rsidRPr="009D57D2">
        <w:rPr>
          <w:rFonts w:ascii="Tahoma" w:eastAsia="Calibri" w:hAnsi="Tahoma" w:cs="Tahoma"/>
          <w:sz w:val="18"/>
          <w:szCs w:val="18"/>
        </w:rPr>
        <w:t>clientes podem renovar o Software Assurance em licenças sob o novo modelo.</w:t>
      </w:r>
    </w:p>
    <w:p w:rsidR="00973A93" w:rsidRPr="006301EB" w:rsidRDefault="00973A93">
      <w:pPr>
        <w:rPr>
          <w:rFonts w:cs="Tahoma"/>
          <w:szCs w:val="18"/>
          <w:lang w:val="pt-BR"/>
        </w:rPr>
      </w:pPr>
    </w:p>
    <w:p w:rsidR="004D776B" w:rsidRPr="006301EB" w:rsidRDefault="004D776B" w:rsidP="00A66BD2">
      <w:pPr>
        <w:spacing w:after="60"/>
        <w:ind w:left="720"/>
        <w:rPr>
          <w:rFonts w:cs="Tahoma"/>
          <w:szCs w:val="18"/>
          <w:lang w:val="pt-BR"/>
        </w:rPr>
      </w:pPr>
      <w:r w:rsidRPr="006301EB">
        <w:rPr>
          <w:rFonts w:eastAsia="Calibri" w:cs="Tahoma"/>
          <w:b/>
          <w:szCs w:val="18"/>
          <w:lang w:val="pt-BR"/>
        </w:rPr>
        <w:t>Liberação da Nova Versão do Windows Server</w:t>
      </w:r>
    </w:p>
    <w:p w:rsidR="004D776B" w:rsidRPr="006301EB" w:rsidRDefault="004D776B" w:rsidP="00A66BD2">
      <w:pPr>
        <w:ind w:left="720"/>
        <w:rPr>
          <w:rFonts w:cs="Tahoma"/>
          <w:szCs w:val="18"/>
          <w:lang w:val="pt-BR"/>
        </w:rPr>
      </w:pPr>
      <w:r w:rsidRPr="006301EB">
        <w:rPr>
          <w:rFonts w:eastAsia="Calibri" w:cs="Tahoma"/>
          <w:szCs w:val="18"/>
          <w:lang w:val="pt-BR"/>
        </w:rPr>
        <w:t>Os clientes licenciados para o Core Infrastructure Server Suite Standard com Software Assurance ativo a partir de 1</w:t>
      </w:r>
      <w:r w:rsidRPr="006301EB">
        <w:rPr>
          <w:rFonts w:eastAsia="Calibri" w:cs="Tahoma"/>
          <w:szCs w:val="18"/>
          <w:vertAlign w:val="superscript"/>
          <w:lang w:val="pt-BR"/>
        </w:rPr>
        <w:t>º</w:t>
      </w:r>
      <w:r w:rsidRPr="006301EB">
        <w:rPr>
          <w:rFonts w:eastAsia="Calibri" w:cs="Tahoma"/>
          <w:szCs w:val="18"/>
          <w:lang w:val="pt-BR"/>
        </w:rPr>
        <w:t xml:space="preserve"> de setembro de 2012 têm os direitos de uso dos seguintes produtos sujeitos aos direitos de uso</w:t>
      </w:r>
      <w:r w:rsidR="00397ADC" w:rsidRPr="006301EB">
        <w:rPr>
          <w:rFonts w:eastAsia="Calibri" w:cs="Tahoma"/>
          <w:szCs w:val="18"/>
          <w:lang w:val="pt-BR"/>
        </w:rPr>
        <w:t> </w:t>
      </w:r>
      <w:r w:rsidRPr="006301EB">
        <w:rPr>
          <w:rFonts w:eastAsia="Calibri" w:cs="Tahoma"/>
          <w:szCs w:val="18"/>
          <w:lang w:val="pt-BR"/>
        </w:rPr>
        <w:t>de produto desses produtos e do Core Infrastructure Server Suite Standard:</w:t>
      </w:r>
    </w:p>
    <w:p w:rsidR="00A66BD2" w:rsidRPr="006301EB" w:rsidRDefault="00A66BD2" w:rsidP="00A66BD2">
      <w:pPr>
        <w:ind w:left="720"/>
        <w:rPr>
          <w:sz w:val="16"/>
          <w:szCs w:val="16"/>
          <w:lang w:val="pt-BR"/>
        </w:rPr>
      </w:pPr>
    </w:p>
    <w:p w:rsidR="004D776B" w:rsidRPr="00416070" w:rsidRDefault="004D776B" w:rsidP="00A66BD2">
      <w:pPr>
        <w:numPr>
          <w:ilvl w:val="0"/>
          <w:numId w:val="25"/>
        </w:numPr>
        <w:tabs>
          <w:tab w:val="left" w:pos="1440"/>
          <w:tab w:val="left" w:pos="3510"/>
        </w:tabs>
        <w:spacing w:after="60"/>
      </w:pPr>
      <w:r w:rsidRPr="00416070">
        <w:rPr>
          <w:rFonts w:eastAsia="Calibri" w:cs="Tahoma"/>
          <w:szCs w:val="18"/>
        </w:rPr>
        <w:t>Windows Server 2012 Standard</w:t>
      </w:r>
    </w:p>
    <w:p w:rsidR="004D776B" w:rsidRPr="00416070" w:rsidRDefault="004D776B" w:rsidP="00A66BD2">
      <w:pPr>
        <w:numPr>
          <w:ilvl w:val="0"/>
          <w:numId w:val="25"/>
        </w:numPr>
        <w:tabs>
          <w:tab w:val="left" w:pos="1440"/>
          <w:tab w:val="left" w:pos="3510"/>
        </w:tabs>
        <w:spacing w:after="60"/>
      </w:pPr>
      <w:r w:rsidRPr="00416070">
        <w:rPr>
          <w:rFonts w:eastAsia="Calibri" w:cs="Tahoma"/>
          <w:szCs w:val="18"/>
        </w:rPr>
        <w:t>System Center 2012 Standard</w:t>
      </w:r>
    </w:p>
    <w:p w:rsidR="00A66BD2" w:rsidRPr="00397ADC" w:rsidRDefault="00A66BD2" w:rsidP="00A66BD2">
      <w:pPr>
        <w:tabs>
          <w:tab w:val="left" w:pos="1440"/>
          <w:tab w:val="left" w:pos="3510"/>
        </w:tabs>
        <w:rPr>
          <w:sz w:val="16"/>
          <w:szCs w:val="16"/>
        </w:rPr>
      </w:pPr>
    </w:p>
    <w:p w:rsidR="004D776B" w:rsidRPr="006301EB" w:rsidRDefault="004D776B" w:rsidP="00A66BD2">
      <w:pPr>
        <w:ind w:left="720"/>
        <w:rPr>
          <w:lang w:val="pt-BR"/>
        </w:rPr>
      </w:pPr>
      <w:r w:rsidRPr="006301EB">
        <w:rPr>
          <w:rFonts w:eastAsia="Calibri" w:cs="Tahoma"/>
          <w:szCs w:val="18"/>
          <w:lang w:val="pt-BR"/>
        </w:rPr>
        <w:t>Para qualquer servidor que esteja devidamente licenciado para Core Infrastructure Server Suite Standard, os clientes podem executar uma instância do Windows Server 2008 R2 Enterprise em vez do Windows Server Standard.</w:t>
      </w:r>
    </w:p>
    <w:p w:rsidR="00A66BD2" w:rsidRPr="006301EB" w:rsidRDefault="00A66BD2" w:rsidP="00A66BD2">
      <w:pPr>
        <w:ind w:left="720"/>
        <w:rPr>
          <w:sz w:val="16"/>
          <w:szCs w:val="16"/>
          <w:lang w:val="pt-BR"/>
        </w:rPr>
      </w:pPr>
    </w:p>
    <w:p w:rsidR="004D776B" w:rsidRPr="006301EB" w:rsidRDefault="004D776B" w:rsidP="00A66BD2">
      <w:pPr>
        <w:spacing w:after="60"/>
        <w:ind w:left="720"/>
        <w:rPr>
          <w:lang w:val="pt-BR"/>
        </w:rPr>
      </w:pPr>
      <w:r w:rsidRPr="006301EB">
        <w:rPr>
          <w:rFonts w:eastAsia="Calibri" w:cs="Tahoma"/>
          <w:b/>
          <w:szCs w:val="18"/>
          <w:lang w:val="pt-BR"/>
        </w:rPr>
        <w:t>Oferta de Renovação de Software Assurance para Clientes do Windows Server Standard e System Center Standard e Clientes do Windows Server Enterprise e System Center Standard</w:t>
      </w:r>
    </w:p>
    <w:p w:rsidR="004D776B" w:rsidRPr="006301EB" w:rsidRDefault="004D776B" w:rsidP="00A66BD2">
      <w:pPr>
        <w:ind w:left="720"/>
        <w:rPr>
          <w:lang w:val="pt-BR"/>
        </w:rPr>
      </w:pPr>
      <w:r w:rsidRPr="006301EB">
        <w:rPr>
          <w:rFonts w:eastAsia="Calibri" w:cs="Tahoma"/>
          <w:szCs w:val="18"/>
          <w:lang w:val="pt-BR"/>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rsidR="00A66BD2" w:rsidRPr="006301EB" w:rsidRDefault="00A66BD2" w:rsidP="00A66BD2">
      <w:pPr>
        <w:ind w:left="720"/>
        <w:rPr>
          <w:sz w:val="16"/>
          <w:szCs w:val="16"/>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416070"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416070" w:rsidRDefault="004D776B" w:rsidP="007E466C">
            <w:pPr>
              <w:spacing w:before="120" w:after="120" w:line="276" w:lineRule="auto"/>
              <w:ind w:left="-404"/>
              <w:jc w:val="center"/>
              <w:rPr>
                <w:rFonts w:eastAsia="Calibri" w:cs="Tahoma"/>
                <w:b/>
                <w:szCs w:val="18"/>
              </w:rPr>
            </w:pPr>
            <w:r w:rsidRPr="00416070">
              <w:rPr>
                <w:rFonts w:eastAsia="Calibri" w:cs="Tahoma"/>
                <w:b/>
                <w:szCs w:val="18"/>
              </w:rPr>
              <w:t>Tabela A</w:t>
            </w:r>
          </w:p>
        </w:tc>
      </w:tr>
      <w:tr w:rsidR="004D776B" w:rsidRPr="00416070"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16070" w:rsidRDefault="004D776B" w:rsidP="007E466C">
            <w:pPr>
              <w:spacing w:before="120" w:after="120" w:line="276" w:lineRule="auto"/>
              <w:ind w:left="-404"/>
              <w:jc w:val="center"/>
              <w:rPr>
                <w:rFonts w:eastAsia="Calibri" w:cs="Tahoma"/>
                <w:szCs w:val="18"/>
              </w:rPr>
            </w:pPr>
            <w:r w:rsidRPr="00416070">
              <w:rPr>
                <w:rFonts w:eastAsia="Calibri" w:cs="Tahoma"/>
                <w:szCs w:val="18"/>
              </w:rPr>
              <w:t>Windows Server Standard</w:t>
            </w:r>
          </w:p>
        </w:tc>
      </w:tr>
      <w:tr w:rsidR="004D776B" w:rsidRPr="00416070"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16070" w:rsidRDefault="004D776B" w:rsidP="007E466C">
            <w:pPr>
              <w:spacing w:before="120" w:after="120" w:line="276" w:lineRule="auto"/>
              <w:ind w:left="-404"/>
              <w:jc w:val="center"/>
              <w:rPr>
                <w:rFonts w:eastAsia="Calibri" w:cs="Tahoma"/>
                <w:szCs w:val="18"/>
              </w:rPr>
            </w:pPr>
            <w:r w:rsidRPr="00416070">
              <w:rPr>
                <w:rFonts w:eastAsia="Calibri" w:cs="Tahoma"/>
                <w:szCs w:val="18"/>
              </w:rPr>
              <w:t>System Center Standard</w:t>
            </w:r>
          </w:p>
        </w:tc>
      </w:tr>
    </w:tbl>
    <w:p w:rsidR="004D776B" w:rsidRPr="006301EB" w:rsidRDefault="004D776B" w:rsidP="00A66BD2">
      <w:pPr>
        <w:ind w:left="720"/>
        <w:rPr>
          <w:lang w:val="pt-BR"/>
        </w:rPr>
      </w:pPr>
      <w:r w:rsidRPr="006301EB">
        <w:rPr>
          <w:rFonts w:eastAsia="Calibri" w:cs="Tahoma"/>
          <w:szCs w:val="18"/>
          <w:lang w:val="pt-BR"/>
        </w:rPr>
        <w:lastRenderedPageBreak/>
        <w:t xml:space="preserve">Para cada conjunto composto de uma de cada das licenças qualificadas na Tabela A acima, os clientes poderão adquirir o Software Assurance para uma licença do Core Infrastructure Server Suite Standard. </w:t>
      </w:r>
    </w:p>
    <w:p w:rsidR="00A66BD2" w:rsidRPr="006301EB" w:rsidRDefault="00A66BD2" w:rsidP="00A66BD2">
      <w:pPr>
        <w:ind w:left="720"/>
        <w:rPr>
          <w:lang w:val="pt-BR"/>
        </w:rPr>
      </w:pPr>
    </w:p>
    <w:p w:rsidR="004D776B" w:rsidRPr="006301EB" w:rsidRDefault="004D776B" w:rsidP="00A66BD2">
      <w:pPr>
        <w:ind w:left="720"/>
        <w:rPr>
          <w:lang w:val="pt-BR"/>
        </w:rPr>
      </w:pPr>
      <w:r w:rsidRPr="006301EB">
        <w:rPr>
          <w:rFonts w:eastAsia="Calibri" w:cs="Tahoma"/>
          <w:szCs w:val="18"/>
          <w:lang w:val="pt-BR"/>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rsidR="00A66BD2" w:rsidRPr="006301EB" w:rsidRDefault="00A66BD2" w:rsidP="00A66BD2">
      <w:pPr>
        <w:ind w:left="720"/>
        <w:rPr>
          <w:lang w:val="pt-BR"/>
        </w:rPr>
      </w:pPr>
    </w:p>
    <w:p w:rsidR="00A66BD2" w:rsidRPr="006301EB" w:rsidRDefault="004D776B" w:rsidP="00A66BD2">
      <w:pPr>
        <w:spacing w:after="60"/>
        <w:ind w:left="720"/>
        <w:rPr>
          <w:lang w:val="pt-BR"/>
        </w:rPr>
      </w:pPr>
      <w:r w:rsidRPr="006301EB">
        <w:rPr>
          <w:rFonts w:eastAsia="Calibri" w:cs="Tahoma"/>
          <w:b/>
          <w:szCs w:val="18"/>
          <w:lang w:val="pt-BR"/>
        </w:rPr>
        <w:t>Step-up do Windows Server Standard ou System Center Standard para Core Infrastructure Server Suite Standard</w:t>
      </w:r>
    </w:p>
    <w:p w:rsidR="004D776B" w:rsidRPr="006301EB" w:rsidRDefault="004D776B" w:rsidP="00A66BD2">
      <w:pPr>
        <w:ind w:left="720"/>
        <w:rPr>
          <w:lang w:val="pt-BR"/>
        </w:rPr>
      </w:pPr>
      <w:r w:rsidRPr="006301EB">
        <w:rPr>
          <w:rFonts w:eastAsia="Calibri" w:cs="Tahoma"/>
          <w:szCs w:val="18"/>
          <w:lang w:val="pt-BR"/>
        </w:rPr>
        <w:t>Os clientes podem fazer step-up do Windows Server Standard ou System Center Standard para o Core Infrastructure Server Suite Standard pela aquisição da licença de Step-up apropriada do Core Infrastructure Server Suite Standard.</w:t>
      </w:r>
      <w:r w:rsidR="00FB5496" w:rsidRPr="006301EB">
        <w:rPr>
          <w:rFonts w:eastAsia="Calibri" w:cs="Tahoma"/>
          <w:szCs w:val="18"/>
          <w:lang w:val="pt-BR"/>
        </w:rPr>
        <w:t xml:space="preserve"> </w:t>
      </w:r>
      <w:r w:rsidRPr="006301EB">
        <w:rPr>
          <w:rFonts w:eastAsia="Calibri" w:cs="Tahoma"/>
          <w:szCs w:val="18"/>
          <w:lang w:val="pt-BR"/>
        </w:rPr>
        <w:t>Os clientes devem ter o Software Assurance ativo para a licença do Windows Server Standard ou System Center Standard para adquirir essa licença de Step-up.</w:t>
      </w:r>
      <w:r w:rsidR="00FB5496" w:rsidRPr="006301EB">
        <w:rPr>
          <w:rFonts w:eastAsia="Calibri" w:cs="Tahoma"/>
          <w:szCs w:val="18"/>
          <w:lang w:val="pt-BR"/>
        </w:rPr>
        <w:t xml:space="preserve"> </w:t>
      </w:r>
    </w:p>
    <w:p w:rsidR="00A66BD2" w:rsidRPr="006301EB" w:rsidRDefault="00A66BD2" w:rsidP="00A66BD2">
      <w:pPr>
        <w:ind w:left="720"/>
        <w:rPr>
          <w:lang w:val="pt-BR"/>
        </w:rPr>
      </w:pPr>
    </w:p>
    <w:p w:rsidR="004D776B" w:rsidRPr="006301EB" w:rsidRDefault="004D776B" w:rsidP="00A66BD2">
      <w:pPr>
        <w:ind w:left="720"/>
        <w:rPr>
          <w:lang w:val="pt-BR"/>
        </w:rPr>
      </w:pPr>
      <w:r w:rsidRPr="006301EB">
        <w:rPr>
          <w:rFonts w:eastAsia="Calibri" w:cs="Tahoma"/>
          <w:szCs w:val="18"/>
          <w:lang w:val="pt-BR"/>
        </w:rPr>
        <w:t>Para cada licença qualificada do Windows Server Standard que o cliente tiver, ele poderá adquirir uma licença de Step-up do Core Infrastructure Server Suite Standard.</w:t>
      </w:r>
    </w:p>
    <w:p w:rsidR="00A66BD2" w:rsidRPr="006301EB" w:rsidRDefault="00A66BD2" w:rsidP="00A66BD2">
      <w:pPr>
        <w:ind w:left="720"/>
        <w:rPr>
          <w:lang w:val="pt-BR"/>
        </w:rPr>
      </w:pPr>
    </w:p>
    <w:p w:rsidR="004D776B" w:rsidRPr="006301EB" w:rsidRDefault="004D776B" w:rsidP="00A66BD2">
      <w:pPr>
        <w:ind w:left="720"/>
        <w:rPr>
          <w:lang w:val="pt-BR"/>
        </w:rPr>
      </w:pPr>
      <w:r w:rsidRPr="006301EB">
        <w:rPr>
          <w:rFonts w:eastAsia="Calibri" w:cs="Tahoma"/>
          <w:szCs w:val="18"/>
          <w:lang w:val="pt-BR"/>
        </w:rPr>
        <w:t>Para cada licença qualificada do System Center Standard que o cliente tiver, ele poderá adquirir uma licença de Step-up do Core Infrastructure Server Suite Standard.</w:t>
      </w:r>
    </w:p>
    <w:p w:rsidR="00A66BD2" w:rsidRPr="006301EB" w:rsidRDefault="00A66BD2" w:rsidP="00A66BD2">
      <w:pPr>
        <w:ind w:left="720"/>
        <w:rPr>
          <w:lang w:val="pt-BR"/>
        </w:rPr>
      </w:pPr>
    </w:p>
    <w:p w:rsidR="004D776B" w:rsidRPr="006301EB" w:rsidRDefault="004D776B" w:rsidP="00A66BD2">
      <w:pPr>
        <w:ind w:left="720"/>
        <w:rPr>
          <w:lang w:val="pt-BR"/>
        </w:rPr>
      </w:pPr>
      <w:r w:rsidRPr="006301EB">
        <w:rPr>
          <w:rFonts w:eastAsia="Calibri" w:cs="Tahoma"/>
          <w:szCs w:val="18"/>
          <w:lang w:val="pt-BR"/>
        </w:rPr>
        <w:t>O direito de uso do software pelos clientes sob a licença do Core Infrastructure Server Suite Standard está condicionado ao cumprimento pelos clientes de qualquer obrigação de pagamento remanescente da licença do produto qualificado.</w:t>
      </w:r>
      <w:r w:rsidR="00FB5496" w:rsidRPr="006301EB">
        <w:rPr>
          <w:rFonts w:eastAsia="Calibri" w:cs="Tahoma"/>
          <w:szCs w:val="18"/>
          <w:lang w:val="pt-BR"/>
        </w:rPr>
        <w:t xml:space="preserve"> </w:t>
      </w:r>
      <w:r w:rsidRPr="006301EB">
        <w:rPr>
          <w:rFonts w:eastAsia="Calibri" w:cs="Tahoma"/>
          <w:szCs w:val="18"/>
          <w:lang w:val="pt-BR"/>
        </w:rPr>
        <w:t>A licença do Core Infrastructure Server Suite Standard dos clientes suplanta e substitui a licença básica do produto qualificado.</w:t>
      </w:r>
    </w:p>
    <w:p w:rsidR="00A66BD2" w:rsidRPr="006301EB" w:rsidRDefault="00A66BD2" w:rsidP="007E466C">
      <w:pPr>
        <w:rPr>
          <w:lang w:val="pt-B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416070" w:rsidTr="001051D1">
        <w:trPr>
          <w:tblHeader/>
        </w:trPr>
        <w:tc>
          <w:tcPr>
            <w:tcW w:w="4140" w:type="dxa"/>
            <w:shd w:val="clear" w:color="auto" w:fill="FABF8F"/>
            <w:tcMar>
              <w:top w:w="0" w:type="dxa"/>
              <w:left w:w="108" w:type="dxa"/>
              <w:bottom w:w="0" w:type="dxa"/>
              <w:right w:w="108" w:type="dxa"/>
            </w:tcMar>
            <w:hideMark/>
          </w:tcPr>
          <w:p w:rsidR="004D776B" w:rsidRPr="00416070" w:rsidRDefault="004D776B" w:rsidP="007E466C">
            <w:pPr>
              <w:spacing w:before="120" w:after="120" w:line="276" w:lineRule="auto"/>
              <w:jc w:val="center"/>
              <w:rPr>
                <w:rFonts w:eastAsia="Calibri" w:cs="Tahoma"/>
                <w:b/>
                <w:szCs w:val="18"/>
              </w:rPr>
            </w:pPr>
            <w:r w:rsidRPr="00416070">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rsidR="004D776B" w:rsidRPr="00416070" w:rsidRDefault="004D776B" w:rsidP="007E466C">
            <w:pPr>
              <w:spacing w:before="120" w:after="120" w:line="276" w:lineRule="auto"/>
              <w:jc w:val="center"/>
              <w:rPr>
                <w:rFonts w:eastAsia="Calibri" w:cs="Tahoma"/>
                <w:b/>
                <w:szCs w:val="18"/>
              </w:rPr>
            </w:pPr>
            <w:r w:rsidRPr="00416070">
              <w:rPr>
                <w:rFonts w:eastAsia="Calibri" w:cs="Tahoma"/>
                <w:b/>
                <w:szCs w:val="18"/>
              </w:rPr>
              <w:t>Step-up para</w:t>
            </w:r>
          </w:p>
        </w:tc>
      </w:tr>
      <w:tr w:rsidR="004D776B" w:rsidRPr="002B5F9E" w:rsidTr="001051D1">
        <w:tc>
          <w:tcPr>
            <w:tcW w:w="4140" w:type="dxa"/>
            <w:tcMar>
              <w:top w:w="0" w:type="dxa"/>
              <w:left w:w="108" w:type="dxa"/>
              <w:bottom w:w="0" w:type="dxa"/>
              <w:right w:w="108" w:type="dxa"/>
            </w:tcMar>
            <w:hideMark/>
          </w:tcPr>
          <w:p w:rsidR="004D776B" w:rsidRPr="00416070" w:rsidRDefault="004D776B" w:rsidP="007E466C">
            <w:pPr>
              <w:spacing w:before="120" w:after="120" w:line="276" w:lineRule="auto"/>
              <w:rPr>
                <w:rFonts w:eastAsia="Calibri" w:cs="Tahoma"/>
                <w:szCs w:val="18"/>
              </w:rPr>
            </w:pPr>
            <w:r w:rsidRPr="00416070">
              <w:rPr>
                <w:rFonts w:eastAsia="Calibri" w:cs="Tahoma"/>
                <w:szCs w:val="18"/>
              </w:rPr>
              <w:t>Windows Server Standard</w:t>
            </w:r>
          </w:p>
        </w:tc>
        <w:tc>
          <w:tcPr>
            <w:tcW w:w="4050" w:type="dxa"/>
            <w:tcMar>
              <w:top w:w="0" w:type="dxa"/>
              <w:left w:w="108" w:type="dxa"/>
              <w:bottom w:w="0" w:type="dxa"/>
              <w:right w:w="108" w:type="dxa"/>
            </w:tcMar>
            <w:hideMark/>
          </w:tcPr>
          <w:p w:rsidR="004D776B" w:rsidRPr="00416070" w:rsidRDefault="004D776B" w:rsidP="007E466C">
            <w:pPr>
              <w:spacing w:before="120" w:after="120" w:line="276" w:lineRule="auto"/>
              <w:rPr>
                <w:rFonts w:eastAsia="Calibri" w:cs="Tahoma"/>
                <w:szCs w:val="18"/>
                <w:lang w:val="fr-FR"/>
              </w:rPr>
            </w:pPr>
            <w:r w:rsidRPr="006301EB">
              <w:rPr>
                <w:rFonts w:eastAsia="Calibri" w:cs="Tahoma"/>
                <w:szCs w:val="18"/>
                <w:lang w:val="fr-FR"/>
              </w:rPr>
              <w:t>Core Infrastructure Server Suite Standard</w:t>
            </w:r>
          </w:p>
        </w:tc>
      </w:tr>
      <w:tr w:rsidR="004D776B" w:rsidRPr="002B5F9E" w:rsidTr="001051D1">
        <w:tc>
          <w:tcPr>
            <w:tcW w:w="4140" w:type="dxa"/>
            <w:tcMar>
              <w:top w:w="0" w:type="dxa"/>
              <w:left w:w="108" w:type="dxa"/>
              <w:bottom w:w="0" w:type="dxa"/>
              <w:right w:w="108" w:type="dxa"/>
            </w:tcMar>
          </w:tcPr>
          <w:p w:rsidR="004D776B" w:rsidRPr="00416070" w:rsidRDefault="004D776B" w:rsidP="00026546">
            <w:pPr>
              <w:spacing w:before="120" w:after="120" w:line="276" w:lineRule="auto"/>
              <w:rPr>
                <w:rFonts w:eastAsia="Calibri" w:cs="Tahoma"/>
                <w:szCs w:val="18"/>
              </w:rPr>
            </w:pPr>
            <w:r w:rsidRPr="00416070">
              <w:rPr>
                <w:rFonts w:eastAsia="Calibri" w:cs="Tahoma"/>
                <w:szCs w:val="18"/>
              </w:rPr>
              <w:t>System Center Standard</w:t>
            </w:r>
          </w:p>
        </w:tc>
        <w:tc>
          <w:tcPr>
            <w:tcW w:w="4050" w:type="dxa"/>
            <w:tcMar>
              <w:top w:w="0" w:type="dxa"/>
              <w:left w:w="108" w:type="dxa"/>
              <w:bottom w:w="0" w:type="dxa"/>
              <w:right w:w="108" w:type="dxa"/>
            </w:tcMar>
          </w:tcPr>
          <w:p w:rsidR="004D776B" w:rsidRPr="00416070" w:rsidRDefault="004D776B" w:rsidP="00026546">
            <w:pPr>
              <w:spacing w:before="120" w:after="120" w:line="276" w:lineRule="auto"/>
              <w:rPr>
                <w:rFonts w:eastAsia="Calibri" w:cs="Tahoma"/>
                <w:szCs w:val="18"/>
                <w:lang w:val="fr-FR"/>
              </w:rPr>
            </w:pPr>
            <w:r w:rsidRPr="006301EB">
              <w:rPr>
                <w:rFonts w:eastAsia="Calibri" w:cs="Tahoma"/>
                <w:szCs w:val="18"/>
                <w:lang w:val="fr-FR"/>
              </w:rPr>
              <w:t>Core Infrastructure Server Suite Standard</w:t>
            </w:r>
          </w:p>
        </w:tc>
      </w:tr>
    </w:tbl>
    <w:p w:rsidR="00BF1889" w:rsidRPr="006301EB" w:rsidRDefault="00BF1889" w:rsidP="00A66BD2">
      <w:pPr>
        <w:rPr>
          <w:lang w:val="fr-FR"/>
        </w:rPr>
      </w:pPr>
    </w:p>
    <w:p w:rsidR="00B947E4" w:rsidRPr="00416070" w:rsidRDefault="00B26237" w:rsidP="00B947E4">
      <w:pPr>
        <w:pStyle w:val="Heading3"/>
      </w:pPr>
      <w:bookmarkStart w:id="1175" w:name="_38_Core_Infrastructure"/>
      <w:bookmarkStart w:id="1176" w:name="_Toc336338297"/>
      <w:bookmarkStart w:id="1177" w:name="_Toc352234364"/>
      <w:bookmarkStart w:id="1178" w:name="Srv_36CoreInfraServerSuiteEnt"/>
      <w:bookmarkStart w:id="1179" w:name="Srv_33CoreInfrastructureSvrSuiteEnt"/>
      <w:bookmarkEnd w:id="1175"/>
      <w:r w:rsidRPr="00416070">
        <w:rPr>
          <w:rFonts w:ascii="Tahoma" w:hAnsi="Tahoma"/>
          <w:caps/>
          <w:color w:val="F66400"/>
          <w:sz w:val="22"/>
          <w:vertAlign w:val="superscript"/>
        </w:rPr>
        <w:t>38</w:t>
      </w:r>
      <w:r w:rsidRPr="00416070">
        <w:rPr>
          <w:rFonts w:ascii="Tahoma" w:hAnsi="Tahoma"/>
          <w:color w:val="F66400"/>
          <w:sz w:val="22"/>
        </w:rPr>
        <w:t xml:space="preserve"> Core Infrastructure Server Suite Enterprise</w:t>
      </w:r>
      <w:bookmarkEnd w:id="1176"/>
      <w:bookmarkEnd w:id="1177"/>
    </w:p>
    <w:p w:rsidR="000A297A" w:rsidRPr="006301EB" w:rsidRDefault="000A297A" w:rsidP="00A66BD2">
      <w:pPr>
        <w:rPr>
          <w:lang w:val="pt-BR"/>
        </w:rPr>
      </w:pPr>
    </w:p>
    <w:bookmarkEnd w:id="1178"/>
    <w:bookmarkEnd w:id="1179"/>
    <w:p w:rsidR="00B947E4" w:rsidRPr="006301EB" w:rsidRDefault="001E68E2" w:rsidP="009D57D2">
      <w:pPr>
        <w:ind w:left="720"/>
        <w:rPr>
          <w:lang w:val="pt-BR"/>
        </w:rPr>
      </w:pPr>
      <w:r w:rsidRPr="006301EB">
        <w:rPr>
          <w:rFonts w:eastAsia="Calibri" w:cs="Tahoma"/>
          <w:szCs w:val="18"/>
          <w:lang w:val="pt-BR"/>
        </w:rPr>
        <w:t>Em 1</w:t>
      </w:r>
      <w:r w:rsidRPr="006301EB">
        <w:rPr>
          <w:rFonts w:eastAsia="Calibri" w:cs="Tahoma"/>
          <w:szCs w:val="18"/>
          <w:vertAlign w:val="superscript"/>
          <w:lang w:val="pt-BR"/>
        </w:rPr>
        <w:t>º</w:t>
      </w:r>
      <w:r w:rsidRPr="006301EB">
        <w:rPr>
          <w:rFonts w:eastAsia="Calibri" w:cs="Tahoma"/>
          <w:szCs w:val="18"/>
          <w:lang w:val="pt-BR"/>
        </w:rPr>
        <w:t xml:space="preserve"> de abril de 2012, a Microsoft descontinuará o Core Infrastructure Server Suite Enterprise. Os clientes do Core Infrastructure Server Suite Enterprise com Software Assurance a partir de 1</w:t>
      </w:r>
      <w:r w:rsidR="00557CB6" w:rsidRPr="006301EB">
        <w:rPr>
          <w:rFonts w:eastAsia="Calibri" w:cs="Tahoma"/>
          <w:szCs w:val="18"/>
          <w:vertAlign w:val="superscript"/>
          <w:lang w:val="pt-BR"/>
        </w:rPr>
        <w:t>º</w:t>
      </w:r>
      <w:r w:rsidRPr="006301EB">
        <w:rPr>
          <w:rFonts w:eastAsia="Calibri" w:cs="Tahoma"/>
          <w:szCs w:val="18"/>
          <w:lang w:val="pt-BR"/>
        </w:rPr>
        <w:t xml:space="preserve"> de abril de 2012 estarão qualificados para uma licença para Core Infrastructure Server Standard para cada licença para Core</w:t>
      </w:r>
      <w:r w:rsidR="009D57D2" w:rsidRPr="006301EB">
        <w:rPr>
          <w:rFonts w:eastAsia="Calibri" w:cs="Tahoma"/>
          <w:szCs w:val="18"/>
          <w:lang w:val="pt-BR"/>
        </w:rPr>
        <w:t> </w:t>
      </w:r>
      <w:r w:rsidRPr="006301EB">
        <w:rPr>
          <w:rFonts w:eastAsia="Calibri" w:cs="Tahoma"/>
          <w:szCs w:val="18"/>
          <w:lang w:val="pt-BR"/>
        </w:rPr>
        <w:t>Infrastructure Server Suite Enterprise com Software Assurance que eles possuem a partir desta data.</w:t>
      </w:r>
      <w:r w:rsidR="00FB5496" w:rsidRPr="006301EB">
        <w:rPr>
          <w:rFonts w:eastAsia="Calibri" w:cs="Tahoma"/>
          <w:szCs w:val="18"/>
          <w:lang w:val="pt-BR"/>
        </w:rPr>
        <w:t xml:space="preserve"> </w:t>
      </w:r>
      <w:r w:rsidRPr="006301EB">
        <w:rPr>
          <w:rFonts w:eastAsia="Calibri" w:cs="Tahoma"/>
          <w:szCs w:val="18"/>
          <w:lang w:val="pt-BR"/>
        </w:rPr>
        <w:t>As licenças para Core Infrastructure Server Suite Standard concedidas por esta oferta incluirão cobertura de</w:t>
      </w:r>
      <w:r w:rsidR="009D57D2" w:rsidRPr="006301EB">
        <w:rPr>
          <w:rFonts w:eastAsia="Calibri" w:cs="Tahoma"/>
          <w:szCs w:val="18"/>
          <w:lang w:val="pt-BR"/>
        </w:rPr>
        <w:t> </w:t>
      </w:r>
      <w:r w:rsidRPr="006301EB">
        <w:rPr>
          <w:rFonts w:eastAsia="Calibri" w:cs="Tahoma"/>
          <w:szCs w:val="18"/>
          <w:lang w:val="pt-BR"/>
        </w:rPr>
        <w:t>Software Assurance que expira no término da cobertura das suas licenças qualificadas do Core Infrastructure Server Suite Enterprise. Os clientes que usam o Core Infrastructure Server Suite Standard sob</w:t>
      </w:r>
      <w:r w:rsidR="00397ADC" w:rsidRPr="006301EB">
        <w:rPr>
          <w:rFonts w:eastAsia="Calibri" w:cs="Tahoma"/>
          <w:szCs w:val="18"/>
          <w:lang w:val="pt-BR"/>
        </w:rPr>
        <w:t> </w:t>
      </w:r>
      <w:r w:rsidRPr="006301EB">
        <w:rPr>
          <w:rFonts w:eastAsia="Calibri" w:cs="Tahoma"/>
          <w:szCs w:val="18"/>
          <w:lang w:val="pt-BR"/>
        </w:rPr>
        <w:t>esta oferta não poderão mais usar o software sob as licenças qualificadas.</w:t>
      </w:r>
      <w:r w:rsidR="00FB5496" w:rsidRPr="006301EB">
        <w:rPr>
          <w:rFonts w:eastAsia="Calibri" w:cs="Tahoma"/>
          <w:szCs w:val="18"/>
          <w:lang w:val="pt-BR"/>
        </w:rPr>
        <w:t xml:space="preserve"> </w:t>
      </w:r>
      <w:r w:rsidRPr="006301EB">
        <w:rPr>
          <w:rFonts w:eastAsia="Calibri" w:cs="Tahoma"/>
          <w:szCs w:val="18"/>
          <w:lang w:val="pt-BR"/>
        </w:rPr>
        <w:t>Esta nota do produto e</w:t>
      </w:r>
      <w:r w:rsidR="009D57D2" w:rsidRPr="006301EB">
        <w:rPr>
          <w:rFonts w:eastAsia="Calibri" w:cs="Tahoma"/>
          <w:szCs w:val="18"/>
          <w:lang w:val="pt-BR"/>
        </w:rPr>
        <w:t> </w:t>
      </w:r>
      <w:r w:rsidRPr="006301EB">
        <w:rPr>
          <w:rFonts w:eastAsia="Calibri" w:cs="Tahoma"/>
          <w:szCs w:val="18"/>
          <w:lang w:val="pt-BR"/>
        </w:rPr>
        <w:t>documentação das licenças qualificadas do cliente são a evidência do seu direito de usar o Core Infrastructure Server Suite Standard sob esta oferta.</w:t>
      </w:r>
      <w:r w:rsidR="00FB5496" w:rsidRPr="006301EB">
        <w:rPr>
          <w:rFonts w:eastAsia="Calibri" w:cs="Tahoma"/>
          <w:szCs w:val="18"/>
          <w:lang w:val="pt-BR"/>
        </w:rPr>
        <w:t xml:space="preserve"> </w:t>
      </w:r>
      <w:r w:rsidRPr="006301EB">
        <w:rPr>
          <w:rFonts w:eastAsia="Calibri" w:cs="Tahoma"/>
          <w:szCs w:val="18"/>
          <w:lang w:val="pt-BR"/>
        </w:rPr>
        <w:t>Esse direito expirar</w:t>
      </w:r>
      <w:bookmarkStart w:id="1180" w:name="Srv_34CoreInfraSvrSuiteDatacenter"/>
      <w:r w:rsidRPr="006301EB">
        <w:rPr>
          <w:rFonts w:eastAsia="Calibri" w:cs="Tahoma"/>
          <w:szCs w:val="18"/>
          <w:lang w:val="pt-BR"/>
        </w:rPr>
        <w:t>á em caso de término ou das</w:t>
      </w:r>
      <w:r w:rsidR="009D57D2" w:rsidRPr="006301EB">
        <w:rPr>
          <w:rFonts w:eastAsia="Calibri" w:cs="Tahoma"/>
          <w:szCs w:val="18"/>
          <w:lang w:val="pt-BR"/>
        </w:rPr>
        <w:t> </w:t>
      </w:r>
      <w:r w:rsidRPr="006301EB">
        <w:rPr>
          <w:rFonts w:eastAsia="Calibri" w:cs="Tahoma"/>
          <w:szCs w:val="18"/>
          <w:lang w:val="pt-BR"/>
        </w:rPr>
        <w:t>licenças qualificadas.</w:t>
      </w:r>
    </w:p>
    <w:p w:rsidR="00397ADC" w:rsidRPr="006301EB" w:rsidRDefault="00397ADC" w:rsidP="00A66BD2">
      <w:pPr>
        <w:rPr>
          <w:lang w:val="pt-BR"/>
        </w:rPr>
      </w:pPr>
    </w:p>
    <w:p w:rsidR="00B947E4" w:rsidRPr="00416070" w:rsidRDefault="001D5998" w:rsidP="00B947E4">
      <w:pPr>
        <w:pStyle w:val="Heading3"/>
      </w:pPr>
      <w:bookmarkStart w:id="1181" w:name="_39_Core_Infrastructure"/>
      <w:bookmarkStart w:id="1182" w:name="_Toc336338298"/>
      <w:bookmarkStart w:id="1183" w:name="_Toc352234365"/>
      <w:bookmarkStart w:id="1184" w:name="Srv_37CoreInfraServerSuiteData"/>
      <w:bookmarkEnd w:id="1181"/>
      <w:r w:rsidRPr="00416070">
        <w:rPr>
          <w:rFonts w:ascii="Tahoma" w:hAnsi="Tahoma"/>
          <w:caps/>
          <w:color w:val="F66400"/>
          <w:sz w:val="22"/>
          <w:vertAlign w:val="superscript"/>
        </w:rPr>
        <w:t>39</w:t>
      </w:r>
      <w:r w:rsidRPr="00416070">
        <w:rPr>
          <w:rFonts w:ascii="Tahoma" w:hAnsi="Tahoma"/>
          <w:color w:val="F66400"/>
          <w:sz w:val="22"/>
        </w:rPr>
        <w:t xml:space="preserve"> Core Infrastructure Server Suite Datacenter</w:t>
      </w:r>
      <w:bookmarkEnd w:id="1180"/>
      <w:bookmarkEnd w:id="1182"/>
      <w:bookmarkEnd w:id="1183"/>
    </w:p>
    <w:bookmarkEnd w:id="1184"/>
    <w:p w:rsidR="00B947E4" w:rsidRPr="006301EB" w:rsidRDefault="00B947E4" w:rsidP="00B947E4">
      <w:pPr>
        <w:rPr>
          <w:lang w:val="pt-BR"/>
        </w:rPr>
      </w:pPr>
    </w:p>
    <w:p w:rsidR="004D776B" w:rsidRPr="006301EB" w:rsidRDefault="004D776B" w:rsidP="00A66BD2">
      <w:pPr>
        <w:spacing w:after="60"/>
        <w:ind w:left="720"/>
        <w:rPr>
          <w:lang w:val="pt-BR"/>
        </w:rPr>
      </w:pPr>
      <w:r w:rsidRPr="006301EB">
        <w:rPr>
          <w:rFonts w:eastAsia="Calibri" w:cs="Tahoma"/>
          <w:b/>
          <w:szCs w:val="18"/>
          <w:lang w:val="pt-BR"/>
        </w:rPr>
        <w:t>Migração para Nova Metodologia de Licenciamento</w:t>
      </w:r>
    </w:p>
    <w:p w:rsidR="004D776B" w:rsidRPr="006301EB" w:rsidRDefault="004D776B" w:rsidP="00A66BD2">
      <w:pPr>
        <w:ind w:left="720"/>
        <w:rPr>
          <w:lang w:val="pt-BR"/>
        </w:rPr>
      </w:pPr>
      <w:r w:rsidRPr="006301EB">
        <w:rPr>
          <w:rFonts w:eastAsia="Calibri" w:cs="Tahoma"/>
          <w:szCs w:val="18"/>
          <w:lang w:val="pt-BR"/>
        </w:rPr>
        <w:t>A partir de 1</w:t>
      </w:r>
      <w:r w:rsidRPr="006301EB">
        <w:rPr>
          <w:rFonts w:eastAsia="Calibri" w:cs="Tahoma"/>
          <w:szCs w:val="18"/>
          <w:vertAlign w:val="superscript"/>
          <w:lang w:val="pt-BR"/>
        </w:rPr>
        <w:t>º</w:t>
      </w:r>
      <w:r w:rsidRPr="006301EB">
        <w:rPr>
          <w:rFonts w:eastAsia="Calibri" w:cs="Tahoma"/>
          <w:szCs w:val="18"/>
          <w:lang w:val="pt-BR"/>
        </w:rPr>
        <w:t xml:space="preserve"> de abril de 2012, o modelo de licenciamento foi alterado. As licenças adquiridas sob novos registros em vigor a partir de 1</w:t>
      </w:r>
      <w:r w:rsidRPr="006301EB">
        <w:rPr>
          <w:rFonts w:eastAsia="Calibri" w:cs="Tahoma"/>
          <w:szCs w:val="18"/>
          <w:vertAlign w:val="superscript"/>
          <w:lang w:val="pt-BR"/>
        </w:rPr>
        <w:t>º</w:t>
      </w:r>
      <w:r w:rsidRPr="006301EB">
        <w:rPr>
          <w:rFonts w:eastAsia="Calibri" w:cs="Tahoma"/>
          <w:szCs w:val="18"/>
          <w:lang w:val="pt-BR"/>
        </w:rPr>
        <w:t xml:space="preserve"> de abril de 2012 podem licenciar até dois processadores físicos.</w:t>
      </w:r>
    </w:p>
    <w:p w:rsidR="00A66BD2" w:rsidRPr="006301EB" w:rsidRDefault="00A66BD2" w:rsidP="00A66BD2">
      <w:pPr>
        <w:ind w:left="720"/>
        <w:rPr>
          <w:lang w:val="pt-BR"/>
        </w:rPr>
      </w:pPr>
    </w:p>
    <w:p w:rsidR="004D776B" w:rsidRPr="006301EB" w:rsidRDefault="004D776B" w:rsidP="00A66BD2">
      <w:pPr>
        <w:ind w:left="720"/>
        <w:rPr>
          <w:lang w:val="pt-BR"/>
        </w:rPr>
      </w:pPr>
      <w:r w:rsidRPr="006301EB">
        <w:rPr>
          <w:rFonts w:eastAsia="Calibri" w:cs="Tahoma"/>
          <w:szCs w:val="18"/>
          <w:lang w:val="pt-BR"/>
        </w:rPr>
        <w:t xml:space="preserve">Os clientes sob registros existentes a partir de </w:t>
      </w:r>
      <w:r w:rsidR="00D52BBD" w:rsidRPr="006301EB">
        <w:rPr>
          <w:rFonts w:eastAsia="Calibri" w:cs="Tahoma"/>
          <w:szCs w:val="18"/>
          <w:lang w:val="pt-BR"/>
        </w:rPr>
        <w:t>1</w:t>
      </w:r>
      <w:r w:rsidR="00D52BBD" w:rsidRPr="006301EB">
        <w:rPr>
          <w:rFonts w:eastAsia="Calibri" w:cs="Tahoma"/>
          <w:szCs w:val="18"/>
          <w:vertAlign w:val="superscript"/>
          <w:lang w:val="pt-BR"/>
        </w:rPr>
        <w:t>º</w:t>
      </w:r>
      <w:r w:rsidRPr="006301EB">
        <w:rPr>
          <w:rFonts w:eastAsia="Calibri" w:cs="Tahoma"/>
          <w:szCs w:val="18"/>
          <w:lang w:val="pt-BR"/>
        </w:rPr>
        <w:t xml:space="preserve"> de abril de 2012 (em vigor ou antes de 1</w:t>
      </w:r>
      <w:r w:rsidRPr="006301EB">
        <w:rPr>
          <w:rFonts w:eastAsia="Calibri" w:cs="Tahoma"/>
          <w:szCs w:val="18"/>
          <w:vertAlign w:val="superscript"/>
          <w:lang w:val="pt-BR"/>
        </w:rPr>
        <w:t>º</w:t>
      </w:r>
      <w:r w:rsidRPr="006301EB">
        <w:rPr>
          <w:rFonts w:eastAsia="Calibri" w:cs="Tahoma"/>
          <w:szCs w:val="18"/>
          <w:lang w:val="pt-BR"/>
        </w:rPr>
        <w:t xml:space="preserve"> de abril de</w:t>
      </w:r>
      <w:r w:rsidR="00397ADC" w:rsidRPr="006301EB">
        <w:rPr>
          <w:rFonts w:eastAsia="Calibri" w:cs="Tahoma"/>
          <w:szCs w:val="18"/>
          <w:lang w:val="pt-BR"/>
        </w:rPr>
        <w:t> </w:t>
      </w:r>
      <w:r w:rsidRPr="006301EB">
        <w:rPr>
          <w:rFonts w:eastAsia="Calibri" w:cs="Tahoma"/>
          <w:szCs w:val="18"/>
          <w:lang w:val="pt-BR"/>
        </w:rPr>
        <w:t>2012) podem continuar a fazer adequações (“true-up”) de licenças sob o modelo antigo sob o qual cada</w:t>
      </w:r>
      <w:r w:rsidR="00397ADC" w:rsidRPr="006301EB">
        <w:rPr>
          <w:rFonts w:eastAsia="Calibri" w:cs="Tahoma"/>
          <w:szCs w:val="18"/>
          <w:lang w:val="pt-BR"/>
        </w:rPr>
        <w:t> </w:t>
      </w:r>
      <w:r w:rsidRPr="006301EB">
        <w:rPr>
          <w:rFonts w:eastAsia="Calibri" w:cs="Tahoma"/>
          <w:szCs w:val="18"/>
          <w:lang w:val="pt-BR"/>
        </w:rPr>
        <w:t>licença pode licenciar apenas um processador. Os direitos de migração a seguir se aplicam a licenças</w:t>
      </w:r>
      <w:r w:rsidR="00397ADC" w:rsidRPr="006301EB">
        <w:rPr>
          <w:rFonts w:eastAsia="Calibri" w:cs="Tahoma"/>
          <w:szCs w:val="18"/>
          <w:lang w:val="pt-BR"/>
        </w:rPr>
        <w:t> </w:t>
      </w:r>
      <w:r w:rsidRPr="006301EB">
        <w:rPr>
          <w:rFonts w:eastAsia="Calibri" w:cs="Tahoma"/>
          <w:szCs w:val="18"/>
          <w:lang w:val="pt-BR"/>
        </w:rPr>
        <w:t>para esses clientes:</w:t>
      </w:r>
    </w:p>
    <w:p w:rsidR="00A66BD2" w:rsidRPr="006301EB" w:rsidRDefault="00A66BD2" w:rsidP="00A66BD2">
      <w:pPr>
        <w:ind w:left="720"/>
        <w:rPr>
          <w:lang w:val="pt-BR"/>
        </w:rPr>
      </w:pPr>
    </w:p>
    <w:p w:rsidR="004D776B" w:rsidRPr="009D57D2" w:rsidRDefault="004D776B" w:rsidP="00A66BD2">
      <w:pPr>
        <w:pStyle w:val="ListParagraph"/>
        <w:contextualSpacing w:val="0"/>
        <w:rPr>
          <w:rFonts w:ascii="Tahoma" w:hAnsi="Tahoma" w:cs="Tahoma"/>
          <w:sz w:val="18"/>
          <w:szCs w:val="18"/>
        </w:rPr>
      </w:pPr>
      <w:r w:rsidRPr="009D57D2">
        <w:rPr>
          <w:rFonts w:ascii="Tahoma" w:eastAsia="Calibri" w:hAnsi="Tahoma" w:cs="Tahoma"/>
          <w:sz w:val="18"/>
          <w:szCs w:val="18"/>
        </w:rPr>
        <w:lastRenderedPageBreak/>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rsidR="00857EF7" w:rsidRPr="006301EB" w:rsidRDefault="00857EF7" w:rsidP="00A66BD2">
      <w:pPr>
        <w:ind w:left="720"/>
        <w:rPr>
          <w:lang w:val="pt-BR"/>
        </w:rPr>
      </w:pPr>
    </w:p>
    <w:p w:rsidR="004D776B" w:rsidRPr="006301EB" w:rsidRDefault="004D776B" w:rsidP="00857EF7">
      <w:pPr>
        <w:spacing w:after="60"/>
        <w:ind w:left="720"/>
        <w:rPr>
          <w:lang w:val="pt-BR"/>
        </w:rPr>
      </w:pPr>
      <w:r w:rsidRPr="006301EB">
        <w:rPr>
          <w:rFonts w:eastAsia="Calibri" w:cs="Tahoma"/>
          <w:b/>
          <w:szCs w:val="18"/>
          <w:lang w:val="pt-BR"/>
        </w:rPr>
        <w:t>Liberação da Nova Versão do Windows Server</w:t>
      </w:r>
    </w:p>
    <w:p w:rsidR="004D776B" w:rsidRPr="006301EB" w:rsidRDefault="004D776B" w:rsidP="00A66BD2">
      <w:pPr>
        <w:ind w:left="720"/>
        <w:rPr>
          <w:lang w:val="pt-BR"/>
        </w:rPr>
      </w:pPr>
      <w:r w:rsidRPr="006301EB">
        <w:rPr>
          <w:rFonts w:eastAsia="Calibri" w:cs="Tahoma"/>
          <w:szCs w:val="18"/>
          <w:lang w:val="pt-BR"/>
        </w:rPr>
        <w:t>Os clientes licenciados para o Core Infrastructure Server Suite Datacenter com Software Assurance ativo a</w:t>
      </w:r>
      <w:r w:rsidR="00397ADC" w:rsidRPr="006301EB">
        <w:rPr>
          <w:rFonts w:eastAsia="Calibri" w:cs="Tahoma"/>
          <w:szCs w:val="18"/>
          <w:lang w:val="pt-BR"/>
        </w:rPr>
        <w:t> </w:t>
      </w:r>
      <w:r w:rsidRPr="006301EB">
        <w:rPr>
          <w:rFonts w:eastAsia="Calibri" w:cs="Tahoma"/>
          <w:szCs w:val="18"/>
          <w:lang w:val="pt-BR"/>
        </w:rPr>
        <w:t>partir de 1</w:t>
      </w:r>
      <w:r w:rsidRPr="006301EB">
        <w:rPr>
          <w:rFonts w:eastAsia="Calibri" w:cs="Tahoma"/>
          <w:szCs w:val="18"/>
          <w:vertAlign w:val="superscript"/>
          <w:lang w:val="pt-BR"/>
        </w:rPr>
        <w:t>º</w:t>
      </w:r>
      <w:r w:rsidRPr="006301EB">
        <w:rPr>
          <w:rFonts w:eastAsia="Calibri" w:cs="Tahoma"/>
          <w:szCs w:val="18"/>
          <w:lang w:val="pt-BR"/>
        </w:rPr>
        <w:t xml:space="preserve"> de setembro de 2012 têm os direitos de uso dos seguintes produtos sujeitos aos direitos de</w:t>
      </w:r>
      <w:r w:rsidR="00397ADC" w:rsidRPr="006301EB">
        <w:rPr>
          <w:rFonts w:eastAsia="Calibri" w:cs="Tahoma"/>
          <w:szCs w:val="18"/>
          <w:lang w:val="pt-BR"/>
        </w:rPr>
        <w:t> </w:t>
      </w:r>
      <w:r w:rsidRPr="006301EB">
        <w:rPr>
          <w:rFonts w:eastAsia="Calibri" w:cs="Tahoma"/>
          <w:szCs w:val="18"/>
          <w:lang w:val="pt-BR"/>
        </w:rPr>
        <w:t>uso de produto desses produtos e do Core Infrastructure Server Suite Datacenter:</w:t>
      </w:r>
    </w:p>
    <w:p w:rsidR="00857EF7" w:rsidRPr="006301EB" w:rsidRDefault="00857EF7" w:rsidP="00A66BD2">
      <w:pPr>
        <w:ind w:left="720"/>
        <w:rPr>
          <w:lang w:val="pt-BR"/>
        </w:rPr>
      </w:pPr>
    </w:p>
    <w:p w:rsidR="004D776B" w:rsidRPr="00416070" w:rsidRDefault="004D776B" w:rsidP="00857EF7">
      <w:pPr>
        <w:numPr>
          <w:ilvl w:val="0"/>
          <w:numId w:val="141"/>
        </w:numPr>
        <w:spacing w:after="60"/>
        <w:ind w:left="1440"/>
      </w:pPr>
      <w:r w:rsidRPr="00416070">
        <w:rPr>
          <w:rFonts w:eastAsia="Calibri" w:cs="Tahoma"/>
          <w:szCs w:val="18"/>
        </w:rPr>
        <w:t>Windows Server 2012 Datacenter</w:t>
      </w:r>
    </w:p>
    <w:p w:rsidR="004D776B" w:rsidRPr="00416070" w:rsidRDefault="004D776B" w:rsidP="00857EF7">
      <w:pPr>
        <w:numPr>
          <w:ilvl w:val="0"/>
          <w:numId w:val="141"/>
        </w:numPr>
        <w:spacing w:after="60"/>
        <w:ind w:left="1440"/>
      </w:pPr>
      <w:r w:rsidRPr="00416070">
        <w:rPr>
          <w:rFonts w:eastAsia="Calibri" w:cs="Tahoma"/>
          <w:szCs w:val="18"/>
        </w:rPr>
        <w:t>System Center 2012 Datacenter</w:t>
      </w:r>
    </w:p>
    <w:p w:rsidR="00857EF7" w:rsidRPr="00416070" w:rsidRDefault="00857EF7" w:rsidP="00857EF7"/>
    <w:p w:rsidR="004D776B" w:rsidRPr="006301EB" w:rsidRDefault="004D776B" w:rsidP="00857EF7">
      <w:pPr>
        <w:spacing w:after="60"/>
        <w:ind w:left="720"/>
        <w:rPr>
          <w:lang w:val="pt-BR"/>
        </w:rPr>
      </w:pPr>
      <w:r w:rsidRPr="006301EB">
        <w:rPr>
          <w:rFonts w:eastAsia="Calibri" w:cs="Tahoma"/>
          <w:b/>
          <w:szCs w:val="18"/>
          <w:lang w:val="pt-BR"/>
        </w:rPr>
        <w:t>Oferta de Renovação de Software Assurance para Clientes do Windows Server Datacenter e</w:t>
      </w:r>
      <w:r w:rsidR="00397ADC" w:rsidRPr="006301EB">
        <w:rPr>
          <w:rFonts w:eastAsia="Calibri" w:cs="Tahoma"/>
          <w:szCs w:val="18"/>
          <w:lang w:val="pt-BR"/>
        </w:rPr>
        <w:t> </w:t>
      </w:r>
      <w:r w:rsidRPr="006301EB">
        <w:rPr>
          <w:rFonts w:eastAsia="Calibri" w:cs="Tahoma"/>
          <w:b/>
          <w:szCs w:val="18"/>
          <w:lang w:val="pt-BR"/>
        </w:rPr>
        <w:t>System Center Datacenter</w:t>
      </w:r>
    </w:p>
    <w:p w:rsidR="004D776B" w:rsidRPr="006301EB" w:rsidRDefault="004D776B" w:rsidP="00A66BD2">
      <w:pPr>
        <w:ind w:left="720"/>
        <w:rPr>
          <w:lang w:val="pt-BR"/>
        </w:rPr>
      </w:pPr>
      <w:r w:rsidRPr="006301EB">
        <w:rPr>
          <w:rFonts w:eastAsia="Calibri" w:cs="Tahoma"/>
          <w:szCs w:val="18"/>
          <w:lang w:val="pt-BR"/>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rsidR="00857EF7" w:rsidRPr="006301EB" w:rsidRDefault="00857EF7" w:rsidP="00A66BD2">
      <w:pPr>
        <w:ind w:left="720"/>
        <w:rPr>
          <w:lang w:val="pt-B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416070"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416070" w:rsidRDefault="004D776B" w:rsidP="00026546">
            <w:pPr>
              <w:keepNext/>
              <w:tabs>
                <w:tab w:val="left" w:pos="3120"/>
                <w:tab w:val="center" w:pos="3591"/>
              </w:tabs>
              <w:spacing w:before="120" w:after="120" w:line="276" w:lineRule="auto"/>
              <w:jc w:val="center"/>
              <w:rPr>
                <w:rFonts w:eastAsia="Calibri" w:cs="Tahoma"/>
                <w:b/>
                <w:szCs w:val="18"/>
              </w:rPr>
            </w:pPr>
            <w:r w:rsidRPr="00416070">
              <w:rPr>
                <w:rFonts w:eastAsia="Calibri" w:cs="Tahoma"/>
                <w:b/>
                <w:szCs w:val="18"/>
              </w:rPr>
              <w:t>Tabela C</w:t>
            </w:r>
          </w:p>
        </w:tc>
      </w:tr>
      <w:tr w:rsidR="004D776B" w:rsidRPr="00416070"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16070" w:rsidRDefault="004D776B" w:rsidP="00026546">
            <w:pPr>
              <w:keepNext/>
              <w:tabs>
                <w:tab w:val="left" w:pos="3120"/>
                <w:tab w:val="center" w:pos="3591"/>
              </w:tabs>
              <w:spacing w:before="120" w:after="120" w:line="276" w:lineRule="auto"/>
              <w:jc w:val="center"/>
              <w:rPr>
                <w:rFonts w:eastAsia="Calibri" w:cs="Tahoma"/>
                <w:b/>
                <w:szCs w:val="18"/>
              </w:rPr>
            </w:pPr>
            <w:r w:rsidRPr="00416070">
              <w:rPr>
                <w:rFonts w:eastAsia="Calibri" w:cs="Tahoma"/>
                <w:b/>
                <w:szCs w:val="18"/>
              </w:rPr>
              <w:t>Windows Server Datacenter</w:t>
            </w:r>
          </w:p>
        </w:tc>
      </w:tr>
      <w:tr w:rsidR="004D776B" w:rsidRPr="00416070"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16070" w:rsidRDefault="004D776B" w:rsidP="00026546">
            <w:pPr>
              <w:keepNext/>
              <w:tabs>
                <w:tab w:val="left" w:pos="3120"/>
                <w:tab w:val="center" w:pos="3591"/>
              </w:tabs>
              <w:spacing w:before="120" w:after="120" w:line="276" w:lineRule="auto"/>
              <w:jc w:val="center"/>
              <w:rPr>
                <w:rFonts w:eastAsia="Calibri" w:cs="Tahoma"/>
                <w:b/>
                <w:szCs w:val="18"/>
              </w:rPr>
            </w:pPr>
            <w:r w:rsidRPr="00416070">
              <w:rPr>
                <w:rFonts w:eastAsia="Calibri" w:cs="Tahoma"/>
                <w:b/>
                <w:szCs w:val="18"/>
              </w:rPr>
              <w:t>System Center Datacenter</w:t>
            </w:r>
          </w:p>
        </w:tc>
      </w:tr>
    </w:tbl>
    <w:p w:rsidR="00416294" w:rsidRPr="00416070" w:rsidRDefault="00416294" w:rsidP="00416294">
      <w:pPr>
        <w:ind w:left="547"/>
      </w:pPr>
    </w:p>
    <w:p w:rsidR="004D776B" w:rsidRPr="006301EB" w:rsidRDefault="004D776B" w:rsidP="001154B5">
      <w:pPr>
        <w:ind w:left="720"/>
        <w:rPr>
          <w:lang w:val="pt-BR"/>
        </w:rPr>
      </w:pPr>
      <w:r w:rsidRPr="006301EB">
        <w:rPr>
          <w:rFonts w:eastAsia="Calibri" w:cs="Tahoma"/>
          <w:color w:val="000000"/>
          <w:szCs w:val="18"/>
          <w:lang w:val="pt-BR"/>
        </w:rPr>
        <w:t>Para cada conjunto composto de uma licença qualificada do Windows Server Datacenter e uma licença qualificada do System Center Datacenter, os clientes poderão adquirir o Software Assurance para uma licença de Core Infrastructure Server Suite Datacenter. Os clientes que licenciam e usam o Core Infrastructure Server Suite Datacenter sob esta oferta não poderão mais usar o software sob as licenças qualificadas. As Licenças e o Software Assurance adquiridos sob um contrato de assinatura não estão qualificados para essa oferta.</w:t>
      </w:r>
    </w:p>
    <w:p w:rsidR="00973A93" w:rsidRPr="006301EB" w:rsidRDefault="00973A93" w:rsidP="0050116B">
      <w:pPr>
        <w:ind w:left="540"/>
        <w:rPr>
          <w:lang w:val="pt-BR"/>
        </w:rPr>
      </w:pPr>
    </w:p>
    <w:p w:rsidR="004D776B" w:rsidRPr="006301EB" w:rsidRDefault="004D776B" w:rsidP="00857EF7">
      <w:pPr>
        <w:spacing w:after="60"/>
        <w:ind w:left="720"/>
        <w:rPr>
          <w:lang w:val="pt-BR"/>
        </w:rPr>
      </w:pPr>
      <w:r w:rsidRPr="006301EB">
        <w:rPr>
          <w:rFonts w:eastAsia="Calibri" w:cs="Tahoma"/>
          <w:b/>
          <w:szCs w:val="18"/>
          <w:lang w:val="pt-BR"/>
        </w:rPr>
        <w:t>Step-up do Windows Server Datacenter ou System Center Datacenter para o Core Infrastructure Server Suite Datacenter</w:t>
      </w:r>
    </w:p>
    <w:p w:rsidR="004D776B" w:rsidRPr="006301EB" w:rsidRDefault="004D776B" w:rsidP="009D57D2">
      <w:pPr>
        <w:ind w:left="720"/>
        <w:rPr>
          <w:lang w:val="pt-BR"/>
        </w:rPr>
      </w:pPr>
      <w:r w:rsidRPr="006301EB">
        <w:rPr>
          <w:rFonts w:eastAsia="Calibri" w:cs="Tahoma"/>
          <w:szCs w:val="18"/>
          <w:lang w:val="pt-BR"/>
        </w:rPr>
        <w:t>Os clientes podem fazer step-up do Windows Server Datacenter ou System Center Datacenter para o</w:t>
      </w:r>
      <w:r w:rsidR="009D57D2" w:rsidRPr="006301EB">
        <w:rPr>
          <w:rFonts w:eastAsia="Calibri" w:cs="Tahoma"/>
          <w:szCs w:val="18"/>
          <w:lang w:val="pt-BR"/>
        </w:rPr>
        <w:t> </w:t>
      </w:r>
      <w:r w:rsidRPr="006301EB">
        <w:rPr>
          <w:rFonts w:eastAsia="Calibri" w:cs="Tahoma"/>
          <w:szCs w:val="18"/>
          <w:lang w:val="pt-BR"/>
        </w:rPr>
        <w:t>Core</w:t>
      </w:r>
      <w:r w:rsidR="009D57D2" w:rsidRPr="006301EB">
        <w:rPr>
          <w:rFonts w:eastAsia="Calibri" w:cs="Tahoma"/>
          <w:szCs w:val="18"/>
          <w:lang w:val="pt-BR"/>
        </w:rPr>
        <w:t> </w:t>
      </w:r>
      <w:r w:rsidRPr="006301EB">
        <w:rPr>
          <w:rFonts w:eastAsia="Calibri" w:cs="Tahoma"/>
          <w:szCs w:val="18"/>
          <w:lang w:val="pt-BR"/>
        </w:rPr>
        <w:t>Infrastructure Server Suite Datacenter pela aquisição da licença de Step-up adequada do Core Infrastructure Server Suite Datacenter.</w:t>
      </w:r>
      <w:r w:rsidR="00FB5496" w:rsidRPr="006301EB">
        <w:rPr>
          <w:rFonts w:eastAsia="Calibri" w:cs="Tahoma"/>
          <w:szCs w:val="18"/>
          <w:lang w:val="pt-BR"/>
        </w:rPr>
        <w:t xml:space="preserve"> </w:t>
      </w:r>
      <w:r w:rsidRPr="006301EB">
        <w:rPr>
          <w:rFonts w:eastAsia="Calibri" w:cs="Tahoma"/>
          <w:szCs w:val="18"/>
          <w:lang w:val="pt-BR"/>
        </w:rPr>
        <w:t>Os clientes devem ter o Software Assurance ativo para a licença do</w:t>
      </w:r>
      <w:r w:rsidR="009D57D2" w:rsidRPr="006301EB">
        <w:rPr>
          <w:rFonts w:eastAsia="Calibri" w:cs="Tahoma"/>
          <w:szCs w:val="18"/>
          <w:lang w:val="pt-BR"/>
        </w:rPr>
        <w:t> </w:t>
      </w:r>
      <w:r w:rsidRPr="006301EB">
        <w:rPr>
          <w:rFonts w:eastAsia="Calibri" w:cs="Tahoma"/>
          <w:szCs w:val="18"/>
          <w:lang w:val="pt-BR"/>
        </w:rPr>
        <w:t>Windows Server Datacenter ou System Center Datacenter para ad</w:t>
      </w:r>
      <w:r w:rsidR="009D57D2" w:rsidRPr="006301EB">
        <w:rPr>
          <w:rFonts w:eastAsia="Calibri" w:cs="Tahoma"/>
          <w:szCs w:val="18"/>
          <w:lang w:val="pt-BR"/>
        </w:rPr>
        <w:t>quirir essa licença de Step-up.</w:t>
      </w:r>
    </w:p>
    <w:p w:rsidR="00857EF7" w:rsidRPr="006301EB" w:rsidRDefault="00857EF7" w:rsidP="00857EF7">
      <w:pPr>
        <w:ind w:left="720"/>
        <w:rPr>
          <w:lang w:val="pt-BR"/>
        </w:rPr>
      </w:pPr>
    </w:p>
    <w:p w:rsidR="004D776B" w:rsidRPr="006301EB" w:rsidRDefault="004D776B" w:rsidP="00857EF7">
      <w:pPr>
        <w:ind w:left="720"/>
        <w:rPr>
          <w:lang w:val="pt-BR"/>
        </w:rPr>
      </w:pPr>
      <w:r w:rsidRPr="006301EB">
        <w:rPr>
          <w:rFonts w:eastAsia="Calibri" w:cs="Tahoma"/>
          <w:szCs w:val="18"/>
          <w:lang w:val="pt-BR"/>
        </w:rPr>
        <w:t>Para cada licença qualificada do Windows Server Datacenter que o cliente tiver, ele poderá adquirir uma licença de Step-up do Core Infrastructure Server Suite Datacenter.</w:t>
      </w:r>
    </w:p>
    <w:p w:rsidR="00857EF7" w:rsidRPr="006301EB" w:rsidRDefault="00857EF7" w:rsidP="00857EF7">
      <w:pPr>
        <w:ind w:left="720"/>
        <w:rPr>
          <w:lang w:val="pt-BR"/>
        </w:rPr>
      </w:pPr>
    </w:p>
    <w:p w:rsidR="00397ADC" w:rsidRPr="006301EB" w:rsidRDefault="00397ADC" w:rsidP="00857EF7">
      <w:pPr>
        <w:ind w:left="720"/>
        <w:rPr>
          <w:lang w:val="pt-BR"/>
        </w:rPr>
      </w:pPr>
    </w:p>
    <w:p w:rsidR="004D776B" w:rsidRPr="006301EB" w:rsidRDefault="004D776B" w:rsidP="00857EF7">
      <w:pPr>
        <w:ind w:left="720"/>
        <w:rPr>
          <w:lang w:val="pt-BR"/>
        </w:rPr>
      </w:pPr>
      <w:r w:rsidRPr="006301EB">
        <w:rPr>
          <w:rFonts w:eastAsia="Calibri" w:cs="Tahoma"/>
          <w:szCs w:val="18"/>
          <w:lang w:val="pt-BR"/>
        </w:rPr>
        <w:t>Para cada licença qualificada do Systems Center Datacenter que o cliente tiver, ele poderá adquirir uma licença de Step-up do Core Infrastructure Server Suite Datacenter.</w:t>
      </w:r>
    </w:p>
    <w:p w:rsidR="00857EF7" w:rsidRPr="006301EB" w:rsidRDefault="00857EF7" w:rsidP="00857EF7">
      <w:pPr>
        <w:ind w:left="720"/>
        <w:rPr>
          <w:lang w:val="pt-BR"/>
        </w:rPr>
      </w:pPr>
    </w:p>
    <w:p w:rsidR="004D776B" w:rsidRPr="006301EB" w:rsidRDefault="004D776B" w:rsidP="00857EF7">
      <w:pPr>
        <w:ind w:left="720"/>
        <w:rPr>
          <w:lang w:val="pt-BR"/>
        </w:rPr>
      </w:pPr>
      <w:r w:rsidRPr="006301EB">
        <w:rPr>
          <w:rFonts w:eastAsia="Calibri" w:cs="Tahoma"/>
          <w:szCs w:val="18"/>
          <w:lang w:val="pt-BR"/>
        </w:rPr>
        <w:t>O direito de uso do software pelos clientes sob a licença do Core Infrastructure Server Suite Datacenter está condicionado ao cumprimento pelos clientes de qualquer obrigação de pagamento remanescente da licença do produto qualificado.</w:t>
      </w:r>
      <w:r w:rsidR="00FB5496" w:rsidRPr="006301EB">
        <w:rPr>
          <w:rFonts w:eastAsia="Calibri" w:cs="Tahoma"/>
          <w:szCs w:val="18"/>
          <w:lang w:val="pt-BR"/>
        </w:rPr>
        <w:t xml:space="preserve"> </w:t>
      </w:r>
      <w:r w:rsidRPr="006301EB">
        <w:rPr>
          <w:rFonts w:eastAsia="Calibri" w:cs="Tahoma"/>
          <w:szCs w:val="18"/>
          <w:lang w:val="pt-BR"/>
        </w:rPr>
        <w:t>A licença do Core Infrastructure Server Suite Datacenter dos clientes suplanta e substitui a licença básica do produto qualificado.</w:t>
      </w:r>
    </w:p>
    <w:p w:rsidR="00857EF7" w:rsidRPr="006301EB" w:rsidRDefault="00857EF7" w:rsidP="00857EF7">
      <w:pPr>
        <w:ind w:left="720"/>
        <w:rPr>
          <w:lang w:val="pt-BR"/>
        </w:rPr>
      </w:pPr>
    </w:p>
    <w:p w:rsidR="009D57D2" w:rsidRPr="006301EB" w:rsidRDefault="009D57D2" w:rsidP="00857EF7">
      <w:pPr>
        <w:ind w:left="720"/>
        <w:rPr>
          <w:lang w:val="pt-BR"/>
        </w:rPr>
      </w:pPr>
    </w:p>
    <w:p w:rsidR="009D57D2" w:rsidRPr="006301EB" w:rsidRDefault="009D57D2" w:rsidP="00857EF7">
      <w:pPr>
        <w:ind w:left="720"/>
        <w:rPr>
          <w:lang w:val="pt-BR"/>
        </w:rPr>
      </w:pPr>
    </w:p>
    <w:p w:rsidR="009D57D2" w:rsidRPr="006301EB" w:rsidRDefault="009D57D2" w:rsidP="00857EF7">
      <w:pPr>
        <w:ind w:left="720"/>
        <w:rPr>
          <w:lang w:val="pt-BR"/>
        </w:rPr>
      </w:pPr>
    </w:p>
    <w:p w:rsidR="009D57D2" w:rsidRPr="006301EB" w:rsidRDefault="009D57D2" w:rsidP="00857EF7">
      <w:pPr>
        <w:ind w:left="720"/>
        <w:rPr>
          <w:lang w:val="pt-B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416070" w:rsidTr="00C066F9">
        <w:trPr>
          <w:tblHeader/>
        </w:trPr>
        <w:tc>
          <w:tcPr>
            <w:tcW w:w="3870" w:type="dxa"/>
            <w:shd w:val="clear" w:color="auto" w:fill="FABF8F"/>
            <w:tcMar>
              <w:top w:w="0" w:type="dxa"/>
              <w:left w:w="108" w:type="dxa"/>
              <w:bottom w:w="0" w:type="dxa"/>
              <w:right w:w="108" w:type="dxa"/>
            </w:tcMar>
            <w:vAlign w:val="center"/>
            <w:hideMark/>
          </w:tcPr>
          <w:p w:rsidR="004D776B" w:rsidRPr="00416070" w:rsidRDefault="004D776B" w:rsidP="007E466C">
            <w:pPr>
              <w:spacing w:before="120" w:after="120" w:line="276" w:lineRule="auto"/>
              <w:jc w:val="center"/>
              <w:rPr>
                <w:rFonts w:eastAsia="Calibri" w:cs="Tahoma"/>
                <w:b/>
                <w:szCs w:val="18"/>
              </w:rPr>
            </w:pPr>
            <w:r w:rsidRPr="00416070">
              <w:rPr>
                <w:rFonts w:eastAsia="Calibri" w:cs="Tahoma"/>
                <w:b/>
                <w:szCs w:val="18"/>
              </w:rPr>
              <w:lastRenderedPageBreak/>
              <w:t>Produto Qualificado</w:t>
            </w:r>
          </w:p>
        </w:tc>
        <w:tc>
          <w:tcPr>
            <w:tcW w:w="3870" w:type="dxa"/>
            <w:shd w:val="clear" w:color="auto" w:fill="FABF8F"/>
            <w:tcMar>
              <w:top w:w="0" w:type="dxa"/>
              <w:left w:w="108" w:type="dxa"/>
              <w:bottom w:w="0" w:type="dxa"/>
              <w:right w:w="108" w:type="dxa"/>
            </w:tcMar>
            <w:vAlign w:val="center"/>
            <w:hideMark/>
          </w:tcPr>
          <w:p w:rsidR="004D776B" w:rsidRPr="00416070" w:rsidRDefault="004D776B" w:rsidP="007E466C">
            <w:pPr>
              <w:spacing w:before="120" w:after="120" w:line="276" w:lineRule="auto"/>
              <w:jc w:val="center"/>
              <w:rPr>
                <w:rFonts w:eastAsia="Calibri" w:cs="Tahoma"/>
                <w:b/>
                <w:szCs w:val="18"/>
              </w:rPr>
            </w:pPr>
            <w:r w:rsidRPr="00416070">
              <w:rPr>
                <w:rFonts w:eastAsia="Calibri" w:cs="Tahoma"/>
                <w:b/>
                <w:szCs w:val="18"/>
              </w:rPr>
              <w:t>Step-up para</w:t>
            </w:r>
          </w:p>
        </w:tc>
      </w:tr>
      <w:tr w:rsidR="004D776B" w:rsidRPr="002B5F9E" w:rsidTr="001051D1">
        <w:tc>
          <w:tcPr>
            <w:tcW w:w="3870" w:type="dxa"/>
            <w:tcMar>
              <w:top w:w="0" w:type="dxa"/>
              <w:left w:w="108" w:type="dxa"/>
              <w:bottom w:w="0" w:type="dxa"/>
              <w:right w:w="108" w:type="dxa"/>
            </w:tcMar>
            <w:hideMark/>
          </w:tcPr>
          <w:p w:rsidR="004D776B" w:rsidRPr="00416070" w:rsidRDefault="004D776B" w:rsidP="007E466C">
            <w:pPr>
              <w:spacing w:before="120" w:after="120" w:line="276" w:lineRule="auto"/>
              <w:rPr>
                <w:rFonts w:eastAsia="Calibri" w:cs="Tahoma"/>
                <w:szCs w:val="18"/>
              </w:rPr>
            </w:pPr>
            <w:r w:rsidRPr="00416070">
              <w:rPr>
                <w:rFonts w:eastAsia="Calibri" w:cs="Tahoma"/>
                <w:szCs w:val="18"/>
              </w:rPr>
              <w:t>Windows Server Datacenter</w:t>
            </w:r>
          </w:p>
        </w:tc>
        <w:tc>
          <w:tcPr>
            <w:tcW w:w="3870" w:type="dxa"/>
            <w:tcMar>
              <w:top w:w="0" w:type="dxa"/>
              <w:left w:w="108" w:type="dxa"/>
              <w:bottom w:w="0" w:type="dxa"/>
              <w:right w:w="108" w:type="dxa"/>
            </w:tcMar>
            <w:hideMark/>
          </w:tcPr>
          <w:p w:rsidR="004D776B" w:rsidRPr="00416070" w:rsidRDefault="004D776B" w:rsidP="007E466C">
            <w:pPr>
              <w:spacing w:before="120" w:after="120" w:line="276" w:lineRule="auto"/>
              <w:rPr>
                <w:rFonts w:eastAsia="Calibri" w:cs="Tahoma"/>
                <w:szCs w:val="18"/>
                <w:lang w:val="fr-FR"/>
              </w:rPr>
            </w:pPr>
            <w:r w:rsidRPr="006301EB">
              <w:rPr>
                <w:rFonts w:eastAsia="Calibri" w:cs="Tahoma"/>
                <w:szCs w:val="18"/>
                <w:lang w:val="fr-FR"/>
              </w:rPr>
              <w:t>Core Infrastructure Server Suite Datacenter</w:t>
            </w:r>
          </w:p>
        </w:tc>
      </w:tr>
      <w:tr w:rsidR="004D776B" w:rsidRPr="002B5F9E" w:rsidTr="001051D1">
        <w:tc>
          <w:tcPr>
            <w:tcW w:w="3870" w:type="dxa"/>
            <w:tcMar>
              <w:top w:w="0" w:type="dxa"/>
              <w:left w:w="108" w:type="dxa"/>
              <w:bottom w:w="0" w:type="dxa"/>
              <w:right w:w="108" w:type="dxa"/>
            </w:tcMar>
          </w:tcPr>
          <w:p w:rsidR="004D776B" w:rsidRPr="00416070" w:rsidRDefault="004D776B" w:rsidP="007E466C">
            <w:pPr>
              <w:spacing w:before="120" w:after="120" w:line="276" w:lineRule="auto"/>
              <w:rPr>
                <w:rFonts w:eastAsia="Calibri" w:cs="Tahoma"/>
                <w:szCs w:val="18"/>
              </w:rPr>
            </w:pPr>
            <w:r w:rsidRPr="00416070">
              <w:rPr>
                <w:rFonts w:eastAsia="Calibri" w:cs="Tahoma"/>
                <w:szCs w:val="18"/>
              </w:rPr>
              <w:t>System Center Datacenter</w:t>
            </w:r>
          </w:p>
        </w:tc>
        <w:tc>
          <w:tcPr>
            <w:tcW w:w="3870" w:type="dxa"/>
            <w:tcMar>
              <w:top w:w="0" w:type="dxa"/>
              <w:left w:w="108" w:type="dxa"/>
              <w:bottom w:w="0" w:type="dxa"/>
              <w:right w:w="108" w:type="dxa"/>
            </w:tcMar>
          </w:tcPr>
          <w:p w:rsidR="004D776B" w:rsidRPr="00416070" w:rsidRDefault="004D776B" w:rsidP="007E466C">
            <w:pPr>
              <w:spacing w:before="120" w:after="120" w:line="276" w:lineRule="auto"/>
              <w:rPr>
                <w:rFonts w:eastAsia="Calibri" w:cs="Tahoma"/>
                <w:szCs w:val="18"/>
                <w:lang w:val="fr-FR"/>
              </w:rPr>
            </w:pPr>
            <w:r w:rsidRPr="006301EB">
              <w:rPr>
                <w:rFonts w:eastAsia="Calibri" w:cs="Tahoma"/>
                <w:szCs w:val="18"/>
                <w:lang w:val="fr-FR"/>
              </w:rPr>
              <w:t>Core Infrastructure Server Suite Datacenter</w:t>
            </w:r>
          </w:p>
        </w:tc>
      </w:tr>
    </w:tbl>
    <w:p w:rsidR="00BC62D4" w:rsidRPr="006301EB" w:rsidRDefault="00BC62D4" w:rsidP="00857EF7">
      <w:pPr>
        <w:ind w:left="907"/>
        <w:rPr>
          <w:lang w:val="fr-FR"/>
        </w:rPr>
      </w:pPr>
      <w:bookmarkStart w:id="1185" w:name="Srv_38DynCRMWorkProEnt"/>
    </w:p>
    <w:p w:rsidR="00E03856" w:rsidRPr="006301EB" w:rsidRDefault="00E03856" w:rsidP="00857EF7">
      <w:pPr>
        <w:ind w:left="907"/>
        <w:rPr>
          <w:lang w:val="fr-FR"/>
        </w:rPr>
      </w:pPr>
    </w:p>
    <w:p w:rsidR="00652B0A" w:rsidRPr="00416070" w:rsidRDefault="00A7003F" w:rsidP="00652B0A">
      <w:pPr>
        <w:pStyle w:val="Heading3"/>
      </w:pPr>
      <w:bookmarkStart w:id="1186" w:name="_40_Dynamics_CRM"/>
      <w:bookmarkStart w:id="1187" w:name="_40_39_Dynamics"/>
      <w:bookmarkStart w:id="1188" w:name="_4240_Dynamics_CRM"/>
      <w:bookmarkStart w:id="1189" w:name="_Toc336338300"/>
      <w:bookmarkStart w:id="1190" w:name="_Toc352234366"/>
      <w:bookmarkStart w:id="1191" w:name="Srv_38DynamicsCRMOnline"/>
      <w:bookmarkStart w:id="1192" w:name="Srv_37DynamicsCRMOnline"/>
      <w:bookmarkStart w:id="1193" w:name="Srv_37EntCALSuite"/>
      <w:bookmarkEnd w:id="1174"/>
      <w:bookmarkEnd w:id="1185"/>
      <w:bookmarkEnd w:id="1186"/>
      <w:bookmarkEnd w:id="1187"/>
      <w:bookmarkEnd w:id="1188"/>
      <w:r w:rsidRPr="00416070">
        <w:rPr>
          <w:rFonts w:ascii="Tahoma" w:hAnsi="Tahoma"/>
          <w:caps/>
          <w:color w:val="F66400"/>
          <w:sz w:val="22"/>
          <w:vertAlign w:val="superscript"/>
        </w:rPr>
        <w:t>40</w:t>
      </w:r>
      <w:r w:rsidRPr="00416070">
        <w:rPr>
          <w:rFonts w:ascii="Tahoma" w:hAnsi="Tahoma"/>
          <w:color w:val="F66400"/>
          <w:sz w:val="22"/>
        </w:rPr>
        <w:t xml:space="preserve"> Dynamics CRM Online</w:t>
      </w:r>
      <w:bookmarkEnd w:id="1189"/>
      <w:bookmarkEnd w:id="1190"/>
    </w:p>
    <w:bookmarkEnd w:id="1191"/>
    <w:bookmarkEnd w:id="1192"/>
    <w:p w:rsidR="00652B0A" w:rsidRPr="00416070" w:rsidRDefault="00652B0A">
      <w:pPr>
        <w:pStyle w:val="Heading3"/>
      </w:pPr>
    </w:p>
    <w:p w:rsidR="0040633A" w:rsidRPr="006301EB" w:rsidRDefault="00857EF7" w:rsidP="001154B5">
      <w:pPr>
        <w:ind w:left="720"/>
        <w:rPr>
          <w:lang w:val="pt-BR"/>
        </w:rPr>
      </w:pPr>
      <w:r w:rsidRPr="006301EB">
        <w:rPr>
          <w:rFonts w:cs="Tahoma"/>
          <w:b/>
          <w:color w:val="000000"/>
          <w:szCs w:val="18"/>
          <w:lang w:val="pt-BR"/>
        </w:rPr>
        <w:t>Países em que o Dynamics CRM Online está Disponível</w:t>
      </w:r>
    </w:p>
    <w:p w:rsidR="00E952D9" w:rsidRPr="006301EB" w:rsidRDefault="00E952D9" w:rsidP="0040633A">
      <w:pPr>
        <w:ind w:left="540"/>
        <w:rPr>
          <w:lang w:val="pt-B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416070"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416070" w:rsidRDefault="00781A60" w:rsidP="007E466C">
            <w:pPr>
              <w:keepNext/>
              <w:jc w:val="center"/>
              <w:rPr>
                <w:rFonts w:cs="Tahoma"/>
                <w:b/>
                <w:bCs/>
                <w:szCs w:val="20"/>
              </w:rPr>
            </w:pPr>
            <w:r w:rsidRPr="00416070">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416070" w:rsidRDefault="00781A60" w:rsidP="007E466C">
            <w:pPr>
              <w:keepNext/>
              <w:jc w:val="center"/>
              <w:rPr>
                <w:rFonts w:cs="Tahoma"/>
                <w:b/>
                <w:bCs/>
                <w:szCs w:val="20"/>
              </w:rPr>
            </w:pPr>
            <w:r w:rsidRPr="00416070">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416070" w:rsidRDefault="00781A60" w:rsidP="007E466C">
            <w:pPr>
              <w:keepNext/>
              <w:jc w:val="center"/>
              <w:rPr>
                <w:rFonts w:cs="Tahoma"/>
                <w:b/>
                <w:bCs/>
                <w:szCs w:val="20"/>
              </w:rPr>
            </w:pPr>
            <w:r w:rsidRPr="00416070">
              <w:rPr>
                <w:rFonts w:cs="Tahoma"/>
                <w:b/>
                <w:bCs/>
                <w:szCs w:val="20"/>
              </w:rPr>
              <w:t>Ásia-Pacífico</w:t>
            </w:r>
          </w:p>
        </w:tc>
      </w:tr>
      <w:tr w:rsidR="00781A60" w:rsidRPr="00416070"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jc w:val="center"/>
              <w:rPr>
                <w:rFonts w:cs="Tahoma"/>
                <w:color w:val="000000"/>
                <w:szCs w:val="20"/>
              </w:rPr>
            </w:pPr>
            <w:r w:rsidRPr="00416070">
              <w:rPr>
                <w:rFonts w:cs="Arial"/>
              </w:rPr>
              <w:t>Brasil</w:t>
            </w:r>
          </w:p>
        </w:tc>
        <w:tc>
          <w:tcPr>
            <w:tcW w:w="2670" w:type="dxa"/>
            <w:tcBorders>
              <w:top w:val="nil"/>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rsidR="00781A60" w:rsidRPr="00416070" w:rsidRDefault="00781A60"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Austrália</w:t>
            </w: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jc w:val="center"/>
              <w:rPr>
                <w:rFonts w:cs="Tahoma"/>
                <w:color w:val="000000"/>
                <w:szCs w:val="20"/>
              </w:rPr>
            </w:pPr>
            <w:r w:rsidRPr="00416070">
              <w:rPr>
                <w:rFonts w:cs="Arial"/>
              </w:rPr>
              <w:t>Canadá</w:t>
            </w: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Hong Kong</w:t>
            </w: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jc w:val="center"/>
              <w:rPr>
                <w:rFonts w:cs="Tahoma"/>
                <w:color w:val="000000"/>
                <w:szCs w:val="20"/>
              </w:rPr>
            </w:pPr>
            <w:r w:rsidRPr="00416070">
              <w:rPr>
                <w:rFonts w:cs="Arial"/>
              </w:rPr>
              <w:t>Colômbia</w:t>
            </w: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Índia</w:t>
            </w: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jc w:val="center"/>
              <w:rPr>
                <w:rFonts w:cs="Arial"/>
              </w:rPr>
            </w:pPr>
            <w:r w:rsidRPr="00416070">
              <w:rPr>
                <w:rFonts w:cs="Arial"/>
              </w:rPr>
              <w:t>Costa Rica</w:t>
            </w: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Japão</w:t>
            </w:r>
          </w:p>
        </w:tc>
      </w:tr>
      <w:tr w:rsidR="00B40674"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16070" w:rsidRDefault="00B40674" w:rsidP="007E466C">
            <w:pPr>
              <w:keepNext/>
              <w:jc w:val="center"/>
              <w:rPr>
                <w:rFonts w:cs="Arial"/>
              </w:rPr>
            </w:pPr>
            <w:r w:rsidRPr="00416070">
              <w:rPr>
                <w:rFonts w:cs="Arial"/>
              </w:rPr>
              <w:t>Chile</w:t>
            </w:r>
          </w:p>
        </w:tc>
        <w:tc>
          <w:tcPr>
            <w:tcW w:w="2670" w:type="dxa"/>
            <w:tcBorders>
              <w:top w:val="single" w:sz="4" w:space="0" w:color="000000"/>
              <w:left w:val="nil"/>
              <w:bottom w:val="single" w:sz="4" w:space="0" w:color="000000"/>
              <w:right w:val="single" w:sz="4" w:space="0" w:color="auto"/>
            </w:tcBorders>
          </w:tcPr>
          <w:p w:rsidR="00B40674" w:rsidRPr="00416070" w:rsidRDefault="00B40674"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416070" w:rsidRDefault="00B40674"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Coreia</w:t>
            </w:r>
          </w:p>
        </w:tc>
      </w:tr>
      <w:tr w:rsidR="00B40674"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16070" w:rsidRDefault="00B40674" w:rsidP="007E466C">
            <w:pPr>
              <w:keepNext/>
              <w:jc w:val="center"/>
              <w:rPr>
                <w:rFonts w:cs="Arial"/>
              </w:rPr>
            </w:pPr>
            <w:r w:rsidRPr="00416070">
              <w:rPr>
                <w:rFonts w:cs="Arial"/>
              </w:rPr>
              <w:t>México</w:t>
            </w:r>
          </w:p>
        </w:tc>
        <w:tc>
          <w:tcPr>
            <w:tcW w:w="2670" w:type="dxa"/>
            <w:tcBorders>
              <w:top w:val="single" w:sz="4" w:space="0" w:color="000000"/>
              <w:left w:val="nil"/>
              <w:bottom w:val="single" w:sz="4" w:space="0" w:color="000000"/>
              <w:right w:val="single" w:sz="4" w:space="0" w:color="auto"/>
            </w:tcBorders>
          </w:tcPr>
          <w:p w:rsidR="00B40674" w:rsidRPr="00416070" w:rsidRDefault="00B40674"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rsidR="00B40674" w:rsidRPr="00416070" w:rsidRDefault="00B40674"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Malásia</w:t>
            </w:r>
          </w:p>
        </w:tc>
      </w:tr>
      <w:tr w:rsidR="00B40674"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16070" w:rsidRDefault="00B40674" w:rsidP="007E466C">
            <w:pPr>
              <w:keepNext/>
              <w:jc w:val="center"/>
              <w:rPr>
                <w:rFonts w:cs="Arial"/>
              </w:rPr>
            </w:pPr>
            <w:r w:rsidRPr="00416070">
              <w:rPr>
                <w:rFonts w:cs="Arial"/>
              </w:rPr>
              <w:t>Peru</w:t>
            </w:r>
          </w:p>
        </w:tc>
        <w:tc>
          <w:tcPr>
            <w:tcW w:w="2670" w:type="dxa"/>
            <w:tcBorders>
              <w:top w:val="single" w:sz="4" w:space="0" w:color="000000"/>
              <w:left w:val="nil"/>
              <w:bottom w:val="single" w:sz="4" w:space="0" w:color="000000"/>
              <w:right w:val="single" w:sz="4" w:space="0" w:color="auto"/>
            </w:tcBorders>
          </w:tcPr>
          <w:p w:rsidR="00B40674" w:rsidRPr="00416070" w:rsidRDefault="00B40674"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rsidR="00B40674" w:rsidRPr="00416070" w:rsidRDefault="00B40674"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Nova Zelândia</w:t>
            </w:r>
          </w:p>
        </w:tc>
      </w:tr>
      <w:tr w:rsidR="00B40674"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16070" w:rsidRDefault="00B40674" w:rsidP="007E466C">
            <w:pPr>
              <w:keepNext/>
              <w:jc w:val="center"/>
              <w:rPr>
                <w:rFonts w:cs="Arial"/>
              </w:rPr>
            </w:pPr>
            <w:r w:rsidRPr="00416070">
              <w:rPr>
                <w:rFonts w:cs="Arial"/>
              </w:rPr>
              <w:t>Porto Rico</w:t>
            </w:r>
          </w:p>
        </w:tc>
        <w:tc>
          <w:tcPr>
            <w:tcW w:w="2670" w:type="dxa"/>
            <w:tcBorders>
              <w:top w:val="single" w:sz="4" w:space="0" w:color="000000"/>
              <w:left w:val="nil"/>
              <w:bottom w:val="single" w:sz="4" w:space="0" w:color="000000"/>
              <w:right w:val="single" w:sz="4" w:space="0" w:color="auto"/>
            </w:tcBorders>
          </w:tcPr>
          <w:p w:rsidR="00B40674" w:rsidRPr="00416070" w:rsidRDefault="00B40674"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rsidR="00B40674" w:rsidRPr="00416070" w:rsidRDefault="00B40674" w:rsidP="007E466C">
            <w:pPr>
              <w:pStyle w:val="ColorfulList-Accent11"/>
              <w:keepNext/>
              <w:spacing w:line="276" w:lineRule="auto"/>
              <w:ind w:left="540"/>
              <w:jc w:val="center"/>
              <w:rPr>
                <w:rFonts w:ascii="Tahoma" w:hAnsi="Tahoma" w:cs="Tahoma"/>
                <w:color w:val="000000"/>
                <w:sz w:val="18"/>
                <w:szCs w:val="20"/>
              </w:rPr>
            </w:pPr>
            <w:r w:rsidRPr="00416070">
              <w:rPr>
                <w:rFonts w:ascii="Tahoma" w:hAnsi="Tahoma" w:cs="Tahoma"/>
                <w:color w:val="000000"/>
                <w:sz w:val="18"/>
                <w:szCs w:val="20"/>
              </w:rPr>
              <w:t>Cingapura</w:t>
            </w: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jc w:val="center"/>
              <w:rPr>
                <w:rFonts w:cs="Arial"/>
              </w:rPr>
            </w:pPr>
            <w:r w:rsidRPr="00416070">
              <w:rPr>
                <w:rFonts w:cs="Arial"/>
              </w:rPr>
              <w:t>Trinidad e Tobago</w:t>
            </w: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jc w:val="center"/>
              <w:rPr>
                <w:rFonts w:cs="Arial"/>
              </w:rPr>
            </w:pPr>
            <w:r w:rsidRPr="00416070">
              <w:rPr>
                <w:rFonts w:cs="Arial"/>
              </w:rPr>
              <w:t>Estados Unidos</w:t>
            </w: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color w:val="000000"/>
                <w:sz w:val="18"/>
                <w:szCs w:val="18"/>
              </w:rPr>
            </w:pPr>
            <w:r w:rsidRPr="00416070">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416070" w:rsidRDefault="00E822D9"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416070" w:rsidRDefault="00E822D9"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rsidR="00E822D9" w:rsidRPr="00416070"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07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070"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070" w:rsidRDefault="00781A60" w:rsidP="007E466C">
            <w:pPr>
              <w:pStyle w:val="ColorfulList-Accent11"/>
              <w:keepNext/>
              <w:spacing w:line="276" w:lineRule="auto"/>
              <w:ind w:left="0"/>
              <w:jc w:val="center"/>
              <w:rPr>
                <w:rFonts w:ascii="Tahoma" w:hAnsi="Tahoma" w:cs="Tahoma"/>
                <w:sz w:val="18"/>
                <w:szCs w:val="18"/>
              </w:rPr>
            </w:pPr>
            <w:r w:rsidRPr="00416070">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416070"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416070" w:rsidRDefault="00D47417" w:rsidP="0040633A">
      <w:pPr>
        <w:ind w:left="540"/>
      </w:pPr>
    </w:p>
    <w:p w:rsidR="0040633A" w:rsidRPr="00416070" w:rsidRDefault="0040633A" w:rsidP="00857EF7">
      <w:pPr>
        <w:spacing w:after="60"/>
        <w:ind w:left="720"/>
      </w:pPr>
      <w:r w:rsidRPr="00416070">
        <w:rPr>
          <w:rFonts w:cs="Tahoma"/>
          <w:b/>
          <w:bCs/>
          <w:color w:val="000000"/>
          <w:szCs w:val="18"/>
        </w:rPr>
        <w:t>Contrato para Campus e School</w:t>
      </w:r>
    </w:p>
    <w:p w:rsidR="00532ABF" w:rsidRPr="006301EB" w:rsidRDefault="0040633A" w:rsidP="009D57D2">
      <w:pPr>
        <w:ind w:left="720"/>
        <w:rPr>
          <w:lang w:val="pt-BR"/>
        </w:rPr>
      </w:pPr>
      <w:r w:rsidRPr="006301EB">
        <w:rPr>
          <w:rFonts w:cs="Tahoma"/>
          <w:color w:val="000000"/>
          <w:szCs w:val="18"/>
          <w:lang w:val="pt-BR"/>
        </w:rPr>
        <w:t>As licenças de assinatura do Dynamics CRM Online vendidas sob o CASA poderão ser adquiridas para toda a</w:t>
      </w:r>
      <w:r w:rsidR="009D57D2" w:rsidRPr="006301EB">
        <w:rPr>
          <w:rFonts w:cs="Tahoma"/>
          <w:color w:val="000000"/>
          <w:szCs w:val="18"/>
          <w:lang w:val="pt-BR"/>
        </w:rPr>
        <w:t> </w:t>
      </w:r>
      <w:r w:rsidRPr="006301EB">
        <w:rPr>
          <w:rFonts w:cs="Tahoma"/>
          <w:color w:val="000000"/>
          <w:szCs w:val="18"/>
          <w:lang w:val="pt-BR"/>
        </w:rPr>
        <w:t>Instituição ou não extensivas a toda a Instituição.</w:t>
      </w:r>
      <w:r w:rsidR="00FB5496" w:rsidRPr="006301EB">
        <w:rPr>
          <w:rFonts w:cs="Tahoma"/>
          <w:color w:val="000000"/>
          <w:szCs w:val="18"/>
          <w:lang w:val="pt-BR"/>
        </w:rPr>
        <w:t xml:space="preserve"> </w:t>
      </w:r>
      <w:r w:rsidRPr="006301EB">
        <w:rPr>
          <w:rFonts w:cs="Tahoma"/>
          <w:color w:val="000000"/>
          <w:szCs w:val="18"/>
          <w:lang w:val="pt-BR"/>
        </w:rPr>
        <w:t>As licenças de assinatura deverão ser licenciadas para</w:t>
      </w:r>
      <w:r w:rsidR="009D57D2" w:rsidRPr="006301EB">
        <w:rPr>
          <w:rFonts w:cs="Tahoma"/>
          <w:color w:val="000000"/>
          <w:szCs w:val="18"/>
          <w:lang w:val="pt-BR"/>
        </w:rPr>
        <w:t> </w:t>
      </w:r>
      <w:r w:rsidRPr="006301EB">
        <w:rPr>
          <w:rFonts w:cs="Tahoma"/>
          <w:color w:val="000000"/>
          <w:szCs w:val="18"/>
          <w:lang w:val="pt-BR"/>
        </w:rPr>
        <w:t>cada usuário.</w:t>
      </w:r>
      <w:r w:rsidR="00FB5496" w:rsidRPr="006301EB">
        <w:rPr>
          <w:rFonts w:cs="Tahoma"/>
          <w:color w:val="000000"/>
          <w:szCs w:val="18"/>
          <w:lang w:val="pt-BR"/>
        </w:rPr>
        <w:t xml:space="preserve"> </w:t>
      </w:r>
      <w:r w:rsidRPr="006301EB">
        <w:rPr>
          <w:rFonts w:cs="Tahoma"/>
          <w:color w:val="000000"/>
          <w:szCs w:val="18"/>
          <w:lang w:val="pt-BR"/>
        </w:rPr>
        <w:t>Caso sejam necessárias Licenças de Assinatura de Usuário adicionais para acessar o</w:t>
      </w:r>
      <w:r w:rsidR="009D57D2" w:rsidRPr="006301EB">
        <w:rPr>
          <w:rFonts w:cs="Tahoma"/>
          <w:color w:val="000000"/>
          <w:szCs w:val="18"/>
          <w:lang w:val="pt-BR"/>
        </w:rPr>
        <w:t> </w:t>
      </w:r>
      <w:r w:rsidRPr="006301EB">
        <w:rPr>
          <w:rFonts w:cs="Tahoma"/>
          <w:color w:val="000000"/>
          <w:szCs w:val="18"/>
          <w:lang w:val="pt-BR"/>
        </w:rPr>
        <w:t>Dynamics</w:t>
      </w:r>
      <w:r w:rsidR="00397ADC" w:rsidRPr="006301EB">
        <w:rPr>
          <w:rFonts w:cs="Tahoma"/>
          <w:color w:val="000000"/>
          <w:szCs w:val="18"/>
          <w:lang w:val="pt-BR"/>
        </w:rPr>
        <w:t> </w:t>
      </w:r>
      <w:r w:rsidRPr="006301EB">
        <w:rPr>
          <w:rFonts w:cs="Tahoma"/>
          <w:color w:val="000000"/>
          <w:szCs w:val="18"/>
          <w:lang w:val="pt-BR"/>
        </w:rPr>
        <w:t>CRM, um número igual de Licenças de Assina</w:t>
      </w:r>
      <w:bookmarkStart w:id="1194" w:name="Srv_41DuetEnterpriseforOfficeandSAP"/>
      <w:bookmarkStart w:id="1195" w:name="Srv_38EntCALSuite"/>
      <w:r w:rsidRPr="006301EB">
        <w:rPr>
          <w:rFonts w:cs="Tahoma"/>
          <w:color w:val="000000"/>
          <w:szCs w:val="18"/>
          <w:lang w:val="pt-BR"/>
        </w:rPr>
        <w:t>tura de Usuário deverá ser solicitado.</w:t>
      </w:r>
    </w:p>
    <w:p w:rsidR="006E28CC" w:rsidRPr="006301EB" w:rsidRDefault="006E28CC" w:rsidP="005614CA">
      <w:pPr>
        <w:ind w:left="720"/>
        <w:rPr>
          <w:lang w:val="pt-BR"/>
        </w:rPr>
      </w:pPr>
    </w:p>
    <w:p w:rsidR="006E28CC" w:rsidRPr="006301EB" w:rsidRDefault="006E28CC" w:rsidP="006D6A83">
      <w:pPr>
        <w:spacing w:after="60"/>
        <w:ind w:left="720"/>
        <w:rPr>
          <w:lang w:val="pt-BR"/>
        </w:rPr>
      </w:pPr>
      <w:r w:rsidRPr="006301EB">
        <w:rPr>
          <w:b/>
          <w:lang w:val="pt-BR"/>
        </w:rPr>
        <w:t>Microsoft Dynamics CRM Online – Concessão de Integração do Microsoft Dynamics Marketing</w:t>
      </w:r>
      <w:r w:rsidR="00397ADC" w:rsidRPr="006301EB">
        <w:rPr>
          <w:b/>
          <w:lang w:val="pt-BR"/>
        </w:rPr>
        <w:t> </w:t>
      </w:r>
      <w:r w:rsidRPr="006301EB">
        <w:rPr>
          <w:b/>
          <w:lang w:val="pt-BR"/>
        </w:rPr>
        <w:t>Online</w:t>
      </w:r>
    </w:p>
    <w:p w:rsidR="003165D6" w:rsidRPr="006301EB" w:rsidRDefault="006E28CC" w:rsidP="009B3FA2">
      <w:pPr>
        <w:ind w:left="720"/>
        <w:rPr>
          <w:lang w:val="pt-BR"/>
        </w:rPr>
      </w:pPr>
      <w:r w:rsidRPr="006301EB">
        <w:rPr>
          <w:lang w:val="pt-BR"/>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6301EB">
        <w:rPr>
          <w:bCs/>
          <w:lang w:val="pt-BR"/>
        </w:rPr>
        <w:t xml:space="preserve">MarketingPilot Connector for Microsoft Dynamics CRM </w:t>
      </w:r>
      <w:r w:rsidRPr="006301EB">
        <w:rPr>
          <w:lang w:val="pt-BR"/>
        </w:rPr>
        <w:t>apenas para os fins de sincronização de dados do cliente. Tais usuários não precisarão de uma SL de Usuário do Microsoft Dynamics CRM Online. Esta renúncia poderá ser aplicada até</w:t>
      </w:r>
      <w:r w:rsidRPr="006301EB">
        <w:rPr>
          <w:rFonts w:eastAsia="Calibri"/>
          <w:lang w:val="pt-BR"/>
        </w:rPr>
        <w:t xml:space="preserve"> </w:t>
      </w:r>
      <w:r w:rsidRPr="006301EB">
        <w:rPr>
          <w:lang w:val="pt-BR"/>
        </w:rPr>
        <w:t>30 de junho de 2014. Depois deste período, a Microsoft reserva para si o direito de exigir SLs de Usuário apropriadas.</w:t>
      </w:r>
      <w:bookmarkStart w:id="1196" w:name="Srv_45EntCALBridgeWinIntune"/>
      <w:bookmarkEnd w:id="1194"/>
    </w:p>
    <w:p w:rsidR="00162A93" w:rsidRPr="00416070" w:rsidRDefault="00A7003F" w:rsidP="00615CB9">
      <w:pPr>
        <w:pStyle w:val="Heading3"/>
        <w:ind w:left="245" w:hanging="245"/>
      </w:pPr>
      <w:bookmarkStart w:id="1197" w:name="_41_Enterprise_CAL"/>
      <w:bookmarkStart w:id="1198" w:name="_41_Bridge_do"/>
      <w:bookmarkStart w:id="1199" w:name="_Toc336338303"/>
      <w:bookmarkStart w:id="1200" w:name="_Toc352234367"/>
      <w:bookmarkEnd w:id="1197"/>
      <w:bookmarkEnd w:id="1198"/>
      <w:r w:rsidRPr="00416070">
        <w:rPr>
          <w:rFonts w:ascii="Tahoma" w:hAnsi="Tahoma" w:cs="Tahoma"/>
          <w:caps/>
          <w:color w:val="F66400"/>
          <w:sz w:val="22"/>
          <w:vertAlign w:val="superscript"/>
        </w:rPr>
        <w:lastRenderedPageBreak/>
        <w:t>41</w:t>
      </w:r>
      <w:r w:rsidR="00615CB9" w:rsidRPr="00416070">
        <w:rPr>
          <w:rFonts w:ascii="Tahoma" w:hAnsi="Tahoma"/>
          <w:color w:val="F66400"/>
          <w:sz w:val="22"/>
        </w:rPr>
        <w:t xml:space="preserve"> </w:t>
      </w:r>
      <w:r w:rsidRPr="00416070">
        <w:rPr>
          <w:rFonts w:ascii="Tahoma" w:hAnsi="Tahoma"/>
          <w:color w:val="F66400"/>
          <w:sz w:val="22"/>
        </w:rPr>
        <w:t>Bridge do Pacote de CALs Empresariais para Office 365, Bridge do Pacote de CALs Empresariais para Office 365 e Windows Intune e Bridge do Pacote de CALs Empresariais para Windows Intune</w:t>
      </w:r>
      <w:bookmarkEnd w:id="1199"/>
      <w:bookmarkEnd w:id="1200"/>
      <w:r w:rsidRPr="00416070">
        <w:rPr>
          <w:rFonts w:ascii="Tahoma" w:hAnsi="Tahoma"/>
          <w:color w:val="F66400"/>
          <w:sz w:val="22"/>
        </w:rPr>
        <w:t xml:space="preserve"> </w:t>
      </w:r>
    </w:p>
    <w:p w:rsidR="00BD2BE7" w:rsidRPr="006301EB" w:rsidRDefault="00BD2BE7" w:rsidP="0084072C">
      <w:pPr>
        <w:rPr>
          <w:lang w:val="pt-BR"/>
        </w:rPr>
      </w:pPr>
    </w:p>
    <w:bookmarkEnd w:id="1196"/>
    <w:p w:rsidR="0084072C" w:rsidRPr="006301EB" w:rsidRDefault="00162A93" w:rsidP="0084072C">
      <w:pPr>
        <w:spacing w:after="60"/>
        <w:ind w:left="720"/>
        <w:rPr>
          <w:lang w:val="pt-BR"/>
        </w:rPr>
      </w:pPr>
      <w:r w:rsidRPr="006301EB">
        <w:rPr>
          <w:rFonts w:cs="Tahoma"/>
          <w:b/>
          <w:szCs w:val="18"/>
          <w:lang w:val="pt-BR"/>
        </w:rPr>
        <w:t>Definição</w:t>
      </w:r>
    </w:p>
    <w:p w:rsidR="00162A93" w:rsidRPr="006301EB" w:rsidRDefault="00162A93" w:rsidP="0084072C">
      <w:pPr>
        <w:ind w:left="720"/>
        <w:rPr>
          <w:lang w:val="pt-BR"/>
        </w:rPr>
      </w:pPr>
      <w:r w:rsidRPr="006301EB">
        <w:rPr>
          <w:rFonts w:cs="Tahoma"/>
          <w:szCs w:val="18"/>
          <w:lang w:val="pt-BR"/>
        </w:rPr>
        <w:t>“Transição” significa a conversão de uma Licença com o Software Assurance atual para ou de uma licença de assinatura.</w:t>
      </w:r>
      <w:r w:rsidR="00FB5496" w:rsidRPr="006301EB">
        <w:rPr>
          <w:rFonts w:cs="Tahoma"/>
          <w:szCs w:val="18"/>
          <w:lang w:val="pt-BR"/>
        </w:rPr>
        <w:t xml:space="preserve"> </w:t>
      </w:r>
    </w:p>
    <w:p w:rsidR="0084072C" w:rsidRPr="006301EB" w:rsidRDefault="0084072C" w:rsidP="0084072C">
      <w:pPr>
        <w:ind w:left="720"/>
        <w:rPr>
          <w:lang w:val="pt-BR"/>
        </w:rPr>
      </w:pPr>
    </w:p>
    <w:p w:rsidR="0084072C" w:rsidRPr="006301EB" w:rsidRDefault="0084072C" w:rsidP="0084072C">
      <w:pPr>
        <w:spacing w:after="60"/>
        <w:ind w:left="720"/>
        <w:rPr>
          <w:lang w:val="pt-BR"/>
        </w:rPr>
      </w:pPr>
      <w:r w:rsidRPr="006301EB">
        <w:rPr>
          <w:rFonts w:cs="Tahoma"/>
          <w:b/>
          <w:szCs w:val="18"/>
          <w:lang w:val="pt-BR"/>
        </w:rPr>
        <w:t>Direitos de Uso Aplicáveis</w:t>
      </w:r>
    </w:p>
    <w:p w:rsidR="00162A93" w:rsidRPr="006301EB" w:rsidRDefault="00162A93" w:rsidP="0084072C">
      <w:pPr>
        <w:ind w:left="720"/>
        <w:rPr>
          <w:lang w:val="pt-BR"/>
        </w:rPr>
      </w:pPr>
      <w:r w:rsidRPr="006301EB">
        <w:rPr>
          <w:rFonts w:eastAsia="Calibri" w:cs="Tahoma"/>
          <w:szCs w:val="18"/>
          <w:lang w:val="pt-BR"/>
        </w:rPr>
        <w:t>O Bridge do Pacote de CALs é independente da versão e os Direitos de Uso de Produto são determinados pelo status da cobertura do Software Assurance sobre ele.</w:t>
      </w:r>
      <w:r w:rsidR="00FB5496" w:rsidRPr="006301EB">
        <w:rPr>
          <w:rFonts w:eastAsia="Calibri" w:cs="Tahoma"/>
          <w:szCs w:val="18"/>
          <w:lang w:val="pt-BR"/>
        </w:rPr>
        <w:t xml:space="preserve"> </w:t>
      </w:r>
      <w:r w:rsidRPr="006301EB">
        <w:rPr>
          <w:rFonts w:eastAsia="Calibri" w:cs="Tahoma"/>
          <w:szCs w:val="18"/>
          <w:lang w:val="pt-BR"/>
        </w:rPr>
        <w:t>Se a cobertura for interrompida, os direitos de acesso sob as Licenças perpétuas serão determinados com base nos Direitos de Uso de Produto em vigor antes da interrupção.</w:t>
      </w:r>
      <w:r w:rsidR="00FB5496" w:rsidRPr="006301EB">
        <w:rPr>
          <w:rFonts w:eastAsia="Calibri" w:cs="Tahoma"/>
          <w:szCs w:val="18"/>
          <w:lang w:val="pt-BR"/>
        </w:rPr>
        <w:t xml:space="preserve"> </w:t>
      </w:r>
      <w:r w:rsidRPr="006301EB">
        <w:rPr>
          <w:rFonts w:eastAsia="Calibri" w:cs="Tahoma"/>
          <w:szCs w:val="18"/>
          <w:lang w:val="pt-BR"/>
        </w:rPr>
        <w:t>A Licença para um Bridge do Pacote de CALs é uma licença individual que deverá ser cedida a um único usuário ou dispositivo.</w:t>
      </w:r>
    </w:p>
    <w:p w:rsidR="0084072C" w:rsidRPr="006301EB" w:rsidRDefault="0084072C" w:rsidP="0084072C">
      <w:pPr>
        <w:ind w:left="720"/>
        <w:rPr>
          <w:lang w:val="pt-BR"/>
        </w:rPr>
      </w:pPr>
    </w:p>
    <w:p w:rsidR="0084072C" w:rsidRPr="006301EB" w:rsidRDefault="00162A93" w:rsidP="0084072C">
      <w:pPr>
        <w:spacing w:after="60"/>
        <w:ind w:left="720"/>
        <w:rPr>
          <w:lang w:val="pt-BR"/>
        </w:rPr>
      </w:pPr>
      <w:r w:rsidRPr="006301EB">
        <w:rPr>
          <w:rFonts w:cs="Tahoma"/>
          <w:b/>
          <w:szCs w:val="18"/>
          <w:lang w:val="pt-BR"/>
        </w:rPr>
        <w:t>Exigências</w:t>
      </w:r>
    </w:p>
    <w:p w:rsidR="00162A93" w:rsidRPr="006301EB" w:rsidRDefault="00162A93" w:rsidP="0084072C">
      <w:pPr>
        <w:ind w:left="720"/>
        <w:rPr>
          <w:lang w:val="pt-BR"/>
        </w:rPr>
      </w:pPr>
      <w:r w:rsidRPr="006301EB">
        <w:rPr>
          <w:rFonts w:eastAsia="Calibri" w:cs="Tahoma"/>
          <w:szCs w:val="18"/>
          <w:lang w:val="pt-BR"/>
        </w:rPr>
        <w:t>Um Bridge do Pacote de CALs poderá ser solicitado durante a Transição de um Pacote de CALs para uma combinação de Produto e Serviço Online comparáveis.</w:t>
      </w:r>
      <w:r w:rsidR="00FB5496" w:rsidRPr="006301EB">
        <w:rPr>
          <w:rFonts w:eastAsia="Calibri" w:cs="Tahoma"/>
          <w:szCs w:val="18"/>
          <w:lang w:val="pt-BR"/>
        </w:rPr>
        <w:t xml:space="preserve"> </w:t>
      </w:r>
      <w:r w:rsidRPr="006301EB">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FB5496" w:rsidRPr="006301EB">
        <w:rPr>
          <w:rFonts w:eastAsia="Calibri" w:cs="Tahoma"/>
          <w:szCs w:val="18"/>
          <w:lang w:val="pt-BR"/>
        </w:rPr>
        <w:t xml:space="preserve"> </w:t>
      </w:r>
      <w:r w:rsidRPr="006301EB">
        <w:rPr>
          <w:rFonts w:eastAsia="Calibri" w:cs="Tahoma"/>
          <w:szCs w:val="18"/>
          <w:lang w:val="pt-BR"/>
        </w:rPr>
        <w:t>Em vez disso, o Software Assurance poderá ser comprado para o Bridge do Pacote de CALs no aniversário do Registro em que a Transição entrar em vigor.</w:t>
      </w:r>
      <w:r w:rsidR="00FB5496" w:rsidRPr="006301EB">
        <w:rPr>
          <w:rFonts w:eastAsia="Calibri" w:cs="Tahoma"/>
          <w:szCs w:val="18"/>
          <w:lang w:val="pt-BR"/>
        </w:rPr>
        <w:t xml:space="preserve"> </w:t>
      </w:r>
      <w:r w:rsidRPr="006301EB">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FB5496" w:rsidRPr="006301EB">
        <w:rPr>
          <w:rFonts w:eastAsia="Calibri" w:cs="Tahoma"/>
          <w:szCs w:val="18"/>
          <w:lang w:val="pt-BR"/>
        </w:rPr>
        <w:t xml:space="preserve"> </w:t>
      </w:r>
    </w:p>
    <w:p w:rsidR="0084072C" w:rsidRPr="006301EB" w:rsidRDefault="0084072C" w:rsidP="0084072C">
      <w:pPr>
        <w:ind w:left="720"/>
        <w:rPr>
          <w:lang w:val="pt-BR"/>
        </w:rPr>
      </w:pPr>
    </w:p>
    <w:p w:rsidR="00162A93" w:rsidRPr="006301EB" w:rsidRDefault="00162A93" w:rsidP="0084072C">
      <w:pPr>
        <w:ind w:left="720"/>
        <w:rPr>
          <w:lang w:val="pt-BR"/>
        </w:rPr>
      </w:pPr>
      <w:r w:rsidRPr="006301EB">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rsidR="00162A93" w:rsidRPr="006301EB" w:rsidRDefault="00162A93" w:rsidP="0084072C">
      <w:pPr>
        <w:ind w:left="720"/>
        <w:rPr>
          <w:lang w:val="pt-BR"/>
        </w:rPr>
      </w:pPr>
    </w:p>
    <w:tbl>
      <w:tblPr>
        <w:tblW w:w="4500" w:type="pct"/>
        <w:jc w:val="center"/>
        <w:tblCellMar>
          <w:left w:w="0" w:type="dxa"/>
          <w:right w:w="0" w:type="dxa"/>
        </w:tblCellMar>
        <w:tblLook w:val="04A0" w:firstRow="1" w:lastRow="0" w:firstColumn="1" w:lastColumn="0" w:noHBand="0" w:noVBand="1"/>
      </w:tblPr>
      <w:tblGrid>
        <w:gridCol w:w="2748"/>
        <w:gridCol w:w="2749"/>
        <w:gridCol w:w="2945"/>
      </w:tblGrid>
      <w:tr w:rsidR="00162A93" w:rsidRPr="00416070" w:rsidTr="00397ADC">
        <w:trPr>
          <w:tblHeader/>
          <w:jc w:val="center"/>
        </w:trPr>
        <w:tc>
          <w:tcPr>
            <w:tcW w:w="1628"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6301EB" w:rsidRDefault="00162A93" w:rsidP="00397ADC">
            <w:pPr>
              <w:spacing w:before="120" w:after="120"/>
              <w:ind w:left="175"/>
              <w:jc w:val="center"/>
              <w:rPr>
                <w:rFonts w:eastAsia="Calibri" w:cs="Tahoma"/>
                <w:b/>
                <w:bCs/>
                <w:color w:val="000000"/>
                <w:szCs w:val="18"/>
                <w:lang w:val="pt-BR" w:eastAsia="ja-JP"/>
              </w:rPr>
            </w:pPr>
            <w:r w:rsidRPr="006301EB">
              <w:rPr>
                <w:rFonts w:eastAsia="Calibri" w:cs="Tahoma"/>
                <w:b/>
                <w:bCs/>
                <w:szCs w:val="18"/>
                <w:lang w:val="pt-BR"/>
              </w:rPr>
              <w:t>Bridge do Pacote de CALs</w:t>
            </w:r>
          </w:p>
        </w:tc>
        <w:tc>
          <w:tcPr>
            <w:tcW w:w="1628" w:type="pct"/>
            <w:tcBorders>
              <w:top w:val="single" w:sz="8" w:space="0" w:color="auto"/>
              <w:left w:val="nil"/>
              <w:bottom w:val="single" w:sz="8" w:space="0" w:color="auto"/>
              <w:right w:val="single" w:sz="8" w:space="0" w:color="auto"/>
            </w:tcBorders>
            <w:shd w:val="clear" w:color="auto" w:fill="FABF8F"/>
            <w:vAlign w:val="center"/>
            <w:hideMark/>
          </w:tcPr>
          <w:p w:rsidR="00162A93" w:rsidRPr="00416070" w:rsidRDefault="00162A93" w:rsidP="00397ADC">
            <w:pPr>
              <w:spacing w:before="120" w:after="120"/>
              <w:ind w:left="180"/>
              <w:jc w:val="center"/>
              <w:rPr>
                <w:rFonts w:eastAsia="Calibri" w:cs="Tahoma"/>
                <w:b/>
                <w:bCs/>
                <w:color w:val="000000"/>
                <w:szCs w:val="18"/>
                <w:lang w:eastAsia="ja-JP"/>
              </w:rPr>
            </w:pPr>
            <w:r w:rsidRPr="00416070">
              <w:rPr>
                <w:rFonts w:eastAsia="Calibri" w:cs="Tahoma"/>
                <w:b/>
                <w:bCs/>
                <w:szCs w:val="18"/>
              </w:rPr>
              <w:t>Pacote de CALs Pai</w:t>
            </w:r>
          </w:p>
        </w:tc>
        <w:tc>
          <w:tcPr>
            <w:tcW w:w="1745" w:type="pct"/>
            <w:tcBorders>
              <w:top w:val="single" w:sz="8" w:space="0" w:color="auto"/>
              <w:left w:val="nil"/>
              <w:bottom w:val="single" w:sz="8" w:space="0" w:color="auto"/>
              <w:right w:val="single" w:sz="8" w:space="0" w:color="auto"/>
            </w:tcBorders>
            <w:shd w:val="clear" w:color="auto" w:fill="FABF8F"/>
            <w:vAlign w:val="center"/>
            <w:hideMark/>
          </w:tcPr>
          <w:p w:rsidR="00162A93" w:rsidRPr="00416070" w:rsidRDefault="00162A93" w:rsidP="00397ADC">
            <w:pPr>
              <w:spacing w:before="120" w:after="120"/>
              <w:ind w:left="180" w:right="247"/>
              <w:jc w:val="center"/>
              <w:rPr>
                <w:rFonts w:eastAsia="Calibri" w:cs="Tahoma"/>
                <w:b/>
                <w:bCs/>
                <w:color w:val="000000"/>
                <w:szCs w:val="18"/>
                <w:lang w:eastAsia="ja-JP"/>
              </w:rPr>
            </w:pPr>
            <w:r w:rsidRPr="00416070">
              <w:rPr>
                <w:rFonts w:eastAsia="Calibri" w:cs="Tahoma"/>
                <w:b/>
                <w:bCs/>
                <w:szCs w:val="18"/>
              </w:rPr>
              <w:t>Serviços Online Qualificados</w:t>
            </w:r>
          </w:p>
        </w:tc>
      </w:tr>
      <w:tr w:rsidR="00162A93" w:rsidRPr="00416070" w:rsidTr="00397ADC">
        <w:trPr>
          <w:trHeight w:val="808"/>
          <w:jc w:val="center"/>
        </w:trPr>
        <w:tc>
          <w:tcPr>
            <w:tcW w:w="1628" w:type="pct"/>
            <w:tcBorders>
              <w:top w:val="nil"/>
              <w:left w:val="single" w:sz="8" w:space="0" w:color="auto"/>
              <w:bottom w:val="single" w:sz="8" w:space="0" w:color="auto"/>
              <w:right w:val="single" w:sz="8" w:space="0" w:color="auto"/>
            </w:tcBorders>
          </w:tcPr>
          <w:p w:rsidR="00162A93" w:rsidRPr="006301EB" w:rsidRDefault="00162A93" w:rsidP="00397ADC">
            <w:pPr>
              <w:numPr>
                <w:ilvl w:val="0"/>
                <w:numId w:val="55"/>
              </w:numPr>
              <w:spacing w:before="60" w:after="60"/>
              <w:ind w:left="535" w:right="180"/>
              <w:rPr>
                <w:rFonts w:eastAsia="Calibri" w:cs="Tahoma"/>
                <w:szCs w:val="18"/>
                <w:lang w:val="pt-BR"/>
              </w:rPr>
            </w:pPr>
            <w:r w:rsidRPr="006301EB">
              <w:rPr>
                <w:rFonts w:eastAsia="Calibri" w:cs="Tahoma"/>
                <w:color w:val="000000"/>
                <w:szCs w:val="18"/>
                <w:lang w:val="pt-BR"/>
              </w:rPr>
              <w:t>Bridge do Pacote de CALs Empresariais para Office 365</w:t>
            </w:r>
          </w:p>
        </w:tc>
        <w:tc>
          <w:tcPr>
            <w:tcW w:w="1628" w:type="pct"/>
            <w:tcBorders>
              <w:top w:val="nil"/>
              <w:left w:val="nil"/>
              <w:bottom w:val="single" w:sz="8" w:space="0" w:color="auto"/>
              <w:right w:val="single" w:sz="8" w:space="0" w:color="auto"/>
            </w:tcBorders>
          </w:tcPr>
          <w:p w:rsidR="00162A93" w:rsidRPr="00416070" w:rsidRDefault="00162A93" w:rsidP="00397ADC">
            <w:pPr>
              <w:numPr>
                <w:ilvl w:val="0"/>
                <w:numId w:val="56"/>
              </w:numPr>
              <w:spacing w:before="80" w:after="200"/>
              <w:ind w:left="449" w:hanging="270"/>
              <w:jc w:val="both"/>
              <w:rPr>
                <w:rFonts w:eastAsia="Calibri" w:cs="Tahoma"/>
                <w:szCs w:val="18"/>
              </w:rPr>
            </w:pPr>
            <w:r w:rsidRPr="00416070">
              <w:rPr>
                <w:rFonts w:eastAsia="Calibri" w:cs="Tahoma"/>
                <w:color w:val="000000"/>
                <w:szCs w:val="18"/>
              </w:rPr>
              <w:t>Enterprise CAL Suite</w:t>
            </w:r>
          </w:p>
        </w:tc>
        <w:tc>
          <w:tcPr>
            <w:tcW w:w="1745" w:type="pct"/>
            <w:tcBorders>
              <w:top w:val="nil"/>
              <w:left w:val="nil"/>
              <w:bottom w:val="single" w:sz="8" w:space="0" w:color="auto"/>
              <w:right w:val="single" w:sz="8" w:space="0" w:color="auto"/>
            </w:tcBorders>
          </w:tcPr>
          <w:p w:rsidR="00162A93" w:rsidRPr="00416070" w:rsidRDefault="00162A93" w:rsidP="00397ADC">
            <w:pPr>
              <w:numPr>
                <w:ilvl w:val="0"/>
                <w:numId w:val="57"/>
              </w:numPr>
              <w:spacing w:before="80" w:after="200"/>
              <w:ind w:left="630"/>
            </w:pPr>
            <w:r w:rsidRPr="00416070">
              <w:rPr>
                <w:rFonts w:eastAsia="Calibri" w:cs="Tahoma"/>
                <w:color w:val="000000"/>
                <w:szCs w:val="18"/>
              </w:rPr>
              <w:t>Office 365 Enterprise E3 ou</w:t>
            </w:r>
          </w:p>
          <w:p w:rsidR="00162A93" w:rsidRPr="00416070" w:rsidRDefault="00162A93" w:rsidP="00397ADC">
            <w:pPr>
              <w:numPr>
                <w:ilvl w:val="0"/>
                <w:numId w:val="57"/>
              </w:numPr>
              <w:spacing w:before="80" w:after="200"/>
              <w:ind w:left="630"/>
              <w:rPr>
                <w:rFonts w:eastAsia="Calibri" w:cs="Tahoma"/>
                <w:color w:val="000000"/>
                <w:szCs w:val="18"/>
              </w:rPr>
            </w:pPr>
            <w:r w:rsidRPr="00416070">
              <w:rPr>
                <w:rFonts w:eastAsia="Calibri" w:cs="Tahoma"/>
                <w:color w:val="000000"/>
                <w:szCs w:val="18"/>
              </w:rPr>
              <w:t>Office 365 Enterprise E4</w:t>
            </w:r>
          </w:p>
        </w:tc>
      </w:tr>
      <w:tr w:rsidR="00162A93" w:rsidRPr="00416070" w:rsidTr="00397ADC">
        <w:trPr>
          <w:trHeight w:val="576"/>
          <w:jc w:val="center"/>
        </w:trPr>
        <w:tc>
          <w:tcPr>
            <w:tcW w:w="1628" w:type="pct"/>
            <w:tcBorders>
              <w:top w:val="nil"/>
              <w:left w:val="single" w:sz="8" w:space="0" w:color="auto"/>
              <w:bottom w:val="single" w:sz="8" w:space="0" w:color="auto"/>
              <w:right w:val="single" w:sz="8" w:space="0" w:color="auto"/>
            </w:tcBorders>
          </w:tcPr>
          <w:p w:rsidR="00162A93" w:rsidRPr="006301EB" w:rsidRDefault="00162A93" w:rsidP="00397ADC">
            <w:pPr>
              <w:numPr>
                <w:ilvl w:val="0"/>
                <w:numId w:val="55"/>
              </w:numPr>
              <w:spacing w:before="60" w:after="60"/>
              <w:ind w:left="535" w:right="180"/>
              <w:rPr>
                <w:rFonts w:eastAsia="Calibri" w:cs="Tahoma"/>
                <w:szCs w:val="18"/>
                <w:lang w:val="pt-BR"/>
              </w:rPr>
            </w:pPr>
            <w:r w:rsidRPr="006301EB">
              <w:rPr>
                <w:rFonts w:eastAsia="Calibri" w:cs="Tahoma"/>
                <w:color w:val="000000"/>
                <w:szCs w:val="18"/>
                <w:lang w:val="pt-BR"/>
              </w:rPr>
              <w:t>Bridge do Pacote de CALs Empresariais para Office 365 e Windows</w:t>
            </w:r>
            <w:r w:rsidR="00397ADC" w:rsidRPr="006301EB">
              <w:rPr>
                <w:rFonts w:eastAsia="Calibri" w:cs="Tahoma"/>
                <w:color w:val="000000"/>
                <w:szCs w:val="18"/>
                <w:lang w:val="pt-BR"/>
              </w:rPr>
              <w:t> </w:t>
            </w:r>
            <w:r w:rsidRPr="006301EB">
              <w:rPr>
                <w:rFonts w:eastAsia="Calibri" w:cs="Tahoma"/>
                <w:color w:val="000000"/>
                <w:szCs w:val="18"/>
                <w:lang w:val="pt-BR"/>
              </w:rPr>
              <w:t>Intune</w:t>
            </w:r>
          </w:p>
        </w:tc>
        <w:tc>
          <w:tcPr>
            <w:tcW w:w="1628" w:type="pct"/>
            <w:tcBorders>
              <w:top w:val="nil"/>
              <w:left w:val="nil"/>
              <w:bottom w:val="single" w:sz="8" w:space="0" w:color="auto"/>
              <w:right w:val="single" w:sz="8" w:space="0" w:color="auto"/>
            </w:tcBorders>
          </w:tcPr>
          <w:p w:rsidR="00162A93" w:rsidRPr="00416070" w:rsidRDefault="00162A93" w:rsidP="00397ADC">
            <w:pPr>
              <w:numPr>
                <w:ilvl w:val="0"/>
                <w:numId w:val="56"/>
              </w:numPr>
              <w:spacing w:before="80" w:after="200"/>
              <w:ind w:left="449" w:hanging="270"/>
              <w:jc w:val="both"/>
              <w:rPr>
                <w:rFonts w:eastAsia="Calibri" w:cs="Tahoma"/>
                <w:szCs w:val="18"/>
              </w:rPr>
            </w:pPr>
            <w:r w:rsidRPr="00416070">
              <w:rPr>
                <w:rFonts w:eastAsia="Calibri" w:cs="Tahoma"/>
                <w:color w:val="000000"/>
                <w:szCs w:val="18"/>
              </w:rPr>
              <w:t>Enterprise CAL Suite</w:t>
            </w:r>
          </w:p>
        </w:tc>
        <w:tc>
          <w:tcPr>
            <w:tcW w:w="1745" w:type="pct"/>
            <w:tcBorders>
              <w:top w:val="nil"/>
              <w:left w:val="nil"/>
              <w:bottom w:val="single" w:sz="8" w:space="0" w:color="auto"/>
              <w:right w:val="single" w:sz="8" w:space="0" w:color="auto"/>
            </w:tcBorders>
          </w:tcPr>
          <w:p w:rsidR="00162A93" w:rsidRPr="00416070" w:rsidRDefault="00162A93" w:rsidP="00397ADC">
            <w:pPr>
              <w:numPr>
                <w:ilvl w:val="0"/>
                <w:numId w:val="57"/>
              </w:numPr>
              <w:spacing w:before="80" w:after="200"/>
              <w:ind w:left="630"/>
            </w:pPr>
            <w:r w:rsidRPr="00416070">
              <w:rPr>
                <w:rFonts w:eastAsia="Calibri" w:cs="Tahoma"/>
                <w:color w:val="000000"/>
                <w:szCs w:val="18"/>
              </w:rPr>
              <w:t>Office 365 Enterprise E3 e Windows Intune ou</w:t>
            </w:r>
          </w:p>
          <w:p w:rsidR="00162A93" w:rsidRPr="00416070" w:rsidRDefault="00162A93" w:rsidP="00397ADC">
            <w:pPr>
              <w:numPr>
                <w:ilvl w:val="0"/>
                <w:numId w:val="57"/>
              </w:numPr>
              <w:spacing w:before="80" w:after="200"/>
              <w:ind w:left="630"/>
              <w:rPr>
                <w:rFonts w:eastAsia="Calibri" w:cs="Tahoma"/>
                <w:color w:val="000000"/>
                <w:szCs w:val="18"/>
              </w:rPr>
            </w:pPr>
            <w:r w:rsidRPr="00416070">
              <w:rPr>
                <w:rFonts w:eastAsia="Calibri" w:cs="Tahoma"/>
                <w:color w:val="000000"/>
                <w:szCs w:val="18"/>
              </w:rPr>
              <w:t>Office 365 Enterprise E4 e Windows Intune</w:t>
            </w:r>
          </w:p>
        </w:tc>
      </w:tr>
      <w:tr w:rsidR="00162A93" w:rsidRPr="00416070" w:rsidTr="00397ADC">
        <w:trPr>
          <w:trHeight w:val="576"/>
          <w:jc w:val="center"/>
        </w:trPr>
        <w:tc>
          <w:tcPr>
            <w:tcW w:w="1628" w:type="pct"/>
            <w:tcBorders>
              <w:top w:val="nil"/>
              <w:left w:val="single" w:sz="8" w:space="0" w:color="auto"/>
              <w:bottom w:val="single" w:sz="8" w:space="0" w:color="auto"/>
              <w:right w:val="single" w:sz="8" w:space="0" w:color="auto"/>
            </w:tcBorders>
            <w:hideMark/>
          </w:tcPr>
          <w:p w:rsidR="00162A93" w:rsidRPr="006301EB" w:rsidRDefault="00162A93" w:rsidP="00397ADC">
            <w:pPr>
              <w:numPr>
                <w:ilvl w:val="0"/>
                <w:numId w:val="55"/>
              </w:numPr>
              <w:spacing w:before="60" w:after="60"/>
              <w:ind w:left="535" w:right="180"/>
              <w:rPr>
                <w:rFonts w:eastAsia="Calibri" w:cs="Tahoma"/>
                <w:color w:val="000000"/>
                <w:szCs w:val="18"/>
                <w:lang w:val="pt-BR" w:eastAsia="ja-JP"/>
              </w:rPr>
            </w:pPr>
            <w:r w:rsidRPr="006301EB">
              <w:rPr>
                <w:rFonts w:eastAsia="Calibri" w:cs="Tahoma"/>
                <w:szCs w:val="18"/>
                <w:lang w:val="pt-BR"/>
              </w:rPr>
              <w:t>Bridge do Pacote de CALs Empresariais para Windows Intune</w:t>
            </w:r>
          </w:p>
        </w:tc>
        <w:tc>
          <w:tcPr>
            <w:tcW w:w="1628" w:type="pct"/>
            <w:tcBorders>
              <w:top w:val="nil"/>
              <w:left w:val="nil"/>
              <w:bottom w:val="single" w:sz="8" w:space="0" w:color="auto"/>
              <w:right w:val="single" w:sz="8" w:space="0" w:color="auto"/>
            </w:tcBorders>
            <w:hideMark/>
          </w:tcPr>
          <w:p w:rsidR="00162A93" w:rsidRPr="00416070" w:rsidRDefault="00162A93" w:rsidP="00397ADC">
            <w:pPr>
              <w:numPr>
                <w:ilvl w:val="0"/>
                <w:numId w:val="56"/>
              </w:numPr>
              <w:spacing w:before="80" w:after="200"/>
              <w:ind w:left="449" w:hanging="270"/>
              <w:jc w:val="both"/>
              <w:rPr>
                <w:rFonts w:eastAsia="Calibri" w:cs="Tahoma"/>
                <w:color w:val="000000"/>
                <w:szCs w:val="18"/>
                <w:lang w:eastAsia="ja-JP"/>
              </w:rPr>
            </w:pPr>
            <w:r w:rsidRPr="00416070">
              <w:rPr>
                <w:rFonts w:eastAsia="Calibri" w:cs="Tahoma"/>
                <w:szCs w:val="18"/>
              </w:rPr>
              <w:t>Enterprise CAL Suite</w:t>
            </w:r>
          </w:p>
        </w:tc>
        <w:tc>
          <w:tcPr>
            <w:tcW w:w="1745" w:type="pct"/>
            <w:tcBorders>
              <w:top w:val="nil"/>
              <w:left w:val="nil"/>
              <w:bottom w:val="single" w:sz="8" w:space="0" w:color="auto"/>
              <w:right w:val="single" w:sz="8" w:space="0" w:color="auto"/>
            </w:tcBorders>
            <w:hideMark/>
          </w:tcPr>
          <w:p w:rsidR="00162A93" w:rsidRPr="00416070" w:rsidRDefault="00162A93" w:rsidP="00397ADC">
            <w:pPr>
              <w:numPr>
                <w:ilvl w:val="0"/>
                <w:numId w:val="57"/>
              </w:numPr>
              <w:spacing w:before="80" w:after="200"/>
              <w:ind w:left="630"/>
              <w:rPr>
                <w:rFonts w:cs="Tahoma"/>
                <w:color w:val="000000"/>
                <w:szCs w:val="18"/>
              </w:rPr>
            </w:pPr>
            <w:r w:rsidRPr="00416070">
              <w:rPr>
                <w:rFonts w:eastAsia="Calibri" w:cs="Tahoma"/>
                <w:color w:val="000000"/>
                <w:szCs w:val="18"/>
              </w:rPr>
              <w:t>Windows Intune</w:t>
            </w:r>
          </w:p>
        </w:tc>
      </w:tr>
    </w:tbl>
    <w:p w:rsidR="005614CA" w:rsidRPr="00416070" w:rsidRDefault="005614CA" w:rsidP="00E03856">
      <w:pPr>
        <w:pStyle w:val="Heading3"/>
      </w:pPr>
      <w:bookmarkStart w:id="1201" w:name="_Toc336338304"/>
      <w:bookmarkStart w:id="1202" w:name="Srv_43EnterpriseCALSuite"/>
      <w:bookmarkEnd w:id="1193"/>
      <w:bookmarkEnd w:id="1195"/>
    </w:p>
    <w:p w:rsidR="00652053" w:rsidRPr="00416070" w:rsidRDefault="00A7003F" w:rsidP="00652053">
      <w:pPr>
        <w:pStyle w:val="Heading3"/>
      </w:pPr>
      <w:bookmarkStart w:id="1203" w:name="_42_Enterprise_CAL"/>
      <w:bookmarkStart w:id="1204" w:name="_42_Pacotes_CAL"/>
      <w:bookmarkStart w:id="1205" w:name="_Toc352234368"/>
      <w:bookmarkEnd w:id="1203"/>
      <w:bookmarkEnd w:id="1204"/>
      <w:r w:rsidRPr="00416070">
        <w:rPr>
          <w:rFonts w:ascii="Tahoma" w:hAnsi="Tahoma"/>
          <w:caps/>
          <w:color w:val="F66400"/>
          <w:sz w:val="22"/>
          <w:vertAlign w:val="superscript"/>
        </w:rPr>
        <w:t>42</w:t>
      </w:r>
      <w:r w:rsidRPr="00416070">
        <w:rPr>
          <w:rFonts w:ascii="Tahoma" w:hAnsi="Tahoma"/>
          <w:color w:val="F66400"/>
          <w:sz w:val="22"/>
        </w:rPr>
        <w:t xml:space="preserve"> Pacotes CAL Empresarial</w:t>
      </w:r>
      <w:bookmarkEnd w:id="1201"/>
      <w:bookmarkEnd w:id="1205"/>
      <w:r w:rsidRPr="00416070">
        <w:rPr>
          <w:rFonts w:ascii="Tahoma" w:hAnsi="Tahoma"/>
          <w:color w:val="F66400"/>
          <w:sz w:val="22"/>
        </w:rPr>
        <w:t xml:space="preserve"> </w:t>
      </w:r>
    </w:p>
    <w:bookmarkEnd w:id="1202"/>
    <w:p w:rsidR="00023FE7" w:rsidRPr="00416070" w:rsidRDefault="00023FE7" w:rsidP="0084072C"/>
    <w:p w:rsidR="009A727E" w:rsidRPr="006301EB" w:rsidRDefault="008446D1" w:rsidP="0084072C">
      <w:pPr>
        <w:ind w:left="720"/>
        <w:rPr>
          <w:lang w:val="pt-BR"/>
        </w:rPr>
      </w:pPr>
      <w:r w:rsidRPr="006301EB">
        <w:rPr>
          <w:rFonts w:cs="Tahoma"/>
          <w:szCs w:val="20"/>
          <w:lang w:val="pt-BR"/>
        </w:rPr>
        <w:t>O Enterprise CAL Suite é independente da versão e os direitos de uso de produto são determinados pelo status da cobertura do Software Assurance para o Enterprise CAL Suite.</w:t>
      </w:r>
      <w:r w:rsidR="00FB5496" w:rsidRPr="006301EB">
        <w:rPr>
          <w:rFonts w:cs="Tahoma"/>
          <w:szCs w:val="20"/>
          <w:lang w:val="pt-BR"/>
        </w:rPr>
        <w:t xml:space="preserve"> </w:t>
      </w:r>
      <w:r w:rsidRPr="006301EB">
        <w:rPr>
          <w:rFonts w:cs="Tahoma"/>
          <w:szCs w:val="20"/>
          <w:lang w:val="pt-BR"/>
        </w:rPr>
        <w:t>Se a cobertura for interrompida, os direitos de acesso sob as licenças perpétuas serão determinados com base nos direitos de uso de produto em vigor antes da interrupção.</w:t>
      </w:r>
      <w:r w:rsidR="00FB5496" w:rsidRPr="006301EB">
        <w:rPr>
          <w:rFonts w:cs="Tahoma"/>
          <w:szCs w:val="20"/>
          <w:lang w:val="pt-BR"/>
        </w:rPr>
        <w:t xml:space="preserve"> </w:t>
      </w:r>
      <w:r w:rsidRPr="006301EB">
        <w:rPr>
          <w:rFonts w:cs="Tahoma"/>
          <w:szCs w:val="20"/>
          <w:lang w:val="pt-BR"/>
        </w:rPr>
        <w:t>Os direitos associados a ofertas de Serviços Online expirarão em caso de interrupção da cobertura do Software Assurance, seja o Enterprise CAL Suite perpétuo ou não.</w:t>
      </w:r>
      <w:r w:rsidR="00FB5496" w:rsidRPr="006301EB">
        <w:rPr>
          <w:rFonts w:cs="Tahoma"/>
          <w:szCs w:val="20"/>
          <w:lang w:val="pt-BR"/>
        </w:rPr>
        <w:t xml:space="preserve"> </w:t>
      </w:r>
      <w:r w:rsidRPr="006301EB">
        <w:rPr>
          <w:rFonts w:cs="Tahoma"/>
          <w:szCs w:val="20"/>
          <w:lang w:val="pt-BR"/>
        </w:rPr>
        <w:t xml:space="preserve">A 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w:t>
      </w:r>
      <w:r w:rsidRPr="006301EB">
        <w:rPr>
          <w:rFonts w:cs="Tahoma"/>
          <w:szCs w:val="20"/>
          <w:lang w:val="pt-BR"/>
        </w:rPr>
        <w:lastRenderedPageBreak/>
        <w:t>Exchange Server, CAL Empresarial do SharePoint 2013, CAL Empresarial do Lync Server 2013, CAL dos Serviços de Gerenciamento de Direitos do Windows Server 2012 Active Directory e todos os componentes atuais do System Center 2012 Client Management Suite.</w:t>
      </w:r>
      <w:r w:rsidR="00FB5496" w:rsidRPr="006301EB">
        <w:rPr>
          <w:rFonts w:cs="Tahoma"/>
          <w:szCs w:val="20"/>
          <w:lang w:val="pt-BR"/>
        </w:rPr>
        <w:t xml:space="preserve"> </w:t>
      </w:r>
      <w:r w:rsidRPr="006301EB">
        <w:rPr>
          <w:rFonts w:cs="Tahoma"/>
          <w:szCs w:val="20"/>
          <w:lang w:val="pt-BR"/>
        </w:rPr>
        <w:t>Uma licença para o Enterprise CAL Suite é uma licença individual que deverá ser cedida a um único usuário ou dispositivo.</w:t>
      </w:r>
      <w:r w:rsidR="00FB5496" w:rsidRPr="006301EB">
        <w:rPr>
          <w:rFonts w:cs="Tahoma"/>
          <w:szCs w:val="20"/>
          <w:lang w:val="pt-BR"/>
        </w:rPr>
        <w:t xml:space="preserve"> </w:t>
      </w:r>
      <w:r w:rsidRPr="006301EB">
        <w:rPr>
          <w:rFonts w:cs="Tahoma"/>
          <w:szCs w:val="20"/>
          <w:lang w:val="pt-BR"/>
        </w:rPr>
        <w:t>Conforme disposto no contrato da licença por volume, o cliente não poderá separar os direitos sob o Pacote de CALs Empresariais para permitir que dois ou mais usuários ou dispositivos acessem seus diversos componentes ao mesmo tempo.</w:t>
      </w:r>
      <w:r w:rsidR="00FB5496" w:rsidRPr="006301EB">
        <w:rPr>
          <w:rFonts w:cs="Tahoma"/>
          <w:szCs w:val="20"/>
          <w:lang w:val="pt-BR"/>
        </w:rPr>
        <w:t xml:space="preserve"> </w:t>
      </w:r>
    </w:p>
    <w:p w:rsidR="00163658" w:rsidRPr="006301EB" w:rsidRDefault="00163658" w:rsidP="0084072C">
      <w:pPr>
        <w:ind w:left="720"/>
        <w:rPr>
          <w:lang w:val="pt-BR"/>
        </w:rPr>
      </w:pPr>
    </w:p>
    <w:p w:rsidR="00163658" w:rsidRPr="006301EB" w:rsidRDefault="00163658" w:rsidP="0084072C">
      <w:pPr>
        <w:ind w:left="720"/>
        <w:rPr>
          <w:lang w:val="pt-BR"/>
        </w:rPr>
      </w:pPr>
      <w:r w:rsidRPr="006301EB">
        <w:rPr>
          <w:rFonts w:cs="Tahoma"/>
          <w:b/>
          <w:szCs w:val="20"/>
          <w:lang w:val="pt-BR"/>
        </w:rPr>
        <w:t>Provisionamento de Serviços Online Incluídos no Pacote de CALs Empresariais</w:t>
      </w:r>
    </w:p>
    <w:p w:rsidR="00391D38" w:rsidRPr="006301EB" w:rsidRDefault="00391D38" w:rsidP="0084072C">
      <w:pPr>
        <w:ind w:left="720"/>
        <w:rPr>
          <w:lang w:val="pt-BR"/>
        </w:rPr>
      </w:pPr>
    </w:p>
    <w:p w:rsidR="00163658" w:rsidRPr="006301EB" w:rsidRDefault="00163658" w:rsidP="0084072C">
      <w:pPr>
        <w:ind w:left="720"/>
        <w:rPr>
          <w:lang w:val="pt-BR"/>
        </w:rPr>
      </w:pPr>
      <w:r w:rsidRPr="006301EB">
        <w:rPr>
          <w:rFonts w:cs="Tahoma"/>
          <w:szCs w:val="20"/>
          <w:lang w:val="pt-BR"/>
        </w:rPr>
        <w:t>A partir de 1</w:t>
      </w:r>
      <w:r w:rsidR="00557CB6" w:rsidRPr="006301EB">
        <w:rPr>
          <w:rFonts w:eastAsia="Calibri" w:cs="Tahoma"/>
          <w:szCs w:val="18"/>
          <w:vertAlign w:val="superscript"/>
          <w:lang w:val="pt-BR"/>
        </w:rPr>
        <w:t>º</w:t>
      </w:r>
      <w:r w:rsidRPr="006301EB">
        <w:rPr>
          <w:rFonts w:cs="Tahoma"/>
          <w:szCs w:val="20"/>
          <w:lang w:val="pt-BR"/>
        </w:rPr>
        <w:t xml:space="preserve">. de abril de 2013, uma licença para o Pacote de CALs Empresariais com cobertura ativa do Software Assurance inclui os direitos de Arquivamento do Exchange Online para Exchange Server, Prevenção à Perda de Dados e Exchange Online Protection. </w:t>
      </w:r>
    </w:p>
    <w:p w:rsidR="00163658" w:rsidRPr="006301EB" w:rsidRDefault="00163658" w:rsidP="0084072C">
      <w:pPr>
        <w:ind w:left="720"/>
        <w:rPr>
          <w:lang w:val="pt-BR"/>
        </w:rPr>
      </w:pPr>
    </w:p>
    <w:p w:rsidR="00163658" w:rsidRPr="006301EB" w:rsidRDefault="00163658" w:rsidP="0084072C">
      <w:pPr>
        <w:ind w:left="720"/>
        <w:rPr>
          <w:lang w:val="pt-BR"/>
        </w:rPr>
      </w:pPr>
      <w:r w:rsidRPr="006301EB">
        <w:rPr>
          <w:rFonts w:cs="Tahoma"/>
          <w:szCs w:val="20"/>
          <w:lang w:val="pt-BR"/>
        </w:rPr>
        <w:t>Para começar a usar esses serviços, o cliente deve entrar em contato com seu Microsoft Partner, que pode iniciar o processo de provisionamento exigido para ativar cada serviço.</w:t>
      </w:r>
    </w:p>
    <w:p w:rsidR="00103AD5" w:rsidRPr="006301EB" w:rsidRDefault="00103AD5" w:rsidP="0084072C">
      <w:pPr>
        <w:ind w:left="720"/>
        <w:rPr>
          <w:lang w:val="pt-BR"/>
        </w:rPr>
      </w:pPr>
    </w:p>
    <w:p w:rsidR="00391D38" w:rsidRPr="006301EB" w:rsidRDefault="00391D38" w:rsidP="00391D38">
      <w:pPr>
        <w:ind w:left="720"/>
        <w:rPr>
          <w:lang w:val="pt-BR"/>
        </w:rPr>
      </w:pPr>
      <w:r w:rsidRPr="006301EB">
        <w:rPr>
          <w:rFonts w:cs="Tahoma"/>
          <w:szCs w:val="20"/>
          <w:lang w:val="pt-BR"/>
        </w:rPr>
        <w:t>Se o cliente ou sua Afiliada Registrada usar o Arquivamento do Exchange Online para Exchange Server, Prevenção à Perda de Dados ou Exchange Online Protection como parte do seu Pacote de CAL Empresarial (para as finalidades desta nota “Serviços Online”), então os seguintes Termos e Condições Complementares de Serviços Online (“Termos Complementares”) deverão se aplicar a tal uso em vez de quaisquer termos conflitantes no contrato de Licenciamento por Volume do cliente</w:t>
      </w:r>
      <w:r w:rsidRPr="006301EB">
        <w:rPr>
          <w:rFonts w:cs="Tahoma"/>
          <w:bCs/>
          <w:iCs/>
          <w:snapToGrid w:val="0"/>
          <w:szCs w:val="18"/>
          <w:lang w:val="pt-BR"/>
        </w:rPr>
        <w:t xml:space="preserve">: </w:t>
      </w:r>
    </w:p>
    <w:p w:rsidR="00391D38" w:rsidRPr="006301EB" w:rsidRDefault="00391D38" w:rsidP="00391D38">
      <w:pPr>
        <w:keepNext/>
        <w:spacing w:before="120" w:after="60"/>
        <w:ind w:left="1440"/>
        <w:outlineLvl w:val="0"/>
        <w:rPr>
          <w:lang w:val="pt-BR"/>
        </w:rPr>
      </w:pPr>
      <w:r w:rsidRPr="006301EB">
        <w:rPr>
          <w:rFonts w:cs="Tahoma"/>
          <w:b/>
          <w:bCs/>
          <w:iCs/>
          <w:snapToGrid w:val="0"/>
          <w:szCs w:val="18"/>
          <w:lang w:val="pt-BR"/>
        </w:rPr>
        <w:t>Definições.</w:t>
      </w:r>
    </w:p>
    <w:p w:rsidR="00391D38" w:rsidRPr="006301EB" w:rsidRDefault="00391D38" w:rsidP="007E466C">
      <w:pPr>
        <w:ind w:left="1440"/>
        <w:jc w:val="both"/>
        <w:rPr>
          <w:lang w:val="pt-BR"/>
        </w:rPr>
      </w:pPr>
      <w:r w:rsidRPr="006301EB">
        <w:rPr>
          <w:rFonts w:cs="Tahoma"/>
          <w:snapToGrid w:val="0"/>
          <w:color w:val="000000"/>
          <w:szCs w:val="18"/>
          <w:lang w:val="pt-BR"/>
        </w:rPr>
        <w:t>“Dados do Cliente” significa todos os dados, incluindo quaisquer arquivos de texto, som, software ou imagens fornecidos à Microsoft ou em nome do cliente por meio do uso pelo cliente dos Serviços Online.</w:t>
      </w:r>
    </w:p>
    <w:p w:rsidR="00391D38" w:rsidRPr="006301EB" w:rsidRDefault="00391D38" w:rsidP="00391D38">
      <w:pPr>
        <w:spacing w:before="120"/>
        <w:ind w:left="1440"/>
        <w:jc w:val="both"/>
        <w:rPr>
          <w:lang w:val="pt-BR"/>
        </w:rPr>
      </w:pPr>
      <w:r w:rsidRPr="006301EB">
        <w:rPr>
          <w:rFonts w:cs="Tahoma"/>
          <w:snapToGrid w:val="0"/>
          <w:color w:val="000000"/>
          <w:szCs w:val="18"/>
          <w:lang w:val="pt-BR"/>
        </w:rPr>
        <w:t>“Contrato de Níveis de Serviço” significa o documento que especifica os padrões que a Microsoft concorda em seguir e por meio dos quais medirá o nível de serviço de um Serviço Online.</w:t>
      </w:r>
    </w:p>
    <w:p w:rsidR="00391D38" w:rsidRPr="006301EB" w:rsidRDefault="00391D38" w:rsidP="007E466C">
      <w:pPr>
        <w:keepNext/>
        <w:spacing w:before="120" w:after="60"/>
        <w:ind w:left="1440"/>
        <w:outlineLvl w:val="0"/>
        <w:rPr>
          <w:lang w:val="pt-BR"/>
        </w:rPr>
      </w:pPr>
      <w:r w:rsidRPr="006301EB">
        <w:rPr>
          <w:rFonts w:cs="Tahoma"/>
          <w:b/>
          <w:bCs/>
          <w:iCs/>
          <w:snapToGrid w:val="0"/>
          <w:szCs w:val="18"/>
          <w:lang w:val="pt-BR"/>
        </w:rPr>
        <w:t>Aplicabilidade dos Termos Complementares.</w:t>
      </w:r>
    </w:p>
    <w:p w:rsidR="00391D38" w:rsidRPr="006301EB" w:rsidRDefault="00391D38" w:rsidP="007E466C">
      <w:pPr>
        <w:ind w:left="1440"/>
        <w:jc w:val="both"/>
        <w:rPr>
          <w:lang w:val="pt-BR"/>
        </w:rPr>
      </w:pPr>
      <w:r w:rsidRPr="006301EB">
        <w:rPr>
          <w:rFonts w:cs="Tahoma"/>
          <w:snapToGrid w:val="0"/>
          <w:color w:val="000000"/>
          <w:szCs w:val="18"/>
          <w:lang w:val="pt-BR"/>
        </w:rPr>
        <w:t>Estes Termos Complementares se aplicam somente à compra e ao uso pelo cliente dos Serviços Online e Serviços.</w:t>
      </w:r>
      <w:r w:rsidR="00FB5496" w:rsidRPr="006301EB">
        <w:rPr>
          <w:rFonts w:cs="Tahoma"/>
          <w:snapToGrid w:val="0"/>
          <w:color w:val="000000"/>
          <w:szCs w:val="18"/>
          <w:lang w:val="pt-BR"/>
        </w:rPr>
        <w:t xml:space="preserve"> </w:t>
      </w:r>
      <w:r w:rsidRPr="006301EB">
        <w:rPr>
          <w:rFonts w:cs="Tahoma"/>
          <w:snapToGrid w:val="0"/>
          <w:color w:val="000000"/>
          <w:szCs w:val="18"/>
          <w:lang w:val="pt-BR"/>
        </w:rPr>
        <w:t>Em caso de conflito entre esses Termos Complementares e os termos e as condições do Master Agreement ou Contrato que não sejam expressamente solucionados por eles, prevalecerão os Termos Complementares.</w:t>
      </w:r>
    </w:p>
    <w:p w:rsidR="00391D38" w:rsidRPr="006301EB" w:rsidRDefault="00391D38" w:rsidP="007E466C">
      <w:pPr>
        <w:keepNext/>
        <w:spacing w:before="120" w:after="60"/>
        <w:ind w:left="1440"/>
        <w:outlineLvl w:val="0"/>
        <w:rPr>
          <w:lang w:val="pt-BR"/>
        </w:rPr>
      </w:pPr>
      <w:r w:rsidRPr="006301EB">
        <w:rPr>
          <w:rFonts w:cs="Tahoma"/>
          <w:b/>
          <w:bCs/>
          <w:iCs/>
          <w:snapToGrid w:val="0"/>
          <w:szCs w:val="18"/>
          <w:lang w:val="pt-BR"/>
        </w:rPr>
        <w:t>Garantia limitada dos Serviços Online.</w:t>
      </w:r>
    </w:p>
    <w:p w:rsidR="00391D38" w:rsidRPr="006301EB" w:rsidRDefault="00391D38" w:rsidP="007E466C">
      <w:pPr>
        <w:ind w:left="1440"/>
        <w:jc w:val="both"/>
        <w:rPr>
          <w:lang w:val="pt-BR"/>
        </w:rPr>
      </w:pPr>
      <w:r w:rsidRPr="006301EB">
        <w:rPr>
          <w:rFonts w:cs="Tahoma"/>
          <w:snapToGrid w:val="0"/>
          <w:color w:val="000000"/>
          <w:szCs w:val="18"/>
          <w:lang w:val="pt-BR"/>
        </w:rPr>
        <w:t>A Microsoft garante que os Serviços Online funcionarão de acordo com o Contrato de Nível de Serviço aplicável.</w:t>
      </w:r>
      <w:r w:rsidR="00FB5496" w:rsidRPr="006301EB">
        <w:rPr>
          <w:rFonts w:cs="Tahoma"/>
          <w:snapToGrid w:val="0"/>
          <w:color w:val="000000"/>
          <w:szCs w:val="18"/>
          <w:lang w:val="pt-BR"/>
        </w:rPr>
        <w:t xml:space="preserve"> </w:t>
      </w:r>
      <w:r w:rsidRPr="006301EB">
        <w:rPr>
          <w:rFonts w:cs="Tahoma"/>
          <w:snapToGrid w:val="0"/>
          <w:color w:val="000000"/>
          <w:szCs w:val="18"/>
          <w:lang w:val="pt-BR"/>
        </w:rPr>
        <w:t>Esta garantia limitada equivale à duração do uso pelo cliente do Serviço Online, sujeita aos requisitos de notificação no Contrato de Nível de Serviços aplicável.</w:t>
      </w:r>
    </w:p>
    <w:p w:rsidR="00391D38" w:rsidRPr="006301EB" w:rsidRDefault="00391D38" w:rsidP="00391D38">
      <w:pPr>
        <w:spacing w:before="120"/>
        <w:ind w:left="1440"/>
        <w:jc w:val="both"/>
        <w:rPr>
          <w:lang w:val="pt-BR"/>
        </w:rPr>
      </w:pPr>
      <w:r w:rsidRPr="006301EB">
        <w:rPr>
          <w:rFonts w:cs="Tahoma"/>
          <w:snapToGrid w:val="0"/>
          <w:color w:val="000000"/>
          <w:szCs w:val="18"/>
          <w:lang w:val="pt-BR"/>
        </w:rPr>
        <w:t>Se a Microsoft não cumprir esta garantia limitada e o cliente notificar a Microsoft dentro do período de garantia, a Microsoft fornecerá as medidas identificadas no Contrato de Nível de Serviço do Serviço Online afetado.</w:t>
      </w:r>
      <w:r w:rsidR="00FB5496" w:rsidRPr="006301EB">
        <w:rPr>
          <w:rFonts w:cs="Tahoma"/>
          <w:snapToGrid w:val="0"/>
          <w:color w:val="000000"/>
          <w:szCs w:val="18"/>
          <w:lang w:val="pt-BR"/>
        </w:rPr>
        <w:t xml:space="preserve"> </w:t>
      </w:r>
      <w:r w:rsidRPr="006301EB">
        <w:rPr>
          <w:rFonts w:cs="Tahoma"/>
          <w:snapToGrid w:val="0"/>
          <w:color w:val="000000"/>
          <w:szCs w:val="18"/>
          <w:lang w:val="pt-BR"/>
        </w:rPr>
        <w:t>Essas são as únicas medidas disponíveis ao cliente em caso de violação da garantia limitada, salvo se a lei aplicável estabelecer outras.</w:t>
      </w:r>
    </w:p>
    <w:p w:rsidR="00391D38" w:rsidRPr="006301EB" w:rsidRDefault="00391D38" w:rsidP="00391D38">
      <w:pPr>
        <w:spacing w:before="120"/>
        <w:ind w:left="1440"/>
        <w:jc w:val="both"/>
        <w:rPr>
          <w:lang w:val="pt-BR"/>
        </w:rPr>
      </w:pPr>
      <w:r w:rsidRPr="006301EB">
        <w:rPr>
          <w:rFonts w:cs="Tahoma"/>
          <w:snapToGrid w:val="0"/>
          <w:color w:val="000000"/>
          <w:szCs w:val="18"/>
          <w:lang w:val="pt-BR"/>
        </w:rPr>
        <w:t>A garantia limitada está sujeita às seguintes limitações:</w:t>
      </w:r>
    </w:p>
    <w:p w:rsidR="00391D38" w:rsidRPr="006301EB" w:rsidRDefault="00391D38" w:rsidP="00391D38">
      <w:pPr>
        <w:numPr>
          <w:ilvl w:val="0"/>
          <w:numId w:val="151"/>
        </w:numPr>
        <w:spacing w:before="120"/>
        <w:ind w:left="1800"/>
        <w:contextualSpacing/>
        <w:jc w:val="both"/>
        <w:rPr>
          <w:lang w:val="pt-BR"/>
        </w:rPr>
      </w:pPr>
      <w:r w:rsidRPr="006301EB">
        <w:rPr>
          <w:rFonts w:cs="Tahoma"/>
          <w:snapToGrid w:val="0"/>
          <w:color w:val="000000"/>
          <w:szCs w:val="18"/>
          <w:lang w:val="pt-BR"/>
        </w:rPr>
        <w:t>quaisquer garantias ou condições legais que não podem ser isentadas como uma questão legal permanecerão somente durante um ano a partir do início do garantia limitada;</w:t>
      </w:r>
    </w:p>
    <w:p w:rsidR="00391D38" w:rsidRPr="006301EB" w:rsidRDefault="00391D38" w:rsidP="00391D38">
      <w:pPr>
        <w:numPr>
          <w:ilvl w:val="0"/>
          <w:numId w:val="151"/>
        </w:numPr>
        <w:spacing w:before="120"/>
        <w:ind w:left="1800"/>
        <w:contextualSpacing/>
        <w:jc w:val="both"/>
        <w:rPr>
          <w:lang w:val="pt-BR"/>
        </w:rPr>
      </w:pPr>
      <w:r w:rsidRPr="006301EB">
        <w:rPr>
          <w:rFonts w:cs="Tahoma"/>
          <w:snapToGrid w:val="0"/>
          <w:color w:val="000000"/>
          <w:szCs w:val="18"/>
          <w:lang w:val="pt-BR"/>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rsidR="00391D38" w:rsidRPr="006301EB" w:rsidRDefault="00391D38" w:rsidP="00391D38">
      <w:pPr>
        <w:numPr>
          <w:ilvl w:val="0"/>
          <w:numId w:val="151"/>
        </w:numPr>
        <w:spacing w:before="120"/>
        <w:ind w:left="1800"/>
        <w:contextualSpacing/>
        <w:jc w:val="both"/>
        <w:rPr>
          <w:lang w:val="pt-BR"/>
        </w:rPr>
      </w:pPr>
      <w:r w:rsidRPr="006301EB">
        <w:rPr>
          <w:rFonts w:cs="Tahoma"/>
          <w:snapToGrid w:val="0"/>
          <w:color w:val="000000"/>
          <w:szCs w:val="18"/>
          <w:lang w:val="pt-BR"/>
        </w:rPr>
        <w:t>a garantia limitada não se aplica às versões gratuitas, de avaliação, pré-lançamento ou beta dos Serviços Online e</w:t>
      </w:r>
    </w:p>
    <w:p w:rsidR="00391D38" w:rsidRPr="006301EB" w:rsidRDefault="00391D38" w:rsidP="00391D38">
      <w:pPr>
        <w:numPr>
          <w:ilvl w:val="0"/>
          <w:numId w:val="151"/>
        </w:numPr>
        <w:spacing w:before="120"/>
        <w:ind w:left="1800"/>
        <w:contextualSpacing/>
        <w:jc w:val="both"/>
        <w:rPr>
          <w:lang w:val="pt-BR"/>
        </w:rPr>
      </w:pPr>
      <w:r w:rsidRPr="006301EB">
        <w:rPr>
          <w:rFonts w:cs="Tahoma"/>
          <w:snapToGrid w:val="0"/>
          <w:color w:val="000000"/>
          <w:szCs w:val="18"/>
          <w:lang w:val="pt-BR"/>
        </w:rPr>
        <w:t>a garantia limitada não se aplica a problemas causados pela não observância dos requisitos mínimos do sistema.</w:t>
      </w:r>
    </w:p>
    <w:p w:rsidR="009D57D2" w:rsidRPr="006301EB" w:rsidRDefault="009D57D2" w:rsidP="009D57D2">
      <w:pPr>
        <w:spacing w:before="120"/>
        <w:contextualSpacing/>
        <w:jc w:val="both"/>
        <w:rPr>
          <w:rFonts w:cs="Tahoma"/>
          <w:snapToGrid w:val="0"/>
          <w:color w:val="000000"/>
          <w:szCs w:val="18"/>
          <w:lang w:val="pt-BR"/>
        </w:rPr>
      </w:pPr>
    </w:p>
    <w:p w:rsidR="009D57D2" w:rsidRPr="006301EB" w:rsidRDefault="009D57D2" w:rsidP="009D57D2">
      <w:pPr>
        <w:spacing w:before="120"/>
        <w:contextualSpacing/>
        <w:jc w:val="both"/>
        <w:rPr>
          <w:rFonts w:cs="Tahoma"/>
          <w:snapToGrid w:val="0"/>
          <w:color w:val="000000"/>
          <w:szCs w:val="18"/>
          <w:lang w:val="pt-BR"/>
        </w:rPr>
      </w:pPr>
    </w:p>
    <w:p w:rsidR="009D57D2" w:rsidRPr="006301EB" w:rsidRDefault="009D57D2" w:rsidP="009D57D2">
      <w:pPr>
        <w:spacing w:before="120"/>
        <w:contextualSpacing/>
        <w:jc w:val="both"/>
        <w:rPr>
          <w:lang w:val="pt-BR"/>
        </w:rPr>
      </w:pPr>
    </w:p>
    <w:p w:rsidR="00391D38" w:rsidRPr="006301EB" w:rsidRDefault="00391D38" w:rsidP="00391D38">
      <w:pPr>
        <w:spacing w:before="120"/>
        <w:ind w:left="1440"/>
        <w:jc w:val="both"/>
        <w:rPr>
          <w:lang w:val="pt-BR"/>
        </w:rPr>
      </w:pPr>
      <w:r w:rsidRPr="006301EB">
        <w:rPr>
          <w:rFonts w:cs="Tahoma"/>
          <w:b/>
          <w:bCs/>
          <w:snapToGrid w:val="0"/>
          <w:color w:val="000000"/>
          <w:szCs w:val="18"/>
          <w:lang w:val="pt-BR"/>
        </w:rPr>
        <w:lastRenderedPageBreak/>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FB5496" w:rsidRPr="006301EB">
        <w:rPr>
          <w:rFonts w:cs="Tahoma"/>
          <w:b/>
          <w:bCs/>
          <w:snapToGrid w:val="0"/>
          <w:color w:val="000000"/>
          <w:szCs w:val="18"/>
          <w:lang w:val="pt-BR"/>
        </w:rPr>
        <w:t xml:space="preserve"> </w:t>
      </w:r>
      <w:r w:rsidRPr="006301EB">
        <w:rPr>
          <w:rFonts w:cs="Tahoma"/>
          <w:b/>
          <w:bCs/>
          <w:snapToGrid w:val="0"/>
          <w:color w:val="000000"/>
          <w:szCs w:val="18"/>
          <w:lang w:val="pt-BR"/>
        </w:rPr>
        <w:t>A REFERIDA DECLARAÇÃO DE INEXISTÊNCIA DE OUTRAS GARANTIAS APLICAR-SE-Á SEMPRE, SALVO QUANDO A LEI APLICÁVEL NÃO A PERMITIR.</w:t>
      </w:r>
    </w:p>
    <w:p w:rsidR="00391D38" w:rsidRPr="00416070" w:rsidRDefault="00391D38" w:rsidP="007E466C">
      <w:pPr>
        <w:keepNext/>
        <w:spacing w:before="120" w:after="60"/>
        <w:ind w:left="1440"/>
        <w:outlineLvl w:val="0"/>
      </w:pPr>
      <w:r w:rsidRPr="00416070">
        <w:rPr>
          <w:rFonts w:cs="Tahoma"/>
          <w:b/>
          <w:bCs/>
          <w:iCs/>
          <w:snapToGrid w:val="0"/>
          <w:szCs w:val="18"/>
        </w:rPr>
        <w:t>Privacidade e segurança.</w:t>
      </w:r>
    </w:p>
    <w:p w:rsidR="00391D38" w:rsidRPr="006301EB" w:rsidRDefault="00391D38" w:rsidP="00391D38">
      <w:pPr>
        <w:numPr>
          <w:ilvl w:val="1"/>
          <w:numId w:val="158"/>
        </w:numPr>
        <w:spacing w:before="120"/>
        <w:ind w:left="1800"/>
        <w:contextualSpacing/>
        <w:jc w:val="both"/>
        <w:rPr>
          <w:lang w:val="pt-BR"/>
        </w:rPr>
      </w:pPr>
      <w:r w:rsidRPr="006301EB">
        <w:rPr>
          <w:rFonts w:cs="Tahoma"/>
          <w:snapToGrid w:val="0"/>
          <w:color w:val="000000"/>
          <w:szCs w:val="18"/>
          <w:lang w:val="pt-BR"/>
        </w:rPr>
        <w:t>A Microsoft e o cliente deverão cumprir todas as leis e regulamentos aplicáveis (inclusive a lei de notificação de violação de segurança aplicável).</w:t>
      </w:r>
      <w:r w:rsidR="00FB5496" w:rsidRPr="006301EB">
        <w:rPr>
          <w:rFonts w:cs="Tahoma"/>
          <w:snapToGrid w:val="0"/>
          <w:color w:val="000000"/>
          <w:szCs w:val="18"/>
          <w:lang w:val="pt-BR"/>
        </w:rPr>
        <w:t xml:space="preserve"> </w:t>
      </w:r>
      <w:r w:rsidRPr="006301EB">
        <w:rPr>
          <w:rFonts w:cs="Tahoma"/>
          <w:snapToGrid w:val="0"/>
          <w:color w:val="000000"/>
          <w:szCs w:val="18"/>
          <w:lang w:val="pt-BR"/>
        </w:rPr>
        <w:t>No entanto, a Microsoft não é responsável pelo cumprimento de nenhuma lei ou regulamento aplicável ao cliente ou ao seu setor de</w:t>
      </w:r>
      <w:r w:rsidR="004A1891" w:rsidRPr="006301EB">
        <w:rPr>
          <w:rFonts w:cs="Tahoma"/>
          <w:snapToGrid w:val="0"/>
          <w:color w:val="000000"/>
          <w:szCs w:val="18"/>
          <w:lang w:val="pt-BR"/>
        </w:rPr>
        <w:t> </w:t>
      </w:r>
      <w:r w:rsidRPr="006301EB">
        <w:rPr>
          <w:rFonts w:cs="Tahoma"/>
          <w:snapToGrid w:val="0"/>
          <w:color w:val="000000"/>
          <w:szCs w:val="18"/>
          <w:lang w:val="pt-BR"/>
        </w:rPr>
        <w:t>atividade e que não seja geralmente aplicável a services providers de tecnologia da</w:t>
      </w:r>
      <w:r w:rsidR="004A1891" w:rsidRPr="006301EB">
        <w:rPr>
          <w:rFonts w:cs="Tahoma"/>
          <w:snapToGrid w:val="0"/>
          <w:color w:val="000000"/>
          <w:szCs w:val="18"/>
          <w:lang w:val="pt-BR"/>
        </w:rPr>
        <w:t> </w:t>
      </w:r>
      <w:r w:rsidRPr="006301EB">
        <w:rPr>
          <w:rFonts w:cs="Tahoma"/>
          <w:snapToGrid w:val="0"/>
          <w:color w:val="000000"/>
          <w:szCs w:val="18"/>
          <w:lang w:val="pt-BR"/>
        </w:rPr>
        <w:t>informação.</w:t>
      </w:r>
      <w:r w:rsidR="00FB5496" w:rsidRPr="006301EB">
        <w:rPr>
          <w:rFonts w:cs="Tahoma"/>
          <w:snapToGrid w:val="0"/>
          <w:color w:val="000000"/>
          <w:szCs w:val="18"/>
          <w:lang w:val="pt-BR"/>
        </w:rPr>
        <w:t xml:space="preserve"> </w:t>
      </w:r>
      <w:r w:rsidRPr="006301EB">
        <w:rPr>
          <w:rFonts w:cs="Tahoma"/>
          <w:snapToGrid w:val="0"/>
          <w:color w:val="000000"/>
          <w:szCs w:val="18"/>
          <w:lang w:val="pt-BR"/>
        </w:rPr>
        <w:t>O Cliente autoriza o processamento de informações pessoais pela Microsoft e</w:t>
      </w:r>
      <w:r w:rsidR="004A1891" w:rsidRPr="006301EB">
        <w:rPr>
          <w:rFonts w:cs="Tahoma"/>
          <w:snapToGrid w:val="0"/>
          <w:color w:val="000000"/>
          <w:szCs w:val="18"/>
          <w:lang w:val="pt-BR"/>
        </w:rPr>
        <w:t> </w:t>
      </w:r>
      <w:r w:rsidRPr="006301EB">
        <w:rPr>
          <w:rFonts w:cs="Tahoma"/>
          <w:snapToGrid w:val="0"/>
          <w:color w:val="000000"/>
          <w:szCs w:val="18"/>
          <w:lang w:val="pt-BR"/>
        </w:rPr>
        <w:t>seus representantes para facilitar o assunto em questão deste Contrato, incluindo esses</w:t>
      </w:r>
      <w:r w:rsidR="004A1891" w:rsidRPr="006301EB">
        <w:rPr>
          <w:rFonts w:cs="Tahoma"/>
          <w:snapToGrid w:val="0"/>
          <w:color w:val="000000"/>
          <w:szCs w:val="18"/>
          <w:lang w:val="pt-BR"/>
        </w:rPr>
        <w:t> </w:t>
      </w:r>
      <w:r w:rsidRPr="006301EB">
        <w:rPr>
          <w:rFonts w:cs="Tahoma"/>
          <w:snapToGrid w:val="0"/>
          <w:color w:val="000000"/>
          <w:szCs w:val="18"/>
          <w:lang w:val="pt-BR"/>
        </w:rPr>
        <w:t>Termos Complementares.</w:t>
      </w:r>
    </w:p>
    <w:p w:rsidR="00391D38" w:rsidRPr="006301EB" w:rsidRDefault="00391D38" w:rsidP="00391D38">
      <w:pPr>
        <w:numPr>
          <w:ilvl w:val="1"/>
          <w:numId w:val="158"/>
        </w:numPr>
        <w:spacing w:before="120"/>
        <w:ind w:left="1800"/>
        <w:contextualSpacing/>
        <w:jc w:val="both"/>
        <w:rPr>
          <w:lang w:val="pt-BR"/>
        </w:rPr>
      </w:pPr>
      <w:r w:rsidRPr="006301EB">
        <w:rPr>
          <w:rFonts w:cs="Tahoma"/>
          <w:snapToGrid w:val="0"/>
          <w:color w:val="000000"/>
          <w:szCs w:val="18"/>
          <w:lang w:val="pt-BR"/>
        </w:rPr>
        <w:t>O Cliente poderá decidir fornecer informações pessoais à Microsoft em nome de terceiros (incluindo os contatos, revendedores, distribuidores e administradores, e funcionários do cliente) junto com o uso dos Serviços Online ou como parte do Contrato.</w:t>
      </w:r>
      <w:r w:rsidR="00FB5496" w:rsidRPr="006301EB">
        <w:rPr>
          <w:rFonts w:cs="Tahoma"/>
          <w:snapToGrid w:val="0"/>
          <w:color w:val="000000"/>
          <w:szCs w:val="18"/>
          <w:lang w:val="pt-BR"/>
        </w:rPr>
        <w:t xml:space="preserve"> </w:t>
      </w:r>
      <w:r w:rsidRPr="006301EB">
        <w:rPr>
          <w:rFonts w:cs="Tahoma"/>
          <w:snapToGrid w:val="0"/>
          <w:color w:val="000000"/>
          <w:szCs w:val="18"/>
          <w:lang w:val="pt-BR"/>
        </w:rPr>
        <w:t>O Cliente obterá todos os consentimentos necessários de terceiros relacionados às leis de proteção de dados e privacidade aplicáveis antes de fornecer informações pessoais à Microsoft.</w:t>
      </w:r>
    </w:p>
    <w:p w:rsidR="00391D38" w:rsidRPr="006301EB" w:rsidRDefault="00391D38" w:rsidP="00391D38">
      <w:pPr>
        <w:numPr>
          <w:ilvl w:val="1"/>
          <w:numId w:val="158"/>
        </w:numPr>
        <w:spacing w:before="120"/>
        <w:ind w:left="1800"/>
        <w:contextualSpacing/>
        <w:jc w:val="both"/>
        <w:rPr>
          <w:lang w:val="pt-BR"/>
        </w:rPr>
      </w:pPr>
      <w:r w:rsidRPr="006301EB">
        <w:rPr>
          <w:rFonts w:cs="Tahoma"/>
          <w:snapToGrid w:val="0"/>
          <w:color w:val="000000"/>
          <w:szCs w:val="18"/>
          <w:lang w:val="pt-BR"/>
        </w:rPr>
        <w:t xml:space="preserve">As informações pessoais fornecidas pelo cliente em razão deste Contrato ou do uso dos Serviços Online serão processadas de acordo com a política de privacidade disponível no site </w:t>
      </w:r>
      <w:hyperlink r:id="rId53" w:history="1">
        <w:r w:rsidRPr="006301EB">
          <w:rPr>
            <w:rFonts w:cs="Tahoma"/>
            <w:snapToGrid w:val="0"/>
            <w:color w:val="0000FF"/>
            <w:szCs w:val="18"/>
            <w:u w:val="single"/>
            <w:lang w:val="pt-BR"/>
          </w:rPr>
          <w:t>https://www.microsoft.com/licensing/servicecenter</w:t>
        </w:r>
      </w:hyperlink>
      <w:r w:rsidRPr="006301EB">
        <w:rPr>
          <w:rFonts w:cs="Tahoma"/>
          <w:snapToGrid w:val="0"/>
          <w:color w:val="000000"/>
          <w:szCs w:val="18"/>
          <w:lang w:val="pt-BR"/>
        </w:rPr>
        <w:t>, desde que as políticas de privacidade</w:t>
      </w:r>
      <w:r w:rsidR="004A1891" w:rsidRPr="006301EB">
        <w:rPr>
          <w:rFonts w:cs="Tahoma"/>
          <w:snapToGrid w:val="0"/>
          <w:color w:val="000000"/>
          <w:szCs w:val="18"/>
          <w:lang w:val="pt-BR"/>
        </w:rPr>
        <w:t> </w:t>
      </w:r>
      <w:r w:rsidRPr="006301EB">
        <w:rPr>
          <w:rFonts w:cs="Tahoma"/>
          <w:snapToGrid w:val="0"/>
          <w:color w:val="000000"/>
          <w:szCs w:val="18"/>
          <w:lang w:val="pt-BR"/>
        </w:rPr>
        <w:t>específicas do Produto e os detalhes de segurança e privacidade adicionais relacionados aos Serviços Online específicos estejam nos Direitos de Uso do Produto.</w:t>
      </w:r>
      <w:r w:rsidR="00CE7FC5" w:rsidRPr="006301EB">
        <w:rPr>
          <w:rFonts w:cs="Tahoma"/>
          <w:snapToGrid w:val="0"/>
          <w:color w:val="000000"/>
          <w:szCs w:val="18"/>
          <w:lang w:val="pt-BR"/>
        </w:rPr>
        <w:t xml:space="preserve"> </w:t>
      </w:r>
      <w:r w:rsidRPr="006301EB">
        <w:rPr>
          <w:rFonts w:cs="Tahoma"/>
          <w:snapToGrid w:val="0"/>
          <w:color w:val="000000"/>
          <w:szCs w:val="18"/>
          <w:lang w:val="pt-BR"/>
        </w:rPr>
        <w:t>Dados pessoais coletados pelos Serviços Online podem ser transferidos, armazenados e processados nos Estados Unidos ou em qualquer outro país no qual a Microsoft ou service providers mantenham instalações.</w:t>
      </w:r>
      <w:r w:rsidR="00FB5496" w:rsidRPr="006301EB">
        <w:rPr>
          <w:rFonts w:cs="Tahoma"/>
          <w:snapToGrid w:val="0"/>
          <w:color w:val="000000"/>
          <w:szCs w:val="18"/>
          <w:lang w:val="pt-BR"/>
        </w:rPr>
        <w:t xml:space="preserve"> </w:t>
      </w:r>
      <w:r w:rsidRPr="006301EB">
        <w:rPr>
          <w:rFonts w:cs="Tahoma"/>
          <w:snapToGrid w:val="0"/>
          <w:color w:val="000000"/>
          <w:szCs w:val="18"/>
          <w:lang w:val="pt-BR"/>
        </w:rPr>
        <w:t>Ao usar os Serviços Online, o cliente consente com o exposto acima.</w:t>
      </w:r>
      <w:r w:rsidR="00FB5496" w:rsidRPr="006301EB">
        <w:rPr>
          <w:rFonts w:cs="Tahoma"/>
          <w:snapToGrid w:val="0"/>
          <w:color w:val="000000"/>
          <w:szCs w:val="18"/>
          <w:lang w:val="pt-BR"/>
        </w:rPr>
        <w:t xml:space="preserve"> </w:t>
      </w:r>
      <w:r w:rsidRPr="006301EB">
        <w:rPr>
          <w:rFonts w:cs="Tahoma"/>
          <w:snapToGrid w:val="0"/>
          <w:color w:val="000000"/>
          <w:szCs w:val="18"/>
          <w:lang w:val="pt-BR"/>
        </w:rPr>
        <w:t xml:space="preserve">A Microsoft segue as estruturas de </w:t>
      </w:r>
      <w:r w:rsidR="00910E93" w:rsidRPr="006301EB">
        <w:rPr>
          <w:rFonts w:cs="Tahoma"/>
          <w:snapToGrid w:val="0"/>
          <w:color w:val="000000"/>
          <w:szCs w:val="18"/>
          <w:lang w:val="pt-BR"/>
        </w:rPr>
        <w:t>“</w:t>
      </w:r>
      <w:r w:rsidRPr="006301EB">
        <w:rPr>
          <w:rFonts w:cs="Tahoma"/>
          <w:snapToGrid w:val="0"/>
          <w:color w:val="000000"/>
          <w:szCs w:val="18"/>
          <w:lang w:val="pt-BR"/>
        </w:rPr>
        <w:t>EU Safe Harbor</w:t>
      </w:r>
      <w:r w:rsidR="00910E93" w:rsidRPr="006301EB">
        <w:rPr>
          <w:rFonts w:cs="Tahoma"/>
          <w:snapToGrid w:val="0"/>
          <w:color w:val="000000"/>
          <w:szCs w:val="18"/>
          <w:lang w:val="pt-BR"/>
        </w:rPr>
        <w:t>”</w:t>
      </w:r>
      <w:r w:rsidRPr="006301EB">
        <w:rPr>
          <w:rFonts w:cs="Tahoma"/>
          <w:snapToGrid w:val="0"/>
          <w:color w:val="000000"/>
          <w:szCs w:val="18"/>
          <w:lang w:val="pt-BR"/>
        </w:rPr>
        <w:t xml:space="preserve"> (porto seguro americano) e “Swiss Safe Harbor” (porto seguro suíço) estabelecidas pelo Departamento de Comércio dos Estados Unidos da América para a coleta, o uso e a retenção de dados coletados na União Europeia, Área Econômica Europeia e Suíça.</w:t>
      </w:r>
    </w:p>
    <w:p w:rsidR="00391D38" w:rsidRPr="006301EB" w:rsidRDefault="00391D38" w:rsidP="007E466C">
      <w:pPr>
        <w:keepNext/>
        <w:spacing w:before="120" w:after="60"/>
        <w:ind w:left="1440"/>
        <w:outlineLvl w:val="0"/>
        <w:rPr>
          <w:lang w:val="pt-BR"/>
        </w:rPr>
      </w:pPr>
      <w:r w:rsidRPr="006301EB">
        <w:rPr>
          <w:rFonts w:cs="Tahoma"/>
          <w:b/>
          <w:bCs/>
          <w:iCs/>
          <w:snapToGrid w:val="0"/>
          <w:szCs w:val="18"/>
          <w:lang w:val="pt-BR"/>
        </w:rPr>
        <w:t>Compromisso de proteção do cliente.</w:t>
      </w:r>
    </w:p>
    <w:p w:rsidR="00391D38" w:rsidRPr="006301EB" w:rsidRDefault="00391D38" w:rsidP="007E466C">
      <w:pPr>
        <w:ind w:left="1440"/>
        <w:jc w:val="both"/>
        <w:rPr>
          <w:lang w:val="pt-BR"/>
        </w:rPr>
      </w:pPr>
      <w:r w:rsidRPr="006301EB">
        <w:rPr>
          <w:rFonts w:cs="Tahoma"/>
          <w:snapToGrid w:val="0"/>
          <w:color w:val="000000"/>
          <w:szCs w:val="18"/>
          <w:lang w:val="pt-BR"/>
        </w:rPr>
        <w:t>O Cliente defenderá a Microsoft contra qualquer requerimento judicial ou extrajudicial feito por terceiros não afiliados que:</w:t>
      </w:r>
    </w:p>
    <w:p w:rsidR="00391D38" w:rsidRPr="006301EB" w:rsidRDefault="00391D38" w:rsidP="00391D38">
      <w:pPr>
        <w:numPr>
          <w:ilvl w:val="0"/>
          <w:numId w:val="159"/>
        </w:numPr>
        <w:spacing w:before="120"/>
        <w:ind w:left="1980" w:hanging="540"/>
        <w:contextualSpacing/>
        <w:jc w:val="both"/>
        <w:rPr>
          <w:lang w:val="pt-BR"/>
        </w:rPr>
      </w:pPr>
      <w:r w:rsidRPr="006301EB">
        <w:rPr>
          <w:rFonts w:cs="Tahoma"/>
          <w:snapToGrid w:val="0"/>
          <w:color w:val="000000"/>
          <w:szCs w:val="18"/>
          <w:lang w:val="pt-BR"/>
        </w:rPr>
        <w:t>quaisquer Dados do Cliente ou software que não seja da Microsoft que a Microsoft hospeda em nome do cliente violam a patente, os direitos autorais ou a marca comercial de terceiros ou fazem uso ilegal do Segredo Comercial ou</w:t>
      </w:r>
    </w:p>
    <w:p w:rsidR="00391D38" w:rsidRPr="006301EB" w:rsidRDefault="00391D38" w:rsidP="00391D38">
      <w:pPr>
        <w:numPr>
          <w:ilvl w:val="0"/>
          <w:numId w:val="159"/>
        </w:numPr>
        <w:spacing w:before="120"/>
        <w:ind w:left="1980" w:hanging="540"/>
        <w:contextualSpacing/>
        <w:jc w:val="both"/>
        <w:rPr>
          <w:lang w:val="pt-BR"/>
        </w:rPr>
      </w:pPr>
      <w:r w:rsidRPr="006301EB">
        <w:rPr>
          <w:rFonts w:cs="Tahoma"/>
          <w:snapToGrid w:val="0"/>
          <w:color w:val="000000"/>
          <w:szCs w:val="18"/>
          <w:lang w:val="pt-BR"/>
        </w:rPr>
        <w:t>seja decorrente da violação dos termos da Política de Uso Aceitável, descrita nos Direitos de</w:t>
      </w:r>
      <w:r w:rsidR="004A1891" w:rsidRPr="006301EB">
        <w:rPr>
          <w:rFonts w:cs="Tahoma"/>
          <w:snapToGrid w:val="0"/>
          <w:color w:val="000000"/>
          <w:szCs w:val="18"/>
          <w:lang w:val="pt-BR"/>
        </w:rPr>
        <w:t> </w:t>
      </w:r>
      <w:r w:rsidRPr="006301EB">
        <w:rPr>
          <w:rFonts w:cs="Tahoma"/>
          <w:snapToGrid w:val="0"/>
          <w:color w:val="000000"/>
          <w:szCs w:val="18"/>
          <w:lang w:val="pt-BR"/>
        </w:rPr>
        <w:t>Uso do Produto.</w:t>
      </w:r>
    </w:p>
    <w:p w:rsidR="00391D38" w:rsidRPr="006301EB" w:rsidRDefault="00391D38" w:rsidP="00391D38">
      <w:pPr>
        <w:spacing w:before="120"/>
        <w:ind w:left="1440"/>
        <w:jc w:val="both"/>
        <w:rPr>
          <w:lang w:val="pt-BR"/>
        </w:rPr>
      </w:pPr>
      <w:r w:rsidRPr="006301EB">
        <w:rPr>
          <w:rFonts w:cs="Tahoma"/>
          <w:snapToGrid w:val="0"/>
          <w:color w:val="000000"/>
          <w:szCs w:val="18"/>
          <w:lang w:val="pt-BR"/>
        </w:rPr>
        <w:t>O Cliente deverá pagar o valor resultante de qualquer decisão judicial desfavorável transitada em julgado (ou acordo ratificado pelo cliente).</w:t>
      </w:r>
      <w:r w:rsidR="00FB5496" w:rsidRPr="006301EB">
        <w:rPr>
          <w:rFonts w:cs="Tahoma"/>
          <w:snapToGrid w:val="0"/>
          <w:color w:val="000000"/>
          <w:szCs w:val="18"/>
          <w:lang w:val="pt-BR"/>
        </w:rPr>
        <w:t xml:space="preserve"> </w:t>
      </w:r>
      <w:r w:rsidRPr="006301EB">
        <w:rPr>
          <w:rFonts w:cs="Tahoma"/>
          <w:snapToGrid w:val="0"/>
          <w:color w:val="000000"/>
          <w:szCs w:val="18"/>
          <w:lang w:val="pt-BR"/>
        </w:rPr>
        <w:t>A presente seção estabelece o recurso exclusivo disponível da Microsoft para esses requerimentos judiciais ou extrajudiciais.</w:t>
      </w:r>
    </w:p>
    <w:p w:rsidR="00391D38" w:rsidRPr="006301EB" w:rsidRDefault="00391D38" w:rsidP="00391D38">
      <w:pPr>
        <w:spacing w:before="120"/>
        <w:ind w:left="1440"/>
        <w:jc w:val="both"/>
        <w:rPr>
          <w:lang w:val="pt-BR"/>
        </w:rPr>
      </w:pPr>
      <w:r w:rsidRPr="006301EB">
        <w:rPr>
          <w:rFonts w:cs="Tahoma"/>
          <w:snapToGrid w:val="0"/>
          <w:color w:val="000000"/>
          <w:szCs w:val="18"/>
          <w:lang w:val="pt-BR"/>
        </w:rPr>
        <w:t>A Microsoft deverá notificar imediatamente o cliente por escrito sobre um requerimento judicial ou extrajudicial sujeito a esta seção.</w:t>
      </w:r>
      <w:r w:rsidR="00FB5496" w:rsidRPr="006301EB">
        <w:rPr>
          <w:rFonts w:cs="Tahoma"/>
          <w:snapToGrid w:val="0"/>
          <w:color w:val="000000"/>
          <w:szCs w:val="18"/>
          <w:lang w:val="pt-BR"/>
        </w:rPr>
        <w:t xml:space="preserve"> </w:t>
      </w:r>
      <w:r w:rsidRPr="006301EB">
        <w:rPr>
          <w:rFonts w:cs="Tahoma"/>
          <w:snapToGrid w:val="0"/>
          <w:color w:val="000000"/>
          <w:szCs w:val="18"/>
          <w:lang w:val="pt-BR"/>
        </w:rPr>
        <w:t>A Microsoft (1) fornecerá ao cliente controle exclusivo de sua defesa ou acordo referente a tal requerimento e (2) fornecerá assistência razoável na defesa do requerimento. O cliente reembolsará a Microsoft por qualquer despesa razoável incorrida na prestação dessa assistência.</w:t>
      </w:r>
    </w:p>
    <w:p w:rsidR="00391D38" w:rsidRPr="006301EB" w:rsidRDefault="00391D38" w:rsidP="007E466C">
      <w:pPr>
        <w:keepNext/>
        <w:spacing w:before="120" w:after="60"/>
        <w:ind w:left="1440"/>
        <w:outlineLvl w:val="0"/>
        <w:rPr>
          <w:lang w:val="pt-BR"/>
        </w:rPr>
      </w:pPr>
      <w:r w:rsidRPr="006301EB">
        <w:rPr>
          <w:rFonts w:cs="Tahoma"/>
          <w:b/>
          <w:bCs/>
          <w:iCs/>
          <w:snapToGrid w:val="0"/>
          <w:szCs w:val="18"/>
          <w:lang w:val="pt-BR"/>
        </w:rPr>
        <w:t>Limitação de responsabilidade.</w:t>
      </w:r>
    </w:p>
    <w:p w:rsidR="00391D38" w:rsidRPr="00416070" w:rsidRDefault="00391D38" w:rsidP="007E466C">
      <w:pPr>
        <w:ind w:left="1440"/>
        <w:jc w:val="both"/>
      </w:pPr>
      <w:r w:rsidRPr="006301EB">
        <w:rPr>
          <w:rFonts w:cs="Tahoma"/>
          <w:snapToGrid w:val="0"/>
          <w:color w:val="000000"/>
          <w:szCs w:val="18"/>
          <w:lang w:val="pt-BR"/>
        </w:rPr>
        <w:t>Na extensão permitida pela lei aplicável, a obrigação de cada parte, suas Afiliadas e seus Prestadores de Serviços decorrentes da conexão com o Serviço Online está limitada aos danos diretos até o valor que o cliente pagou pelos Serviços Online que originaram essa obrigação durante os 12 meses anteriores.</w:t>
      </w:r>
      <w:r w:rsidR="00FB5496" w:rsidRPr="006301EB">
        <w:rPr>
          <w:rFonts w:cs="Tahoma"/>
          <w:snapToGrid w:val="0"/>
          <w:color w:val="000000"/>
          <w:szCs w:val="18"/>
          <w:lang w:val="pt-BR"/>
        </w:rPr>
        <w:t xml:space="preserve"> </w:t>
      </w:r>
      <w:r w:rsidRPr="006301EB">
        <w:rPr>
          <w:rFonts w:cs="Tahoma"/>
          <w:snapToGrid w:val="0"/>
          <w:color w:val="000000"/>
          <w:szCs w:val="18"/>
          <w:lang w:val="pt-BR"/>
        </w:rPr>
        <w:t xml:space="preserve">Essas limitações se aplicam independentemente de a obrigação se basear em violação de contrato, ato ilícito extracontratual (incluindo negligência), responsabilidade </w:t>
      </w:r>
      <w:r w:rsidRPr="006301EB">
        <w:rPr>
          <w:rFonts w:cs="Tahoma"/>
          <w:snapToGrid w:val="0"/>
          <w:color w:val="000000"/>
          <w:szCs w:val="18"/>
          <w:lang w:val="pt-BR"/>
        </w:rPr>
        <w:lastRenderedPageBreak/>
        <w:t>objetiva, violação das garantias ou qualquer outro embasamento jurídico.</w:t>
      </w:r>
      <w:r w:rsidR="00FB5496" w:rsidRPr="006301EB">
        <w:rPr>
          <w:rFonts w:cs="Tahoma"/>
          <w:snapToGrid w:val="0"/>
          <w:color w:val="000000"/>
          <w:szCs w:val="18"/>
          <w:lang w:val="pt-BR"/>
        </w:rPr>
        <w:t xml:space="preserve"> </w:t>
      </w:r>
      <w:r w:rsidRPr="00416070">
        <w:rPr>
          <w:rFonts w:cs="Tahoma"/>
          <w:snapToGrid w:val="0"/>
          <w:color w:val="000000"/>
          <w:szCs w:val="18"/>
        </w:rPr>
        <w:t>No entanto, essas limitações monetárias não se aplicarão a:</w:t>
      </w:r>
    </w:p>
    <w:p w:rsidR="00391D38" w:rsidRPr="006301EB" w:rsidRDefault="00391D38" w:rsidP="00391D38">
      <w:pPr>
        <w:numPr>
          <w:ilvl w:val="0"/>
          <w:numId w:val="154"/>
        </w:numPr>
        <w:spacing w:before="120"/>
        <w:ind w:left="1890" w:hanging="450"/>
        <w:contextualSpacing/>
        <w:jc w:val="both"/>
        <w:rPr>
          <w:lang w:val="pt-BR"/>
        </w:rPr>
      </w:pPr>
      <w:r w:rsidRPr="006301EB">
        <w:rPr>
          <w:rFonts w:cs="Tahoma"/>
          <w:snapToGrid w:val="0"/>
          <w:color w:val="000000"/>
          <w:szCs w:val="18"/>
          <w:lang w:val="pt-BR"/>
        </w:rPr>
        <w:t xml:space="preserve">obrigações da Microsoft de acordo com a seção do Master Agreement intitulada </w:t>
      </w:r>
      <w:r w:rsidR="00910E93" w:rsidRPr="006301EB">
        <w:rPr>
          <w:rFonts w:cs="Tahoma"/>
          <w:snapToGrid w:val="0"/>
          <w:color w:val="000000"/>
          <w:szCs w:val="18"/>
          <w:lang w:val="pt-BR"/>
        </w:rPr>
        <w:t>“</w:t>
      </w:r>
      <w:r w:rsidRPr="006301EB">
        <w:rPr>
          <w:rFonts w:cs="Tahoma"/>
          <w:snapToGrid w:val="0"/>
          <w:color w:val="000000"/>
          <w:szCs w:val="18"/>
          <w:lang w:val="pt-BR"/>
        </w:rPr>
        <w:t>Defesa contra violação, apropriação indébita e requerimentos judiciais ou extrajudiciais de terceiros</w:t>
      </w:r>
      <w:r w:rsidR="00910E93" w:rsidRPr="006301EB">
        <w:rPr>
          <w:rFonts w:cs="Tahoma"/>
          <w:snapToGrid w:val="0"/>
          <w:color w:val="000000"/>
          <w:szCs w:val="18"/>
          <w:lang w:val="pt-BR"/>
        </w:rPr>
        <w:t>”</w:t>
      </w:r>
      <w:r w:rsidRPr="006301EB">
        <w:rPr>
          <w:rFonts w:cs="Tahoma"/>
          <w:snapToGrid w:val="0"/>
          <w:color w:val="000000"/>
          <w:szCs w:val="18"/>
          <w:lang w:val="pt-BR"/>
        </w:rPr>
        <w:t xml:space="preserve"> ou obrigações do cliente de acordo com a seção dos Termos Complementares intitulada “Compromisso de proteção do cliente”;</w:t>
      </w:r>
    </w:p>
    <w:p w:rsidR="00391D38" w:rsidRPr="006301EB" w:rsidRDefault="00391D38" w:rsidP="00391D38">
      <w:pPr>
        <w:numPr>
          <w:ilvl w:val="0"/>
          <w:numId w:val="154"/>
        </w:numPr>
        <w:spacing w:before="120"/>
        <w:ind w:left="1890" w:hanging="450"/>
        <w:contextualSpacing/>
        <w:jc w:val="both"/>
        <w:rPr>
          <w:lang w:val="pt-BR"/>
        </w:rPr>
      </w:pPr>
      <w:r w:rsidRPr="006301EB">
        <w:rPr>
          <w:rFonts w:cs="Tahoma"/>
          <w:snapToGrid w:val="0"/>
          <w:color w:val="000000"/>
          <w:szCs w:val="18"/>
          <w:lang w:val="pt-BR"/>
        </w:rP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rsidR="00391D38" w:rsidRPr="006301EB" w:rsidRDefault="00391D38" w:rsidP="00391D38">
      <w:pPr>
        <w:numPr>
          <w:ilvl w:val="0"/>
          <w:numId w:val="154"/>
        </w:numPr>
        <w:spacing w:before="120"/>
        <w:ind w:left="1890" w:hanging="450"/>
        <w:contextualSpacing/>
        <w:jc w:val="both"/>
        <w:rPr>
          <w:lang w:val="pt-BR"/>
        </w:rPr>
      </w:pPr>
      <w:r w:rsidRPr="006301EB">
        <w:rPr>
          <w:rFonts w:cs="Tahoma"/>
          <w:snapToGrid w:val="0"/>
          <w:color w:val="000000"/>
          <w:szCs w:val="18"/>
          <w:lang w:val="pt-BR"/>
        </w:rPr>
        <w:t>violação por uma parte dos direitos de propriedade intelectual da outra parte.</w:t>
      </w:r>
    </w:p>
    <w:p w:rsidR="00391D38" w:rsidRPr="006301EB" w:rsidRDefault="00391D38" w:rsidP="00391D38">
      <w:pPr>
        <w:spacing w:before="120"/>
        <w:ind w:left="1440"/>
        <w:jc w:val="both"/>
        <w:rPr>
          <w:lang w:val="pt-BR"/>
        </w:rPr>
      </w:pPr>
      <w:r w:rsidRPr="006301EB">
        <w:rPr>
          <w:rFonts w:cs="Tahoma"/>
          <w:b/>
          <w:bCs/>
          <w:snapToGrid w:val="0"/>
          <w:color w:val="000000"/>
          <w:szCs w:val="18"/>
          <w:lang w:val="pt-BR"/>
        </w:rP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FB5496" w:rsidRPr="006301EB">
        <w:rPr>
          <w:rFonts w:cs="Tahoma"/>
          <w:b/>
          <w:bCs/>
          <w:snapToGrid w:val="0"/>
          <w:color w:val="000000"/>
          <w:szCs w:val="18"/>
          <w:lang w:val="pt-BR"/>
        </w:rPr>
        <w:t xml:space="preserve"> </w:t>
      </w:r>
      <w:r w:rsidRPr="006301EB">
        <w:rPr>
          <w:rFonts w:cs="Tahoma"/>
          <w:b/>
          <w:bCs/>
          <w:snapToGrid w:val="0"/>
          <w:color w:val="000000"/>
          <w:szCs w:val="18"/>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910E93" w:rsidRPr="006301EB">
        <w:rPr>
          <w:rFonts w:cs="Tahoma"/>
          <w:b/>
          <w:bCs/>
          <w:snapToGrid w:val="0"/>
          <w:color w:val="000000"/>
          <w:szCs w:val="18"/>
          <w:lang w:val="pt-BR"/>
        </w:rPr>
        <w:t>“</w:t>
      </w:r>
      <w:r w:rsidRPr="006301EB">
        <w:rPr>
          <w:rFonts w:cs="Tahoma"/>
          <w:b/>
          <w:bCs/>
          <w:snapToGrid w:val="0"/>
          <w:color w:val="000000"/>
          <w:szCs w:val="18"/>
          <w:lang w:val="pt-BR"/>
        </w:rPr>
        <w:t>DEFESA CONTRA VIOLAÇÃO, APROPRIAÇÃO INDÉBITA E REQUERIMENTOS JUDICIAIS OU EXTRAJUDICIAIS DE TERCEIROS</w:t>
      </w:r>
      <w:r w:rsidR="00910E93" w:rsidRPr="006301EB">
        <w:rPr>
          <w:rFonts w:cs="Tahoma"/>
          <w:b/>
          <w:bCs/>
          <w:snapToGrid w:val="0"/>
          <w:color w:val="000000"/>
          <w:szCs w:val="18"/>
          <w:lang w:val="pt-BR"/>
        </w:rPr>
        <w:t>”</w:t>
      </w:r>
      <w:r w:rsidRPr="006301EB">
        <w:rPr>
          <w:rFonts w:cs="Tahoma"/>
          <w:b/>
          <w:bCs/>
          <w:snapToGrid w:val="0"/>
          <w:color w:val="000000"/>
          <w:szCs w:val="18"/>
          <w:lang w:val="pt-BR"/>
        </w:rPr>
        <w:t xml:space="preserve"> OU OBRIGAÇÕES DO CLIENTE DE ACORDO COM A SEÇÃO DOS TERMOS COMPLEMENTARES INTITULADA </w:t>
      </w:r>
      <w:r w:rsidR="00910E93" w:rsidRPr="006301EB">
        <w:rPr>
          <w:rFonts w:cs="Tahoma"/>
          <w:b/>
          <w:bCs/>
          <w:snapToGrid w:val="0"/>
          <w:color w:val="000000"/>
          <w:szCs w:val="18"/>
          <w:lang w:val="pt-BR"/>
        </w:rPr>
        <w:t>“</w:t>
      </w:r>
      <w:r w:rsidRPr="006301EB">
        <w:rPr>
          <w:rFonts w:cs="Tahoma"/>
          <w:b/>
          <w:bCs/>
          <w:snapToGrid w:val="0"/>
          <w:color w:val="000000"/>
          <w:szCs w:val="18"/>
          <w:lang w:val="pt-BR"/>
        </w:rPr>
        <w:t>COMPROMISSO DE PROTEÇÃO DO CLIENTE</w:t>
      </w:r>
      <w:r w:rsidR="00910E93" w:rsidRPr="006301EB">
        <w:rPr>
          <w:rFonts w:cs="Tahoma"/>
          <w:b/>
          <w:bCs/>
          <w:snapToGrid w:val="0"/>
          <w:color w:val="000000"/>
          <w:szCs w:val="18"/>
          <w:lang w:val="pt-BR"/>
        </w:rPr>
        <w:t>”</w:t>
      </w:r>
      <w:r w:rsidRPr="006301EB">
        <w:rPr>
          <w:rFonts w:cs="Tahoma"/>
          <w:b/>
          <w:bCs/>
          <w:snapToGrid w:val="0"/>
          <w:color w:val="000000"/>
          <w:szCs w:val="18"/>
          <w:lang w:val="pt-BR"/>
        </w:rPr>
        <w:t>.</w:t>
      </w:r>
    </w:p>
    <w:p w:rsidR="00391D38" w:rsidRPr="006301EB" w:rsidRDefault="00391D38" w:rsidP="007E466C">
      <w:pPr>
        <w:keepNext/>
        <w:spacing w:before="120" w:after="60"/>
        <w:ind w:left="1440"/>
        <w:outlineLvl w:val="0"/>
        <w:rPr>
          <w:lang w:val="pt-BR"/>
        </w:rPr>
      </w:pPr>
      <w:r w:rsidRPr="006301EB">
        <w:rPr>
          <w:rFonts w:cs="Tahoma"/>
          <w:b/>
          <w:bCs/>
          <w:iCs/>
          <w:snapToGrid w:val="0"/>
          <w:szCs w:val="18"/>
          <w:lang w:val="pt-BR"/>
        </w:rPr>
        <w:t>Subcontratados.</w:t>
      </w:r>
    </w:p>
    <w:p w:rsidR="00391D38" w:rsidRPr="006301EB" w:rsidRDefault="00391D38" w:rsidP="00391D38">
      <w:pPr>
        <w:ind w:left="1440"/>
        <w:rPr>
          <w:lang w:val="pt-BR"/>
        </w:rPr>
      </w:pPr>
      <w:r w:rsidRPr="006301EB">
        <w:rPr>
          <w:rFonts w:cs="Tahoma"/>
          <w:snapToGrid w:val="0"/>
          <w:szCs w:val="18"/>
          <w:lang w:val="pt-BR"/>
        </w:rPr>
        <w:t>A Microsoft usará Prestadores de Serviços para dar suporte aos Serviços Online.</w:t>
      </w:r>
      <w:r w:rsidR="00FB5496" w:rsidRPr="006301EB">
        <w:rPr>
          <w:rFonts w:cs="Tahoma"/>
          <w:snapToGrid w:val="0"/>
          <w:szCs w:val="18"/>
          <w:lang w:val="pt-BR"/>
        </w:rPr>
        <w:t xml:space="preserve"> </w:t>
      </w:r>
      <w:r w:rsidRPr="006301EB">
        <w:rPr>
          <w:rFonts w:cs="Tahoma"/>
          <w:snapToGrid w:val="0"/>
          <w:szCs w:val="18"/>
          <w:lang w:val="pt-BR"/>
        </w:rPr>
        <w:t>A Microsoft se responsabiliza pelo desempenho deles, sujeitos aos termos do contrato de Licenciamento por Volume do Cliente</w:t>
      </w:r>
    </w:p>
    <w:p w:rsidR="001C4B96" w:rsidRDefault="001C4B96" w:rsidP="001C4B96">
      <w:pPr>
        <w:spacing w:after="60"/>
        <w:ind w:left="720"/>
        <w:rPr>
          <w:rFonts w:cs="Tahoma"/>
          <w:b/>
          <w:color w:val="000000"/>
          <w:lang w:val="pt-BR"/>
        </w:rPr>
      </w:pPr>
    </w:p>
    <w:p w:rsidR="001C4B96" w:rsidRDefault="001C4B96" w:rsidP="001C4B96">
      <w:pPr>
        <w:spacing w:after="60"/>
        <w:ind w:left="720"/>
        <w:rPr>
          <w:rFonts w:cs="Tahoma"/>
        </w:rPr>
      </w:pPr>
      <w:r>
        <w:rPr>
          <w:rFonts w:cs="Tahoma"/>
          <w:b/>
          <w:color w:val="000000"/>
          <w:lang w:val="pt-BR"/>
        </w:rPr>
        <w:t>Direitos de Adequação (“True-up”)</w:t>
      </w:r>
    </w:p>
    <w:p w:rsidR="001C4B96" w:rsidRDefault="001C4B96" w:rsidP="001C4B96">
      <w:pPr>
        <w:ind w:left="720"/>
        <w:rPr>
          <w:rFonts w:cs="Tahoma"/>
          <w:spacing w:val="-2"/>
          <w:lang w:val="pt-BR"/>
        </w:rPr>
      </w:pPr>
      <w:r>
        <w:rPr>
          <w:rFonts w:cs="Tahoma"/>
          <w:spacing w:val="-2"/>
          <w:szCs w:val="18"/>
          <w:lang w:val="pt-BR"/>
        </w:rPr>
        <w:t>Não obstante qualquer outra disposição em contrário nos Direitos de Uso do Produto</w:t>
      </w:r>
      <w:r>
        <w:rPr>
          <w:rFonts w:cs="Tahoma"/>
          <w:color w:val="000000"/>
          <w:spacing w:val="-2"/>
          <w:lang w:val="pt-BR"/>
        </w:rPr>
        <w:t>para Forefront Unified Access Gateway 2010 a partir de 1º de dezembro de 2012 para Clientes Qualificados, as licenças do Pacote de CALs Empresariais adquiridas sob os direitos de true-up depois de 1º de dezembro de 2012 permitem o acesso ao Forefront Unified Access Gateway 2010. “Clientes Qualificados”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(“true-up”). Essa exceção se aplica somente a licenças adquiridas sob os direitos de adequação (“true-up”) antes da primeira renovação do Cliente Qualificado após 1º de dezembro de 2012. Consulte a seção “Direitos de Uso Estendidos para produtos Forefront” abaixo para obter os direitos de uso estendidos sob o Pacote de CALs Empresariais para componentes do Forefront Protection Suite (parte do Pacote de CALs Empresariais até 30 de novembro de 2012).</w:t>
      </w:r>
    </w:p>
    <w:p w:rsidR="001C4B96" w:rsidRDefault="001C4B96" w:rsidP="001C4B96">
      <w:pPr>
        <w:ind w:left="720"/>
        <w:rPr>
          <w:rFonts w:cs="Tahoma"/>
          <w:lang w:val="pt-BR"/>
        </w:rPr>
      </w:pPr>
    </w:p>
    <w:p w:rsidR="001C4B96" w:rsidRDefault="001C4B96" w:rsidP="001C4B96">
      <w:pPr>
        <w:ind w:left="720"/>
        <w:rPr>
          <w:rFonts w:cs="Tahoma"/>
        </w:rPr>
      </w:pPr>
      <w:r>
        <w:rPr>
          <w:rFonts w:cs="Tahoma"/>
          <w:color w:val="000000"/>
          <w:lang w:val="pt-BR"/>
        </w:rPr>
        <w:t>Renovação do Software Assurance para Forefront Unified Access Gateway fora do Pacote de CALs Empresariais</w:t>
      </w:r>
    </w:p>
    <w:p w:rsidR="001C4B96" w:rsidRDefault="001C4B96" w:rsidP="001C4B96">
      <w:pPr>
        <w:ind w:left="720"/>
        <w:rPr>
          <w:rFonts w:cs="Tahoma"/>
          <w:lang w:val="pt-BR"/>
        </w:rPr>
      </w:pPr>
      <w:r>
        <w:rPr>
          <w:rFonts w:cs="Tahoma"/>
          <w:color w:val="000000"/>
          <w:lang w:val="pt-BR"/>
        </w:rPr>
        <w:t xml:space="preserve">Os clientes licenciados a usar as licenças do Forefront Unified Access Gateway sob o Pacote de 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 Forefront </w:t>
      </w:r>
      <w:r>
        <w:rPr>
          <w:rFonts w:cs="Tahoma"/>
          <w:color w:val="000000"/>
          <w:lang w:val="pt-BR"/>
        </w:rPr>
        <w:lastRenderedPageBreak/>
        <w:t>Unified Access Gateway é válida para uma série de licenças até o número total de licenças do Pacote de CALs Empresariais com Software Assurance imediatamente antes da renovação.</w:t>
      </w:r>
    </w:p>
    <w:p w:rsidR="00391D38" w:rsidRPr="006301EB" w:rsidRDefault="00391D38" w:rsidP="0084072C">
      <w:pPr>
        <w:ind w:left="720"/>
        <w:rPr>
          <w:lang w:val="pt-BR"/>
        </w:rPr>
      </w:pPr>
    </w:p>
    <w:p w:rsidR="004E3869" w:rsidRPr="006301EB" w:rsidRDefault="00A2724A" w:rsidP="0084072C">
      <w:pPr>
        <w:spacing w:after="60"/>
        <w:ind w:left="720"/>
        <w:rPr>
          <w:lang w:val="pt-BR"/>
        </w:rPr>
      </w:pPr>
      <w:r w:rsidRPr="006301EB">
        <w:rPr>
          <w:rFonts w:cs="Tahoma"/>
          <w:b/>
          <w:color w:val="000000"/>
          <w:szCs w:val="20"/>
          <w:lang w:val="pt-BR"/>
        </w:rPr>
        <w:t>Direitos de Uso Estendido para produtos Forefront</w:t>
      </w:r>
    </w:p>
    <w:p w:rsidR="00C349AE" w:rsidRPr="006301EB" w:rsidRDefault="00793CBD" w:rsidP="0084072C">
      <w:pPr>
        <w:ind w:left="720"/>
        <w:rPr>
          <w:lang w:val="pt-BR"/>
        </w:rPr>
      </w:pPr>
      <w:r w:rsidRPr="006301EB">
        <w:rPr>
          <w:rFonts w:cs="Tahoma"/>
          <w:bCs/>
          <w:color w:val="000000"/>
          <w:szCs w:val="18"/>
          <w:lang w:val="pt-BR"/>
        </w:rPr>
        <w:t>Os Clientes com cobertura do Software Assurance ativa para o Pacote de CALs Empresariais a partir de 30</w:t>
      </w:r>
      <w:r w:rsidR="00397ADC" w:rsidRPr="006301EB">
        <w:rPr>
          <w:rFonts w:cs="Tahoma"/>
          <w:bCs/>
          <w:color w:val="000000"/>
          <w:szCs w:val="18"/>
          <w:lang w:val="pt-BR"/>
        </w:rPr>
        <w:t> </w:t>
      </w:r>
      <w:r w:rsidRPr="006301EB">
        <w:rPr>
          <w:rFonts w:cs="Tahoma"/>
          <w:bCs/>
          <w:color w:val="000000"/>
          <w:szCs w:val="18"/>
          <w:lang w:val="pt-BR"/>
        </w:rPr>
        <w:t>de novembro de 2012 podem continuar usando os serviços de componentes do Forefront Protection Suite (anteriormente parte do Pacote de CALs Empresariais) até o término e/ou renovação desta cobertura.</w:t>
      </w:r>
      <w:r w:rsidR="00FB5496" w:rsidRPr="006301EB">
        <w:rPr>
          <w:rFonts w:cs="Tahoma"/>
          <w:bCs/>
          <w:color w:val="000000"/>
          <w:szCs w:val="18"/>
          <w:lang w:val="pt-BR"/>
        </w:rPr>
        <w:t xml:space="preserve"> </w:t>
      </w:r>
      <w:r w:rsidRPr="006301EB">
        <w:rPr>
          <w:rFonts w:cs="Tahoma"/>
          <w:bCs/>
          <w:color w:val="000000"/>
          <w:szCs w:val="18"/>
          <w:lang w:val="pt-BR"/>
        </w:rPr>
        <w:t xml:space="preserve">Esses clientes também podem continuar a usar os componentes do </w:t>
      </w:r>
      <w:r w:rsidRPr="006301EB">
        <w:rPr>
          <w:rFonts w:cs="Tahoma"/>
          <w:color w:val="000000"/>
          <w:szCs w:val="20"/>
          <w:lang w:val="pt-BR"/>
        </w:rPr>
        <w:t xml:space="preserve">Forefront para Office Communications Server, Forefront Protection 2010 para Exchange Server, Forefront Threat Management Gateway Web Protection Service e Forefront Protection 2010 para SharePoint Server </w:t>
      </w:r>
      <w:r w:rsidRPr="006301EB">
        <w:rPr>
          <w:rFonts w:cs="Tahoma"/>
          <w:bCs/>
          <w:color w:val="000000"/>
          <w:szCs w:val="18"/>
          <w:lang w:val="pt-BR"/>
        </w:rPr>
        <w:t>do pacote até 31 de dezembro de 2015. Esses termos também se aplicam a licenças do Pacote de CALs Empresariais adquiridas por esses clientes antes de 31 de dezembro de 2015. O uso contínuo dos serviços online de componentes permanece sujeito aos termos e às condições do Contrato de Licenciamento por Volume do cliente, dos direitos de uso de produto para os serviços online e dos termos e das condições aqui.</w:t>
      </w:r>
    </w:p>
    <w:p w:rsidR="00C349AE" w:rsidRPr="006301EB" w:rsidRDefault="00C349AE" w:rsidP="0084072C">
      <w:pPr>
        <w:ind w:left="720"/>
        <w:rPr>
          <w:lang w:val="pt-BR"/>
        </w:rPr>
      </w:pPr>
    </w:p>
    <w:p w:rsidR="004E3869" w:rsidRPr="006301EB" w:rsidRDefault="004E3869" w:rsidP="0084072C">
      <w:pPr>
        <w:spacing w:after="60"/>
        <w:ind w:left="720"/>
        <w:rPr>
          <w:lang w:val="pt-BR"/>
        </w:rPr>
      </w:pPr>
      <w:r w:rsidRPr="006301EB">
        <w:rPr>
          <w:rFonts w:cs="Tahoma"/>
          <w:b/>
          <w:color w:val="000000"/>
          <w:szCs w:val="20"/>
          <w:lang w:val="pt-BR"/>
        </w:rPr>
        <w:t xml:space="preserve">Forefront Protection Suite </w:t>
      </w:r>
    </w:p>
    <w:p w:rsidR="004E3869" w:rsidRPr="006301EB" w:rsidRDefault="004E3869" w:rsidP="009D57D2">
      <w:pPr>
        <w:ind w:left="720"/>
        <w:rPr>
          <w:lang w:val="pt-BR"/>
        </w:rPr>
      </w:pPr>
      <w:r w:rsidRPr="006301EB">
        <w:rPr>
          <w:rFonts w:cs="Tahoma"/>
          <w:color w:val="000000"/>
          <w:szCs w:val="20"/>
          <w:lang w:val="pt-BR"/>
        </w:rPr>
        <w:t>Uma assinatura do Forefront Protection Suite consiste nos seguintes serviços online:</w:t>
      </w:r>
      <w:r w:rsidR="00FB5496" w:rsidRPr="006301EB">
        <w:rPr>
          <w:rFonts w:cs="Tahoma"/>
          <w:color w:val="000000"/>
          <w:szCs w:val="20"/>
          <w:lang w:val="pt-BR"/>
        </w:rPr>
        <w:t xml:space="preserve"> </w:t>
      </w:r>
      <w:r w:rsidRPr="006301EB">
        <w:rPr>
          <w:rFonts w:cs="Tahoma"/>
          <w:color w:val="000000"/>
          <w:szCs w:val="20"/>
          <w:lang w:val="pt-BR"/>
        </w:rPr>
        <w:t>System Center 2012 Endpoint Protection, Forefront para Office Communications Server (anteriormente, Antigen para Serviço de</w:t>
      </w:r>
      <w:r w:rsidR="009D57D2" w:rsidRPr="006301EB">
        <w:rPr>
          <w:rFonts w:cs="Tahoma"/>
          <w:color w:val="000000"/>
          <w:szCs w:val="20"/>
          <w:lang w:val="pt-BR"/>
        </w:rPr>
        <w:t> </w:t>
      </w:r>
      <w:r w:rsidRPr="006301EB">
        <w:rPr>
          <w:rFonts w:cs="Tahoma"/>
          <w:color w:val="000000"/>
          <w:szCs w:val="20"/>
          <w:lang w:val="pt-BR"/>
        </w:rPr>
        <w:t>Mensagens Instantâneas), Forefront Online Protection para Exchange (anteriormente, Exchange Hosted Filtering), Forefront Protection 2010 para Exchange Server, Forefront Threat Management Gateway Web Protection Service e Forefront Protecti</w:t>
      </w:r>
      <w:r w:rsidR="009D57D2" w:rsidRPr="006301EB">
        <w:rPr>
          <w:rFonts w:cs="Tahoma"/>
          <w:color w:val="000000"/>
          <w:szCs w:val="20"/>
          <w:lang w:val="pt-BR"/>
        </w:rPr>
        <w:t>on 2010 para SharePoint Server.</w:t>
      </w:r>
    </w:p>
    <w:p w:rsidR="00B2460D" w:rsidRPr="006301EB" w:rsidRDefault="00B2460D" w:rsidP="0084072C">
      <w:pPr>
        <w:ind w:left="720"/>
        <w:rPr>
          <w:lang w:val="pt-BR"/>
        </w:rPr>
      </w:pPr>
    </w:p>
    <w:p w:rsidR="00023FE7" w:rsidRPr="006301EB" w:rsidRDefault="00023FE7" w:rsidP="0084072C">
      <w:pPr>
        <w:spacing w:after="60"/>
        <w:ind w:left="720"/>
        <w:rPr>
          <w:lang w:val="pt-BR"/>
        </w:rPr>
      </w:pPr>
      <w:r w:rsidRPr="006301EB">
        <w:rPr>
          <w:rFonts w:cs="Tahoma"/>
          <w:b/>
          <w:color w:val="000000"/>
          <w:szCs w:val="20"/>
          <w:lang w:val="pt-BR"/>
        </w:rPr>
        <w:t>CALs Somente para Aluno (Licença Academic Open e Academic Select)</w:t>
      </w:r>
    </w:p>
    <w:p w:rsidR="00023FE7" w:rsidRPr="006301EB" w:rsidRDefault="00023FE7" w:rsidP="0084072C">
      <w:pPr>
        <w:ind w:left="720"/>
        <w:rPr>
          <w:lang w:val="pt-BR"/>
        </w:rPr>
      </w:pPr>
      <w:r w:rsidRPr="006301EB">
        <w:rPr>
          <w:rFonts w:cs="Tahoma"/>
          <w:szCs w:val="20"/>
          <w:lang w:val="pt-BR"/>
        </w:rPr>
        <w:t>As CALs Somente para Aluno estão restritas a PCs de propriedade de um aluno ou de uma instituição licenciados dedicados a um aluno individual e NÃO se destinam ao uso em laboratórios ou salas de aula.</w:t>
      </w:r>
    </w:p>
    <w:p w:rsidR="00241885" w:rsidRPr="00416070" w:rsidRDefault="00A7003F" w:rsidP="00241885">
      <w:pPr>
        <w:pStyle w:val="Heading3"/>
      </w:pPr>
      <w:bookmarkStart w:id="1206" w:name="_43_Exchange_Enterprise"/>
      <w:bookmarkStart w:id="1207" w:name="_43_CAL_Empresarial"/>
      <w:bookmarkStart w:id="1208" w:name="_Toc352234369"/>
      <w:bookmarkStart w:id="1209" w:name="_Toc336338305"/>
      <w:bookmarkStart w:id="1210" w:name="Srv_45ExchOnlineArchivingUserSL"/>
      <w:bookmarkEnd w:id="1206"/>
      <w:bookmarkEnd w:id="1207"/>
      <w:r w:rsidRPr="00416070">
        <w:rPr>
          <w:rFonts w:ascii="Tahoma" w:hAnsi="Tahoma"/>
          <w:caps/>
          <w:color w:val="F66400"/>
          <w:sz w:val="22"/>
          <w:vertAlign w:val="superscript"/>
        </w:rPr>
        <w:t>43</w:t>
      </w:r>
      <w:r w:rsidRPr="00416070">
        <w:rPr>
          <w:rFonts w:ascii="Tahoma" w:hAnsi="Tahoma"/>
          <w:color w:val="F66400"/>
          <w:sz w:val="22"/>
        </w:rPr>
        <w:t xml:space="preserve"> CAL Empresarial do Exchange com Serviço 2013</w:t>
      </w:r>
      <w:bookmarkEnd w:id="1208"/>
    </w:p>
    <w:p w:rsidR="00241885" w:rsidRPr="006301EB" w:rsidRDefault="00241885" w:rsidP="00241885">
      <w:pPr>
        <w:rPr>
          <w:lang w:val="pt-BR"/>
        </w:rPr>
      </w:pPr>
    </w:p>
    <w:p w:rsidR="00241885" w:rsidRPr="006301EB" w:rsidRDefault="00241885" w:rsidP="00241885">
      <w:pPr>
        <w:ind w:left="720"/>
        <w:rPr>
          <w:lang w:val="pt-BR"/>
        </w:rPr>
      </w:pPr>
      <w:r w:rsidRPr="006301EB">
        <w:rPr>
          <w:rFonts w:cs="Tahoma"/>
          <w:szCs w:val="20"/>
          <w:lang w:val="pt-BR"/>
        </w:rPr>
        <w:t>A partir de 1</w:t>
      </w:r>
      <w:r w:rsidR="00557CB6" w:rsidRPr="006301EB">
        <w:rPr>
          <w:rFonts w:eastAsia="Calibri" w:cs="Tahoma"/>
          <w:szCs w:val="18"/>
          <w:vertAlign w:val="superscript"/>
          <w:lang w:val="pt-BR"/>
        </w:rPr>
        <w:t>º</w:t>
      </w:r>
      <w:r w:rsidRPr="006301EB">
        <w:rPr>
          <w:rFonts w:cs="Tahoma"/>
          <w:szCs w:val="20"/>
          <w:lang w:val="pt-BR"/>
        </w:rPr>
        <w:t>. de abril de 2013, uma CAL Empresarial do Exchange com Serviços 2013 com cobertura ativa do Software Assurance inclui os direitos de Prevenção à Perda de Dado</w:t>
      </w:r>
      <w:r w:rsidR="009D57D2" w:rsidRPr="006301EB">
        <w:rPr>
          <w:rFonts w:cs="Tahoma"/>
          <w:szCs w:val="20"/>
          <w:lang w:val="pt-BR"/>
        </w:rPr>
        <w:t>s e Exchange Online Protection.</w:t>
      </w:r>
    </w:p>
    <w:p w:rsidR="00241885" w:rsidRPr="006301EB" w:rsidRDefault="00241885" w:rsidP="00241885">
      <w:pPr>
        <w:ind w:left="720"/>
        <w:rPr>
          <w:lang w:val="pt-BR"/>
        </w:rPr>
      </w:pPr>
    </w:p>
    <w:p w:rsidR="00241885" w:rsidRPr="006301EB" w:rsidRDefault="00241885" w:rsidP="00241885">
      <w:pPr>
        <w:ind w:left="720"/>
        <w:rPr>
          <w:lang w:val="pt-BR"/>
        </w:rPr>
      </w:pPr>
      <w:r w:rsidRPr="006301EB">
        <w:rPr>
          <w:rFonts w:cs="Tahoma"/>
          <w:szCs w:val="20"/>
          <w:lang w:val="pt-BR"/>
        </w:rPr>
        <w:t>Para começar a usar esses serviços, o cliente deve entrar em contato com seu Microsoft Partner, que pode iniciar o processo de provisionamento exigido para ativar cada serviço.</w:t>
      </w:r>
    </w:p>
    <w:p w:rsidR="002512D3" w:rsidRPr="006301EB" w:rsidRDefault="002512D3">
      <w:pPr>
        <w:rPr>
          <w:lang w:val="pt-BR"/>
        </w:rPr>
      </w:pPr>
    </w:p>
    <w:p w:rsidR="00C175DE" w:rsidRPr="006301EB" w:rsidRDefault="00C175DE" w:rsidP="00C175DE">
      <w:pPr>
        <w:spacing w:after="60"/>
        <w:ind w:left="720"/>
        <w:rPr>
          <w:lang w:val="pt-BR"/>
        </w:rPr>
      </w:pPr>
      <w:r w:rsidRPr="006301EB">
        <w:rPr>
          <w:rFonts w:cs="Tahoma"/>
          <w:b/>
          <w:color w:val="000000"/>
          <w:szCs w:val="20"/>
          <w:lang w:val="pt-BR"/>
        </w:rPr>
        <w:t>Serviços Online</w:t>
      </w:r>
    </w:p>
    <w:p w:rsidR="00C175DE" w:rsidRPr="006301EB" w:rsidRDefault="00C175DE" w:rsidP="00C175DE">
      <w:pPr>
        <w:spacing w:after="60"/>
        <w:ind w:left="720"/>
        <w:rPr>
          <w:lang w:val="pt-BR"/>
        </w:rPr>
      </w:pPr>
      <w:r w:rsidRPr="006301EB">
        <w:rPr>
          <w:snapToGrid w:val="0"/>
          <w:lang w:val="pt-BR"/>
        </w:rPr>
        <w:t xml:space="preserve">Se o cliente ou sua Afiliada Registrada usar a Prevenção à Perda de Dados ou Exchange Online Protection como parte de sua CAL Empresarial do Exchange com Serviços 2013 (para as finalidades desta nota “Serviços Online”), então </w:t>
      </w:r>
      <w:r w:rsidRPr="006301EB">
        <w:rPr>
          <w:rFonts w:cs="Tahoma"/>
          <w:szCs w:val="20"/>
          <w:lang w:val="pt-BR"/>
        </w:rPr>
        <w:t>os seguintes Termos e Condições Complementares de Serviços Online (“Termos Complementares”) deverão se aplicar a tal uso em vez de quaisquer termos conflitantes no contrato de Licenciamento por Volume do cliente</w:t>
      </w:r>
      <w:r w:rsidRPr="006301EB">
        <w:rPr>
          <w:rFonts w:cs="Tahoma"/>
          <w:bCs/>
          <w:iCs/>
          <w:snapToGrid w:val="0"/>
          <w:szCs w:val="18"/>
          <w:lang w:val="pt-BR"/>
        </w:rPr>
        <w:t>:</w:t>
      </w:r>
    </w:p>
    <w:p w:rsidR="00B0658B" w:rsidRPr="006301EB" w:rsidRDefault="00B0658B" w:rsidP="007E466C">
      <w:pPr>
        <w:keepNext/>
        <w:spacing w:before="240" w:after="60"/>
        <w:ind w:left="1440"/>
        <w:outlineLvl w:val="0"/>
        <w:rPr>
          <w:lang w:val="pt-BR"/>
        </w:rPr>
      </w:pPr>
      <w:r w:rsidRPr="006301EB">
        <w:rPr>
          <w:rFonts w:cs="Tahoma"/>
          <w:b/>
          <w:bCs/>
          <w:iCs/>
          <w:snapToGrid w:val="0"/>
          <w:szCs w:val="18"/>
          <w:lang w:val="pt-BR"/>
        </w:rPr>
        <w:t>Definições.</w:t>
      </w:r>
    </w:p>
    <w:p w:rsidR="00B0658B" w:rsidRPr="006301EB" w:rsidRDefault="00B0658B" w:rsidP="007E466C">
      <w:pPr>
        <w:ind w:left="1440"/>
        <w:jc w:val="both"/>
        <w:rPr>
          <w:lang w:val="pt-BR"/>
        </w:rPr>
      </w:pPr>
      <w:r w:rsidRPr="006301EB">
        <w:rPr>
          <w:rFonts w:cs="Tahoma"/>
          <w:snapToGrid w:val="0"/>
          <w:color w:val="000000"/>
          <w:szCs w:val="18"/>
          <w:lang w:val="pt-BR"/>
        </w:rPr>
        <w:t>“Dados do Cliente” significa todos os dados, incluindo quaisquer arquivos de texto, som, software ou imagens fornecidos à Microsoft ou em nome do cliente por meio do uso pelo cliente dos Serviços Online.</w:t>
      </w:r>
    </w:p>
    <w:p w:rsidR="00B0658B" w:rsidRPr="006301EB" w:rsidRDefault="00B0658B" w:rsidP="00B0658B">
      <w:pPr>
        <w:spacing w:before="120"/>
        <w:ind w:left="1440"/>
        <w:jc w:val="both"/>
        <w:rPr>
          <w:lang w:val="pt-BR"/>
        </w:rPr>
      </w:pPr>
      <w:r w:rsidRPr="006301EB">
        <w:rPr>
          <w:rFonts w:cs="Tahoma"/>
          <w:snapToGrid w:val="0"/>
          <w:color w:val="000000"/>
          <w:szCs w:val="18"/>
          <w:lang w:val="pt-BR"/>
        </w:rPr>
        <w:t>“Contrato de Níveis de Serviço” significa o documento que especifica os padrões que a Microsoft concorda em seguir e por meio dos quais medirá o nível de serviço de um Serviço Online.</w:t>
      </w:r>
    </w:p>
    <w:p w:rsidR="00B0658B" w:rsidRPr="006301EB" w:rsidRDefault="00B0658B" w:rsidP="007E466C">
      <w:pPr>
        <w:keepNext/>
        <w:spacing w:before="240" w:after="60"/>
        <w:ind w:left="1440"/>
        <w:outlineLvl w:val="0"/>
        <w:rPr>
          <w:lang w:val="pt-BR"/>
        </w:rPr>
      </w:pPr>
      <w:r w:rsidRPr="006301EB">
        <w:rPr>
          <w:rFonts w:cs="Tahoma"/>
          <w:b/>
          <w:bCs/>
          <w:iCs/>
          <w:snapToGrid w:val="0"/>
          <w:szCs w:val="18"/>
          <w:lang w:val="pt-BR"/>
        </w:rPr>
        <w:t>Aplicabilidade dos Termos Complementares.</w:t>
      </w:r>
    </w:p>
    <w:p w:rsidR="00B0658B" w:rsidRPr="006301EB" w:rsidRDefault="00B0658B" w:rsidP="007E466C">
      <w:pPr>
        <w:ind w:left="1440"/>
        <w:jc w:val="both"/>
        <w:rPr>
          <w:lang w:val="pt-BR"/>
        </w:rPr>
      </w:pPr>
      <w:r w:rsidRPr="006301EB">
        <w:rPr>
          <w:rFonts w:cs="Tahoma"/>
          <w:snapToGrid w:val="0"/>
          <w:color w:val="000000"/>
          <w:szCs w:val="18"/>
          <w:lang w:val="pt-BR"/>
        </w:rPr>
        <w:t>Estes Termos Complementares se aplicam somente à compra e ao uso pelo cliente dos Serviços Online e Serviços.</w:t>
      </w:r>
      <w:r w:rsidR="00FB5496" w:rsidRPr="006301EB">
        <w:rPr>
          <w:rFonts w:cs="Tahoma"/>
          <w:snapToGrid w:val="0"/>
          <w:color w:val="000000"/>
          <w:szCs w:val="18"/>
          <w:lang w:val="pt-BR"/>
        </w:rPr>
        <w:t xml:space="preserve"> </w:t>
      </w:r>
      <w:r w:rsidRPr="006301EB">
        <w:rPr>
          <w:rFonts w:cs="Tahoma"/>
          <w:snapToGrid w:val="0"/>
          <w:color w:val="000000"/>
          <w:szCs w:val="18"/>
          <w:lang w:val="pt-BR"/>
        </w:rPr>
        <w:t>Em caso de conflito entre esses Termos Complementares e os termos e as condições do Master Agreement ou Contrato que não sejam expressamente solucionados por eles, prevalecerão os Termos Complementares.</w:t>
      </w:r>
    </w:p>
    <w:p w:rsidR="00B0658B" w:rsidRPr="006301EB" w:rsidRDefault="00B0658B" w:rsidP="007E466C">
      <w:pPr>
        <w:keepNext/>
        <w:spacing w:before="240" w:after="60"/>
        <w:ind w:left="1440"/>
        <w:outlineLvl w:val="0"/>
        <w:rPr>
          <w:lang w:val="pt-BR"/>
        </w:rPr>
      </w:pPr>
      <w:r w:rsidRPr="006301EB">
        <w:rPr>
          <w:rFonts w:cs="Tahoma"/>
          <w:b/>
          <w:bCs/>
          <w:iCs/>
          <w:snapToGrid w:val="0"/>
          <w:szCs w:val="18"/>
          <w:lang w:val="pt-BR"/>
        </w:rPr>
        <w:lastRenderedPageBreak/>
        <w:t>Garantia limitada dos Serviços Online.</w:t>
      </w:r>
    </w:p>
    <w:p w:rsidR="00B0658B" w:rsidRPr="006301EB" w:rsidRDefault="00B0658B" w:rsidP="007E466C">
      <w:pPr>
        <w:ind w:left="1440"/>
        <w:jc w:val="both"/>
        <w:rPr>
          <w:lang w:val="pt-BR"/>
        </w:rPr>
      </w:pPr>
      <w:r w:rsidRPr="006301EB">
        <w:rPr>
          <w:rFonts w:cs="Tahoma"/>
          <w:snapToGrid w:val="0"/>
          <w:color w:val="000000"/>
          <w:szCs w:val="18"/>
          <w:lang w:val="pt-BR"/>
        </w:rPr>
        <w:t>A Microsoft garante que os Serviços Online funcionarão de acordo com o Contrato de Nível de Serviço aplicável.</w:t>
      </w:r>
      <w:r w:rsidR="00FB5496" w:rsidRPr="006301EB">
        <w:rPr>
          <w:rFonts w:cs="Tahoma"/>
          <w:snapToGrid w:val="0"/>
          <w:color w:val="000000"/>
          <w:szCs w:val="18"/>
          <w:lang w:val="pt-BR"/>
        </w:rPr>
        <w:t xml:space="preserve"> </w:t>
      </w:r>
      <w:r w:rsidRPr="006301EB">
        <w:rPr>
          <w:rFonts w:cs="Tahoma"/>
          <w:snapToGrid w:val="0"/>
          <w:color w:val="000000"/>
          <w:szCs w:val="18"/>
          <w:lang w:val="pt-BR"/>
        </w:rPr>
        <w:t>Esta garantia limitada equivale à duração do uso pelo cliente do Serviço Online, sujeita aos requisitos de notificação no Contrato de Nível de Serviços aplicável.</w:t>
      </w:r>
    </w:p>
    <w:p w:rsidR="00B0658B" w:rsidRPr="006301EB" w:rsidRDefault="00B0658B" w:rsidP="00B0658B">
      <w:pPr>
        <w:spacing w:before="120"/>
        <w:ind w:left="1440"/>
        <w:jc w:val="both"/>
        <w:rPr>
          <w:lang w:val="pt-BR"/>
        </w:rPr>
      </w:pPr>
      <w:r w:rsidRPr="006301EB">
        <w:rPr>
          <w:rFonts w:cs="Tahoma"/>
          <w:snapToGrid w:val="0"/>
          <w:color w:val="000000"/>
          <w:szCs w:val="18"/>
          <w:lang w:val="pt-BR"/>
        </w:rPr>
        <w:t>Se a Microsoft não cumprir esta garantia limitada e o cliente notificar a Microsoft dentro do período de garantia, a Microsoft fornecerá as medidas identificadas no Contrato de Nível de Serviço do Serviço Online afetado.</w:t>
      </w:r>
      <w:r w:rsidR="00FB5496" w:rsidRPr="006301EB">
        <w:rPr>
          <w:rFonts w:cs="Tahoma"/>
          <w:snapToGrid w:val="0"/>
          <w:color w:val="000000"/>
          <w:szCs w:val="18"/>
          <w:lang w:val="pt-BR"/>
        </w:rPr>
        <w:t xml:space="preserve"> </w:t>
      </w:r>
      <w:r w:rsidRPr="006301EB">
        <w:rPr>
          <w:rFonts w:cs="Tahoma"/>
          <w:snapToGrid w:val="0"/>
          <w:color w:val="000000"/>
          <w:szCs w:val="18"/>
          <w:lang w:val="pt-BR"/>
        </w:rPr>
        <w:t>Essas são as únicas medidas disponíveis ao cliente em caso de violação da garantia limitada, salvo se a lei aplicável estabelecer outras.</w:t>
      </w:r>
    </w:p>
    <w:p w:rsidR="00B0658B" w:rsidRPr="006301EB" w:rsidRDefault="00B0658B" w:rsidP="00B0658B">
      <w:pPr>
        <w:spacing w:before="120"/>
        <w:ind w:left="1440"/>
        <w:jc w:val="both"/>
        <w:rPr>
          <w:lang w:val="pt-BR"/>
        </w:rPr>
      </w:pPr>
      <w:r w:rsidRPr="006301EB">
        <w:rPr>
          <w:rFonts w:cs="Tahoma"/>
          <w:snapToGrid w:val="0"/>
          <w:color w:val="000000"/>
          <w:szCs w:val="18"/>
          <w:lang w:val="pt-BR"/>
        </w:rPr>
        <w:t>A garantia limitada está sujeita às seguintes limitações:</w:t>
      </w:r>
    </w:p>
    <w:p w:rsidR="00B0658B" w:rsidRPr="006301EB" w:rsidRDefault="00B0658B" w:rsidP="007E466C">
      <w:pPr>
        <w:numPr>
          <w:ilvl w:val="0"/>
          <w:numId w:val="161"/>
        </w:numPr>
        <w:tabs>
          <w:tab w:val="left" w:pos="1800"/>
        </w:tabs>
        <w:spacing w:before="120"/>
        <w:ind w:left="1800"/>
        <w:contextualSpacing/>
        <w:jc w:val="both"/>
        <w:rPr>
          <w:lang w:val="pt-BR"/>
        </w:rPr>
      </w:pPr>
      <w:r w:rsidRPr="006301EB">
        <w:rPr>
          <w:rFonts w:cs="Tahoma"/>
          <w:snapToGrid w:val="0"/>
          <w:color w:val="000000"/>
          <w:szCs w:val="18"/>
          <w:lang w:val="pt-BR"/>
        </w:rPr>
        <w:t>quaisquer garantias ou condições legais que não podem ser isentadas como uma questão legal permanecerão somente durante um ano a partir do início do garantia limitada;</w:t>
      </w:r>
    </w:p>
    <w:p w:rsidR="00B0658B" w:rsidRPr="006301EB" w:rsidRDefault="00B0658B" w:rsidP="007E466C">
      <w:pPr>
        <w:numPr>
          <w:ilvl w:val="0"/>
          <w:numId w:val="161"/>
        </w:numPr>
        <w:tabs>
          <w:tab w:val="left" w:pos="1800"/>
        </w:tabs>
        <w:spacing w:before="120"/>
        <w:ind w:left="1800"/>
        <w:contextualSpacing/>
        <w:jc w:val="both"/>
        <w:rPr>
          <w:lang w:val="pt-BR"/>
        </w:rPr>
      </w:pPr>
      <w:r w:rsidRPr="006301EB">
        <w:rPr>
          <w:rFonts w:cs="Tahoma"/>
          <w:snapToGrid w:val="0"/>
          <w:color w:val="000000"/>
          <w:szCs w:val="18"/>
          <w:lang w:val="pt-BR"/>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rsidR="00B0658B" w:rsidRPr="006301EB" w:rsidRDefault="00B0658B" w:rsidP="007E466C">
      <w:pPr>
        <w:numPr>
          <w:ilvl w:val="0"/>
          <w:numId w:val="161"/>
        </w:numPr>
        <w:tabs>
          <w:tab w:val="left" w:pos="1800"/>
        </w:tabs>
        <w:spacing w:before="120"/>
        <w:ind w:left="1800"/>
        <w:contextualSpacing/>
        <w:jc w:val="both"/>
        <w:rPr>
          <w:lang w:val="pt-BR"/>
        </w:rPr>
      </w:pPr>
      <w:r w:rsidRPr="006301EB">
        <w:rPr>
          <w:rFonts w:cs="Tahoma"/>
          <w:snapToGrid w:val="0"/>
          <w:color w:val="000000"/>
          <w:szCs w:val="18"/>
          <w:lang w:val="pt-BR"/>
        </w:rPr>
        <w:t>a garantia limitada não se aplica às versões gratuitas, de avaliação, pré-lançamento ou beta dos Serviços Online e</w:t>
      </w:r>
    </w:p>
    <w:p w:rsidR="00B0658B" w:rsidRPr="006301EB" w:rsidRDefault="00B0658B" w:rsidP="007E466C">
      <w:pPr>
        <w:numPr>
          <w:ilvl w:val="0"/>
          <w:numId w:val="161"/>
        </w:numPr>
        <w:tabs>
          <w:tab w:val="left" w:pos="1800"/>
        </w:tabs>
        <w:spacing w:before="120"/>
        <w:ind w:left="1800"/>
        <w:contextualSpacing/>
        <w:jc w:val="both"/>
        <w:rPr>
          <w:lang w:val="pt-BR"/>
        </w:rPr>
      </w:pPr>
      <w:r w:rsidRPr="006301EB">
        <w:rPr>
          <w:rFonts w:cs="Tahoma"/>
          <w:snapToGrid w:val="0"/>
          <w:color w:val="000000"/>
          <w:szCs w:val="18"/>
          <w:lang w:val="pt-BR"/>
        </w:rPr>
        <w:t>a garantia limitada não se aplica a problemas causados pela não observância dos requisitos mínimos do sistema.</w:t>
      </w:r>
    </w:p>
    <w:p w:rsidR="00B0658B" w:rsidRPr="006301EB" w:rsidRDefault="00B0658B" w:rsidP="00B0658B">
      <w:pPr>
        <w:spacing w:before="120"/>
        <w:ind w:left="1440"/>
        <w:jc w:val="both"/>
        <w:rPr>
          <w:lang w:val="pt-BR"/>
        </w:rPr>
      </w:pPr>
      <w:r w:rsidRPr="006301EB">
        <w:rPr>
          <w:rFonts w:cs="Tahoma"/>
          <w:b/>
          <w:bCs/>
          <w:snapToGrid w:val="0"/>
          <w:color w:val="000000"/>
          <w:szCs w:val="18"/>
          <w:lang w:val="pt-BR"/>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FB5496" w:rsidRPr="006301EB">
        <w:rPr>
          <w:rFonts w:cs="Tahoma"/>
          <w:b/>
          <w:bCs/>
          <w:snapToGrid w:val="0"/>
          <w:color w:val="000000"/>
          <w:szCs w:val="18"/>
          <w:lang w:val="pt-BR"/>
        </w:rPr>
        <w:t xml:space="preserve"> </w:t>
      </w:r>
      <w:r w:rsidRPr="006301EB">
        <w:rPr>
          <w:rFonts w:cs="Tahoma"/>
          <w:b/>
          <w:bCs/>
          <w:snapToGrid w:val="0"/>
          <w:color w:val="000000"/>
          <w:szCs w:val="18"/>
          <w:lang w:val="pt-BR"/>
        </w:rPr>
        <w:t>A REFERIDA DECLARAÇÃO DE INEXISTÊNCIA DE OUTRAS GARANTIAS APLICAR-SE-Á SEMPRE, SALVO QUANDO A LEI APLICÁVEL NÃO A PERMITIR.</w:t>
      </w:r>
    </w:p>
    <w:p w:rsidR="00B0658B" w:rsidRPr="006301EB" w:rsidRDefault="00B0658B" w:rsidP="007E466C">
      <w:pPr>
        <w:keepNext/>
        <w:spacing w:before="240" w:after="60"/>
        <w:ind w:left="1440"/>
        <w:outlineLvl w:val="0"/>
        <w:rPr>
          <w:lang w:val="pt-BR"/>
        </w:rPr>
      </w:pPr>
      <w:r w:rsidRPr="006301EB">
        <w:rPr>
          <w:rFonts w:cs="Tahoma"/>
          <w:b/>
          <w:bCs/>
          <w:iCs/>
          <w:snapToGrid w:val="0"/>
          <w:szCs w:val="18"/>
          <w:lang w:val="pt-BR"/>
        </w:rPr>
        <w:t>Privacidade e segurança.</w:t>
      </w:r>
    </w:p>
    <w:p w:rsidR="00B0658B" w:rsidRPr="006301EB" w:rsidRDefault="00B0658B" w:rsidP="007E466C">
      <w:pPr>
        <w:spacing w:before="120"/>
        <w:ind w:left="1440" w:hanging="360"/>
        <w:contextualSpacing/>
        <w:jc w:val="both"/>
        <w:rPr>
          <w:lang w:val="pt-BR"/>
        </w:rPr>
      </w:pPr>
      <w:r w:rsidRPr="006301EB">
        <w:rPr>
          <w:rFonts w:cs="Tahoma"/>
          <w:snapToGrid w:val="0"/>
          <w:color w:val="000000"/>
          <w:szCs w:val="18"/>
          <w:lang w:val="pt-BR"/>
        </w:rPr>
        <w:t>a.</w:t>
      </w:r>
      <w:r w:rsidRPr="006301EB">
        <w:rPr>
          <w:rFonts w:cs="Tahoma"/>
          <w:snapToGrid w:val="0"/>
          <w:color w:val="000000"/>
          <w:szCs w:val="18"/>
          <w:lang w:val="pt-BR"/>
        </w:rPr>
        <w:tab/>
        <w:t>A Microsoft e o cliente deverão cumprir todas as leis e regulamentos aplicáveis (inclusive a lei de notificação de violação de segurança aplicável).</w:t>
      </w:r>
      <w:r w:rsidR="00FB5496" w:rsidRPr="006301EB">
        <w:rPr>
          <w:rFonts w:cs="Tahoma"/>
          <w:snapToGrid w:val="0"/>
          <w:color w:val="000000"/>
          <w:szCs w:val="18"/>
          <w:lang w:val="pt-BR"/>
        </w:rPr>
        <w:t xml:space="preserve"> </w:t>
      </w:r>
      <w:r w:rsidRPr="006301EB">
        <w:rPr>
          <w:rFonts w:cs="Tahoma"/>
          <w:snapToGrid w:val="0"/>
          <w:color w:val="000000"/>
          <w:szCs w:val="18"/>
          <w:lang w:val="pt-BR"/>
        </w:rPr>
        <w:t>No entanto, a Microsoft não é responsável pelo cumprimento de nenhuma lei ou regulamento aplicável ao cliente ou ao seu setor de atividade e que não seja geralmente aplicável a services providers de tecnologia da informação.</w:t>
      </w:r>
      <w:r w:rsidR="00FB5496" w:rsidRPr="006301EB">
        <w:rPr>
          <w:rFonts w:cs="Tahoma"/>
          <w:snapToGrid w:val="0"/>
          <w:color w:val="000000"/>
          <w:szCs w:val="18"/>
          <w:lang w:val="pt-BR"/>
        </w:rPr>
        <w:t xml:space="preserve"> </w:t>
      </w:r>
      <w:r w:rsidRPr="006301EB">
        <w:rPr>
          <w:rFonts w:cs="Tahoma"/>
          <w:snapToGrid w:val="0"/>
          <w:color w:val="000000"/>
          <w:szCs w:val="18"/>
          <w:lang w:val="pt-BR"/>
        </w:rPr>
        <w:t>O Cliente autoriza o processamento de informações pessoais pela Microsoft e seus representantes para facilitar o assunto em questão deste Contrato, incluindo esses Termos Complementares.</w:t>
      </w:r>
    </w:p>
    <w:p w:rsidR="00B0658B" w:rsidRPr="006301EB" w:rsidRDefault="00B0658B" w:rsidP="007E466C">
      <w:pPr>
        <w:spacing w:before="120"/>
        <w:ind w:left="1440" w:hanging="360"/>
        <w:contextualSpacing/>
        <w:jc w:val="both"/>
        <w:rPr>
          <w:lang w:val="pt-BR"/>
        </w:rPr>
      </w:pPr>
      <w:r w:rsidRPr="006301EB">
        <w:rPr>
          <w:rFonts w:cs="Tahoma"/>
          <w:snapToGrid w:val="0"/>
          <w:color w:val="000000"/>
          <w:szCs w:val="18"/>
          <w:lang w:val="pt-BR"/>
        </w:rPr>
        <w:t>b.</w:t>
      </w:r>
      <w:r w:rsidRPr="006301EB">
        <w:rPr>
          <w:rFonts w:cs="Tahoma"/>
          <w:snapToGrid w:val="0"/>
          <w:color w:val="000000"/>
          <w:szCs w:val="18"/>
          <w:lang w:val="pt-BR"/>
        </w:rPr>
        <w:tab/>
        <w:t>O Cliente poderá decidir fornecer informações pessoais à Microsoft em nome de terceiros (incluindo os contatos, revendedores, distribuidores e administradores, e funcionários do cliente) junto com o uso dos Serviços Online ou como parte do Contrato.</w:t>
      </w:r>
      <w:r w:rsidR="00FB5496" w:rsidRPr="006301EB">
        <w:rPr>
          <w:rFonts w:cs="Tahoma"/>
          <w:snapToGrid w:val="0"/>
          <w:color w:val="000000"/>
          <w:szCs w:val="18"/>
          <w:lang w:val="pt-BR"/>
        </w:rPr>
        <w:t xml:space="preserve"> </w:t>
      </w:r>
      <w:r w:rsidRPr="006301EB">
        <w:rPr>
          <w:rFonts w:cs="Tahoma"/>
          <w:snapToGrid w:val="0"/>
          <w:color w:val="000000"/>
          <w:szCs w:val="18"/>
          <w:lang w:val="pt-BR"/>
        </w:rPr>
        <w:t>O Cliente obterá todos os consentimentos necessários de terceiros relacionados às leis de proteção de dados e privacidade aplicáveis antes de fornecer informações pessoais à Microsoft.</w:t>
      </w:r>
    </w:p>
    <w:p w:rsidR="00B0658B" w:rsidRPr="006301EB" w:rsidRDefault="00397ADC" w:rsidP="007E466C">
      <w:pPr>
        <w:spacing w:before="120"/>
        <w:ind w:left="1440" w:hanging="360"/>
        <w:contextualSpacing/>
        <w:jc w:val="both"/>
        <w:rPr>
          <w:lang w:val="pt-BR"/>
        </w:rPr>
      </w:pPr>
      <w:r w:rsidRPr="006301EB">
        <w:rPr>
          <w:rFonts w:cs="Tahoma"/>
          <w:snapToGrid w:val="0"/>
          <w:color w:val="000000"/>
          <w:szCs w:val="18"/>
          <w:lang w:val="pt-BR"/>
        </w:rPr>
        <w:t>c</w:t>
      </w:r>
      <w:r w:rsidR="00B0658B" w:rsidRPr="006301EB">
        <w:rPr>
          <w:rFonts w:cs="Tahoma"/>
          <w:snapToGrid w:val="0"/>
          <w:color w:val="000000"/>
          <w:szCs w:val="18"/>
          <w:lang w:val="pt-BR"/>
        </w:rPr>
        <w:t>.</w:t>
      </w:r>
      <w:r w:rsidR="00B0658B" w:rsidRPr="006301EB">
        <w:rPr>
          <w:rFonts w:cs="Tahoma"/>
          <w:snapToGrid w:val="0"/>
          <w:color w:val="000000"/>
          <w:szCs w:val="18"/>
          <w:lang w:val="pt-BR"/>
        </w:rPr>
        <w:tab/>
        <w:t xml:space="preserve">As informações pessoais fornecidas pelo cliente em razão deste Contrato ou do uso dos Serviços Online serão processadas de acordo com a política de privacidade disponível no site </w:t>
      </w:r>
      <w:hyperlink r:id="rId54" w:history="1">
        <w:r w:rsidR="00B0658B" w:rsidRPr="006301EB">
          <w:rPr>
            <w:rFonts w:cs="Tahoma"/>
            <w:snapToGrid w:val="0"/>
            <w:color w:val="0000FF"/>
            <w:szCs w:val="18"/>
            <w:u w:val="single"/>
            <w:lang w:val="pt-BR"/>
          </w:rPr>
          <w:t>https://www.microsoft.com/licensing/servicecenter</w:t>
        </w:r>
      </w:hyperlink>
      <w:r w:rsidR="00B0658B" w:rsidRPr="006301EB">
        <w:rPr>
          <w:rFonts w:cs="Tahoma"/>
          <w:snapToGrid w:val="0"/>
          <w:color w:val="000000"/>
          <w:szCs w:val="18"/>
          <w:lang w:val="pt-BR"/>
        </w:rPr>
        <w:t>, desde que as políticas de privacidade específicas do Produto e os detalhes de segurança e privacidade adicionais relacionados aos Serviços Online específicos estejam nos Direitos de Uso do Produto.</w:t>
      </w:r>
      <w:r w:rsidR="00CE7FC5" w:rsidRPr="006301EB">
        <w:rPr>
          <w:rFonts w:cs="Tahoma"/>
          <w:snapToGrid w:val="0"/>
          <w:color w:val="000000"/>
          <w:szCs w:val="18"/>
          <w:lang w:val="pt-BR"/>
        </w:rPr>
        <w:t xml:space="preserve"> </w:t>
      </w:r>
      <w:r w:rsidR="00B0658B" w:rsidRPr="006301EB">
        <w:rPr>
          <w:rFonts w:cs="Tahoma"/>
          <w:snapToGrid w:val="0"/>
          <w:color w:val="000000"/>
          <w:szCs w:val="18"/>
          <w:lang w:val="pt-BR"/>
        </w:rPr>
        <w:t>Dados pessoais coletados pelos Serviços Online podem ser transferidos, armazenados e processados nos Estados Unidos ou em qualquer outro país no qual a Microsoft ou service providers mantenham instalações.</w:t>
      </w:r>
      <w:r w:rsidR="00FB5496" w:rsidRPr="006301EB">
        <w:rPr>
          <w:rFonts w:cs="Tahoma"/>
          <w:snapToGrid w:val="0"/>
          <w:color w:val="000000"/>
          <w:szCs w:val="18"/>
          <w:lang w:val="pt-BR"/>
        </w:rPr>
        <w:t xml:space="preserve"> </w:t>
      </w:r>
      <w:r w:rsidR="00B0658B" w:rsidRPr="006301EB">
        <w:rPr>
          <w:rFonts w:cs="Tahoma"/>
          <w:snapToGrid w:val="0"/>
          <w:color w:val="000000"/>
          <w:szCs w:val="18"/>
          <w:lang w:val="pt-BR"/>
        </w:rPr>
        <w:t>Ao usar os Serviços Online, o cliente consente com o exposto acima.</w:t>
      </w:r>
      <w:r w:rsidR="00FB5496" w:rsidRPr="006301EB">
        <w:rPr>
          <w:rFonts w:cs="Tahoma"/>
          <w:snapToGrid w:val="0"/>
          <w:color w:val="000000"/>
          <w:szCs w:val="18"/>
          <w:lang w:val="pt-BR"/>
        </w:rPr>
        <w:t xml:space="preserve"> </w:t>
      </w:r>
      <w:r w:rsidR="00B0658B" w:rsidRPr="006301EB">
        <w:rPr>
          <w:rFonts w:cs="Tahoma"/>
          <w:snapToGrid w:val="0"/>
          <w:color w:val="000000"/>
          <w:szCs w:val="18"/>
          <w:lang w:val="pt-BR"/>
        </w:rPr>
        <w:t xml:space="preserve">A Microsoft segue as estruturas de </w:t>
      </w:r>
      <w:r w:rsidR="00910E93" w:rsidRPr="006301EB">
        <w:rPr>
          <w:rFonts w:cs="Tahoma"/>
          <w:snapToGrid w:val="0"/>
          <w:color w:val="000000"/>
          <w:szCs w:val="18"/>
          <w:lang w:val="pt-BR"/>
        </w:rPr>
        <w:t>“</w:t>
      </w:r>
      <w:r w:rsidR="00B0658B" w:rsidRPr="006301EB">
        <w:rPr>
          <w:rFonts w:cs="Tahoma"/>
          <w:snapToGrid w:val="0"/>
          <w:color w:val="000000"/>
          <w:szCs w:val="18"/>
          <w:lang w:val="pt-BR"/>
        </w:rPr>
        <w:t>EU Safe Harbor</w:t>
      </w:r>
      <w:r w:rsidR="00910E93" w:rsidRPr="006301EB">
        <w:rPr>
          <w:rFonts w:cs="Tahoma"/>
          <w:snapToGrid w:val="0"/>
          <w:color w:val="000000"/>
          <w:szCs w:val="18"/>
          <w:lang w:val="pt-BR"/>
        </w:rPr>
        <w:t>”</w:t>
      </w:r>
      <w:r w:rsidR="00B0658B" w:rsidRPr="006301EB">
        <w:rPr>
          <w:rFonts w:cs="Tahoma"/>
          <w:snapToGrid w:val="0"/>
          <w:color w:val="000000"/>
          <w:szCs w:val="18"/>
          <w:lang w:val="pt-BR"/>
        </w:rP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FB5496" w:rsidRPr="006301EB">
        <w:rPr>
          <w:rFonts w:cs="Tahoma"/>
          <w:snapToGrid w:val="0"/>
          <w:color w:val="000000"/>
          <w:szCs w:val="18"/>
          <w:lang w:val="pt-BR"/>
        </w:rPr>
        <w:t xml:space="preserve"> </w:t>
      </w:r>
    </w:p>
    <w:p w:rsidR="00B0658B" w:rsidRPr="006301EB" w:rsidRDefault="00B0658B" w:rsidP="007E466C">
      <w:pPr>
        <w:keepNext/>
        <w:spacing w:before="240" w:after="60"/>
        <w:ind w:left="1440"/>
        <w:outlineLvl w:val="0"/>
        <w:rPr>
          <w:lang w:val="pt-BR"/>
        </w:rPr>
      </w:pPr>
      <w:r w:rsidRPr="006301EB">
        <w:rPr>
          <w:rFonts w:cs="Tahoma"/>
          <w:b/>
          <w:bCs/>
          <w:iCs/>
          <w:snapToGrid w:val="0"/>
          <w:szCs w:val="18"/>
          <w:lang w:val="pt-BR"/>
        </w:rPr>
        <w:t>Compromisso de proteção do cliente.</w:t>
      </w:r>
    </w:p>
    <w:p w:rsidR="00B0658B" w:rsidRPr="006301EB" w:rsidRDefault="00B0658B" w:rsidP="007E466C">
      <w:pPr>
        <w:ind w:left="1440"/>
        <w:jc w:val="both"/>
        <w:rPr>
          <w:lang w:val="pt-BR"/>
        </w:rPr>
      </w:pPr>
      <w:r w:rsidRPr="006301EB">
        <w:rPr>
          <w:rFonts w:cs="Tahoma"/>
          <w:snapToGrid w:val="0"/>
          <w:color w:val="000000"/>
          <w:szCs w:val="18"/>
          <w:lang w:val="pt-BR"/>
        </w:rPr>
        <w:t>O Cliente defenderá a Microsoft contra qualquer requerimento judicial ou extrajudicial feito por terceiros não afiliados que:</w:t>
      </w:r>
    </w:p>
    <w:p w:rsidR="00B0658B" w:rsidRPr="006301EB" w:rsidRDefault="00B0658B" w:rsidP="007E466C">
      <w:pPr>
        <w:numPr>
          <w:ilvl w:val="0"/>
          <w:numId w:val="166"/>
        </w:numPr>
        <w:spacing w:before="120"/>
        <w:ind w:left="1800"/>
        <w:contextualSpacing/>
        <w:jc w:val="both"/>
        <w:rPr>
          <w:lang w:val="pt-BR"/>
        </w:rPr>
      </w:pPr>
      <w:r w:rsidRPr="006301EB">
        <w:rPr>
          <w:rFonts w:cs="Tahoma"/>
          <w:snapToGrid w:val="0"/>
          <w:color w:val="000000"/>
          <w:szCs w:val="18"/>
          <w:lang w:val="pt-BR"/>
        </w:rPr>
        <w:t>quaisquer Dados do Cliente ou software que não seja da Microsoft que a Microsoft hospeda em nome do cliente violam a patente, os direitos autorais ou a marca comercial de terceiros ou fazem uso ilegal do Segredo Comercial ou</w:t>
      </w:r>
    </w:p>
    <w:p w:rsidR="00B0658B" w:rsidRPr="006301EB" w:rsidRDefault="00B0658B" w:rsidP="007E466C">
      <w:pPr>
        <w:numPr>
          <w:ilvl w:val="0"/>
          <w:numId w:val="166"/>
        </w:numPr>
        <w:spacing w:before="120"/>
        <w:ind w:left="1800"/>
        <w:contextualSpacing/>
        <w:jc w:val="both"/>
        <w:rPr>
          <w:lang w:val="pt-BR"/>
        </w:rPr>
      </w:pPr>
      <w:r w:rsidRPr="006301EB">
        <w:rPr>
          <w:rFonts w:cs="Tahoma"/>
          <w:snapToGrid w:val="0"/>
          <w:color w:val="000000"/>
          <w:szCs w:val="18"/>
          <w:lang w:val="pt-BR"/>
        </w:rPr>
        <w:t>seja decorrente da violação dos termos da Política de Uso Aceitável, descrita nos Direitos de Uso do Produto.</w:t>
      </w:r>
    </w:p>
    <w:p w:rsidR="00B0658B" w:rsidRPr="006301EB" w:rsidRDefault="00B0658B" w:rsidP="00B0658B">
      <w:pPr>
        <w:spacing w:before="120"/>
        <w:ind w:left="1440"/>
        <w:jc w:val="both"/>
        <w:rPr>
          <w:lang w:val="pt-BR"/>
        </w:rPr>
      </w:pPr>
      <w:r w:rsidRPr="006301EB">
        <w:rPr>
          <w:rFonts w:cs="Tahoma"/>
          <w:snapToGrid w:val="0"/>
          <w:color w:val="000000"/>
          <w:szCs w:val="18"/>
          <w:lang w:val="pt-BR"/>
        </w:rPr>
        <w:t>O Cliente deverá pagar o valor resultante de qualquer decisão judicial desfavorável transitada em julgado (ou acordo ratificado pelo cliente).</w:t>
      </w:r>
      <w:r w:rsidR="00FB5496" w:rsidRPr="006301EB">
        <w:rPr>
          <w:rFonts w:cs="Tahoma"/>
          <w:snapToGrid w:val="0"/>
          <w:color w:val="000000"/>
          <w:szCs w:val="18"/>
          <w:lang w:val="pt-BR"/>
        </w:rPr>
        <w:t xml:space="preserve"> </w:t>
      </w:r>
      <w:r w:rsidRPr="006301EB">
        <w:rPr>
          <w:rFonts w:cs="Tahoma"/>
          <w:snapToGrid w:val="0"/>
          <w:color w:val="000000"/>
          <w:szCs w:val="18"/>
          <w:lang w:val="pt-BR"/>
        </w:rPr>
        <w:t>A presente seção estabelece o recurso exclusivo disponível da Microsoft para esses requerimentos judiciais ou extrajudiciais.</w:t>
      </w:r>
    </w:p>
    <w:p w:rsidR="00B0658B" w:rsidRPr="006301EB" w:rsidRDefault="00B0658B" w:rsidP="00B0658B">
      <w:pPr>
        <w:spacing w:before="120"/>
        <w:ind w:left="1440"/>
        <w:jc w:val="both"/>
        <w:rPr>
          <w:lang w:val="pt-BR"/>
        </w:rPr>
      </w:pPr>
      <w:r w:rsidRPr="006301EB">
        <w:rPr>
          <w:rFonts w:cs="Tahoma"/>
          <w:snapToGrid w:val="0"/>
          <w:color w:val="000000"/>
          <w:szCs w:val="18"/>
          <w:lang w:val="pt-BR"/>
        </w:rPr>
        <w:t>A Microsoft deverá notificar imediatamente o cliente por escrito sobre um requerimento judicial ou extrajudicial sujeito a esta seção.</w:t>
      </w:r>
      <w:r w:rsidR="00FB5496" w:rsidRPr="006301EB">
        <w:rPr>
          <w:rFonts w:cs="Tahoma"/>
          <w:snapToGrid w:val="0"/>
          <w:color w:val="000000"/>
          <w:szCs w:val="18"/>
          <w:lang w:val="pt-BR"/>
        </w:rPr>
        <w:t xml:space="preserve"> </w:t>
      </w:r>
      <w:r w:rsidRPr="006301EB">
        <w:rPr>
          <w:rFonts w:cs="Tahoma"/>
          <w:snapToGrid w:val="0"/>
          <w:color w:val="000000"/>
          <w:szCs w:val="18"/>
          <w:lang w:val="pt-BR"/>
        </w:rPr>
        <w:t>A Microsoft (1) fornecerá ao cliente controle exclusivo de sua defesa ou acordo referente a tal requerimento e (2) fornecerá assistência razoável na defesa do requerimento. O cliente reembolsará a Microsoft por qualquer despesa razoável incorrida na prestação dessa assistência.</w:t>
      </w:r>
    </w:p>
    <w:p w:rsidR="00B0658B" w:rsidRPr="006301EB" w:rsidRDefault="00B0658B" w:rsidP="007E466C">
      <w:pPr>
        <w:keepNext/>
        <w:spacing w:before="240" w:after="60"/>
        <w:ind w:left="1440"/>
        <w:outlineLvl w:val="0"/>
        <w:rPr>
          <w:lang w:val="pt-BR"/>
        </w:rPr>
      </w:pPr>
      <w:r w:rsidRPr="006301EB">
        <w:rPr>
          <w:rFonts w:cs="Tahoma"/>
          <w:b/>
          <w:bCs/>
          <w:iCs/>
          <w:snapToGrid w:val="0"/>
          <w:szCs w:val="18"/>
          <w:lang w:val="pt-BR"/>
        </w:rPr>
        <w:t>Limitação de responsabilidade.</w:t>
      </w:r>
    </w:p>
    <w:p w:rsidR="00B0658B" w:rsidRPr="00416070" w:rsidRDefault="00B0658B" w:rsidP="007E466C">
      <w:pPr>
        <w:ind w:left="1440"/>
        <w:jc w:val="both"/>
      </w:pPr>
      <w:r w:rsidRPr="006301EB">
        <w:rPr>
          <w:rFonts w:cs="Tahoma"/>
          <w:snapToGrid w:val="0"/>
          <w:color w:val="000000"/>
          <w:szCs w:val="18"/>
          <w:lang w:val="pt-BR"/>
        </w:rPr>
        <w:t>Na extensão permitida pela lei aplicável, a obrigação de cada parte, suas Afiliadas e seus Prestadores de Serviços decorrentes da conexão com o Serviço Online está limitada aos danos diretos até o valor que o cliente pagou pelos Serviços Online que originaram essa obrigação durante os 12 meses anteriores.</w:t>
      </w:r>
      <w:r w:rsidR="00FB5496" w:rsidRPr="006301EB">
        <w:rPr>
          <w:rFonts w:cs="Tahoma"/>
          <w:snapToGrid w:val="0"/>
          <w:color w:val="000000"/>
          <w:szCs w:val="18"/>
          <w:lang w:val="pt-BR"/>
        </w:rPr>
        <w:t xml:space="preserve"> </w:t>
      </w:r>
      <w:r w:rsidRPr="006301EB">
        <w:rPr>
          <w:rFonts w:cs="Tahoma"/>
          <w:snapToGrid w:val="0"/>
          <w:color w:val="000000"/>
          <w:szCs w:val="18"/>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FB5496" w:rsidRPr="006301EB">
        <w:rPr>
          <w:rFonts w:cs="Tahoma"/>
          <w:snapToGrid w:val="0"/>
          <w:color w:val="000000"/>
          <w:szCs w:val="18"/>
          <w:lang w:val="pt-BR"/>
        </w:rPr>
        <w:t xml:space="preserve"> </w:t>
      </w:r>
      <w:r w:rsidRPr="00416070">
        <w:rPr>
          <w:rFonts w:cs="Tahoma"/>
          <w:snapToGrid w:val="0"/>
          <w:color w:val="000000"/>
          <w:szCs w:val="18"/>
        </w:rPr>
        <w:t>No entanto, essas limitações monetárias não se aplicarão a:</w:t>
      </w:r>
    </w:p>
    <w:p w:rsidR="00B0658B" w:rsidRPr="006301EB" w:rsidRDefault="00B0658B" w:rsidP="00B0658B">
      <w:pPr>
        <w:numPr>
          <w:ilvl w:val="0"/>
          <w:numId w:val="154"/>
        </w:numPr>
        <w:spacing w:before="120"/>
        <w:ind w:left="1890" w:hanging="450"/>
        <w:contextualSpacing/>
        <w:jc w:val="both"/>
        <w:rPr>
          <w:lang w:val="pt-BR"/>
        </w:rPr>
      </w:pPr>
      <w:r w:rsidRPr="006301EB">
        <w:rPr>
          <w:rFonts w:cs="Tahoma"/>
          <w:snapToGrid w:val="0"/>
          <w:color w:val="000000"/>
          <w:szCs w:val="18"/>
          <w:lang w:val="pt-BR"/>
        </w:rPr>
        <w:t xml:space="preserve">obrigações da Microsoft de acordo com a seção do Master Agreement intitulada </w:t>
      </w:r>
      <w:r w:rsidR="00910E93" w:rsidRPr="006301EB">
        <w:rPr>
          <w:rFonts w:cs="Tahoma"/>
          <w:snapToGrid w:val="0"/>
          <w:color w:val="000000"/>
          <w:szCs w:val="18"/>
          <w:lang w:val="pt-BR"/>
        </w:rPr>
        <w:t>“</w:t>
      </w:r>
      <w:r w:rsidRPr="006301EB">
        <w:rPr>
          <w:rFonts w:cs="Tahoma"/>
          <w:snapToGrid w:val="0"/>
          <w:color w:val="000000"/>
          <w:szCs w:val="18"/>
          <w:lang w:val="pt-BR"/>
        </w:rPr>
        <w:t>Defesa contra violação, apropriação indébita e requerimentos judiciais ou extrajudiciais de terceiros</w:t>
      </w:r>
      <w:r w:rsidR="00910E93" w:rsidRPr="006301EB">
        <w:rPr>
          <w:rFonts w:cs="Tahoma"/>
          <w:snapToGrid w:val="0"/>
          <w:color w:val="000000"/>
          <w:szCs w:val="18"/>
          <w:lang w:val="pt-BR"/>
        </w:rPr>
        <w:t>”</w:t>
      </w:r>
      <w:r w:rsidRPr="006301EB">
        <w:rPr>
          <w:rFonts w:cs="Tahoma"/>
          <w:snapToGrid w:val="0"/>
          <w:color w:val="000000"/>
          <w:szCs w:val="18"/>
          <w:lang w:val="pt-BR"/>
        </w:rPr>
        <w:t xml:space="preserve"> ou obrigações do cliente de acordo com a seção dos Termos Complementares intitulada “Compromisso de proteção do cliente”;</w:t>
      </w:r>
    </w:p>
    <w:p w:rsidR="003E651C" w:rsidRPr="006301EB" w:rsidRDefault="003E651C" w:rsidP="003E651C">
      <w:pPr>
        <w:spacing w:before="120"/>
        <w:contextualSpacing/>
        <w:jc w:val="both"/>
        <w:rPr>
          <w:rFonts w:cs="Tahoma"/>
          <w:snapToGrid w:val="0"/>
          <w:color w:val="000000"/>
          <w:szCs w:val="18"/>
          <w:lang w:val="pt-BR"/>
        </w:rPr>
      </w:pPr>
    </w:p>
    <w:p w:rsidR="003E651C" w:rsidRPr="006301EB" w:rsidRDefault="003E651C" w:rsidP="003E651C">
      <w:pPr>
        <w:spacing w:before="120"/>
        <w:contextualSpacing/>
        <w:jc w:val="both"/>
        <w:rPr>
          <w:rFonts w:cs="Tahoma"/>
          <w:snapToGrid w:val="0"/>
          <w:color w:val="000000"/>
          <w:szCs w:val="18"/>
          <w:lang w:val="pt-BR"/>
        </w:rPr>
      </w:pPr>
    </w:p>
    <w:p w:rsidR="003E651C" w:rsidRPr="006301EB" w:rsidRDefault="003E651C" w:rsidP="003E651C">
      <w:pPr>
        <w:spacing w:before="120"/>
        <w:contextualSpacing/>
        <w:jc w:val="both"/>
        <w:rPr>
          <w:rFonts w:cs="Tahoma"/>
          <w:snapToGrid w:val="0"/>
          <w:color w:val="000000"/>
          <w:szCs w:val="18"/>
          <w:lang w:val="pt-BR"/>
        </w:rPr>
      </w:pPr>
    </w:p>
    <w:p w:rsidR="003E651C" w:rsidRPr="006301EB" w:rsidRDefault="003E651C" w:rsidP="003E651C">
      <w:pPr>
        <w:spacing w:before="120"/>
        <w:contextualSpacing/>
        <w:jc w:val="both"/>
        <w:rPr>
          <w:lang w:val="pt-BR"/>
        </w:rPr>
      </w:pPr>
    </w:p>
    <w:p w:rsidR="00B0658B" w:rsidRPr="006301EB" w:rsidRDefault="00B0658B" w:rsidP="00B0658B">
      <w:pPr>
        <w:numPr>
          <w:ilvl w:val="0"/>
          <w:numId w:val="154"/>
        </w:numPr>
        <w:spacing w:before="120"/>
        <w:ind w:left="1890" w:hanging="450"/>
        <w:contextualSpacing/>
        <w:jc w:val="both"/>
        <w:rPr>
          <w:lang w:val="pt-BR"/>
        </w:rPr>
      </w:pPr>
      <w:r w:rsidRPr="006301EB">
        <w:rPr>
          <w:rFonts w:cs="Tahoma"/>
          <w:snapToGrid w:val="0"/>
          <w:color w:val="000000"/>
          <w:szCs w:val="18"/>
          <w:lang w:val="pt-BR"/>
        </w:rPr>
        <w:t>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w:t>
      </w:r>
      <w:r w:rsidR="004A1891" w:rsidRPr="006301EB">
        <w:rPr>
          <w:rFonts w:cs="Tahoma"/>
          <w:snapToGrid w:val="0"/>
          <w:color w:val="000000"/>
          <w:szCs w:val="18"/>
          <w:lang w:val="pt-BR"/>
        </w:rPr>
        <w:t> </w:t>
      </w:r>
      <w:r w:rsidRPr="006301EB">
        <w:rPr>
          <w:rFonts w:cs="Tahoma"/>
          <w:snapToGrid w:val="0"/>
          <w:color w:val="000000"/>
          <w:szCs w:val="18"/>
          <w:lang w:val="pt-BR"/>
        </w:rPr>
        <w:t xml:space="preserve">meses anteriores e </w:t>
      </w:r>
    </w:p>
    <w:p w:rsidR="00B0658B" w:rsidRPr="006301EB" w:rsidRDefault="00B0658B" w:rsidP="00B0658B">
      <w:pPr>
        <w:numPr>
          <w:ilvl w:val="0"/>
          <w:numId w:val="154"/>
        </w:numPr>
        <w:spacing w:before="120"/>
        <w:ind w:left="1890" w:hanging="450"/>
        <w:contextualSpacing/>
        <w:jc w:val="both"/>
        <w:rPr>
          <w:lang w:val="pt-BR"/>
        </w:rPr>
      </w:pPr>
      <w:r w:rsidRPr="006301EB">
        <w:rPr>
          <w:rFonts w:cs="Tahoma"/>
          <w:snapToGrid w:val="0"/>
          <w:color w:val="000000"/>
          <w:szCs w:val="18"/>
          <w:lang w:val="pt-BR"/>
        </w:rPr>
        <w:t>violação por uma parte dos direitos de propriedade intelectual da outra parte.</w:t>
      </w:r>
    </w:p>
    <w:p w:rsidR="00B0658B" w:rsidRPr="006301EB" w:rsidRDefault="00B0658B" w:rsidP="00B0658B">
      <w:pPr>
        <w:spacing w:before="120"/>
        <w:ind w:left="1440"/>
        <w:jc w:val="both"/>
        <w:rPr>
          <w:lang w:val="pt-BR"/>
        </w:rPr>
      </w:pPr>
      <w:r w:rsidRPr="006301EB">
        <w:rPr>
          <w:rFonts w:cs="Tahoma"/>
          <w:b/>
          <w:bCs/>
          <w:snapToGrid w:val="0"/>
          <w:color w:val="000000"/>
          <w:szCs w:val="18"/>
          <w:lang w:val="pt-BR"/>
        </w:rP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FB5496" w:rsidRPr="006301EB">
        <w:rPr>
          <w:rFonts w:cs="Tahoma"/>
          <w:b/>
          <w:bCs/>
          <w:snapToGrid w:val="0"/>
          <w:color w:val="000000"/>
          <w:szCs w:val="18"/>
          <w:lang w:val="pt-BR"/>
        </w:rPr>
        <w:t xml:space="preserve"> </w:t>
      </w:r>
      <w:r w:rsidRPr="006301EB">
        <w:rPr>
          <w:rFonts w:cs="Tahoma"/>
          <w:b/>
          <w:bCs/>
          <w:snapToGrid w:val="0"/>
          <w:color w:val="000000"/>
          <w:szCs w:val="18"/>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910E93" w:rsidRPr="006301EB">
        <w:rPr>
          <w:rFonts w:cs="Tahoma"/>
          <w:b/>
          <w:bCs/>
          <w:snapToGrid w:val="0"/>
          <w:color w:val="000000"/>
          <w:szCs w:val="18"/>
          <w:lang w:val="pt-BR"/>
        </w:rPr>
        <w:t>“</w:t>
      </w:r>
      <w:r w:rsidRPr="006301EB">
        <w:rPr>
          <w:rFonts w:cs="Tahoma"/>
          <w:b/>
          <w:bCs/>
          <w:snapToGrid w:val="0"/>
          <w:color w:val="000000"/>
          <w:szCs w:val="18"/>
          <w:lang w:val="pt-BR"/>
        </w:rPr>
        <w:t>DEFESA CONTRA VIOLAÇÃO, APROPRIAÇÃO INDÉBITA E REQUERIMENTOS JUDICIAIS OU EXTRAJUDICIAIS DE TERCEIROS</w:t>
      </w:r>
      <w:r w:rsidR="00910E93" w:rsidRPr="006301EB">
        <w:rPr>
          <w:rFonts w:cs="Tahoma"/>
          <w:b/>
          <w:bCs/>
          <w:snapToGrid w:val="0"/>
          <w:color w:val="000000"/>
          <w:szCs w:val="18"/>
          <w:lang w:val="pt-BR"/>
        </w:rPr>
        <w:t>”</w:t>
      </w:r>
      <w:r w:rsidRPr="006301EB">
        <w:rPr>
          <w:rFonts w:cs="Tahoma"/>
          <w:b/>
          <w:bCs/>
          <w:snapToGrid w:val="0"/>
          <w:color w:val="000000"/>
          <w:szCs w:val="18"/>
          <w:lang w:val="pt-BR"/>
        </w:rPr>
        <w:t xml:space="preserve"> OU OBRIGAÇÕES DO CLIENTE DE ACORDO COM A SEÇÃO DOS TERMOS COMPLEMENTARES INTITULADA </w:t>
      </w:r>
      <w:r w:rsidR="00910E93" w:rsidRPr="006301EB">
        <w:rPr>
          <w:rFonts w:cs="Tahoma"/>
          <w:b/>
          <w:bCs/>
          <w:snapToGrid w:val="0"/>
          <w:color w:val="000000"/>
          <w:szCs w:val="18"/>
          <w:lang w:val="pt-BR"/>
        </w:rPr>
        <w:t>“</w:t>
      </w:r>
      <w:r w:rsidRPr="006301EB">
        <w:rPr>
          <w:rFonts w:cs="Tahoma"/>
          <w:b/>
          <w:bCs/>
          <w:snapToGrid w:val="0"/>
          <w:color w:val="000000"/>
          <w:szCs w:val="18"/>
          <w:lang w:val="pt-BR"/>
        </w:rPr>
        <w:t>COMPROMISSO DE PROTEÇÃO DO CLIENTE</w:t>
      </w:r>
      <w:r w:rsidR="00910E93" w:rsidRPr="006301EB">
        <w:rPr>
          <w:rFonts w:cs="Tahoma"/>
          <w:b/>
          <w:bCs/>
          <w:snapToGrid w:val="0"/>
          <w:color w:val="000000"/>
          <w:szCs w:val="18"/>
          <w:lang w:val="pt-BR"/>
        </w:rPr>
        <w:t>”</w:t>
      </w:r>
      <w:r w:rsidRPr="006301EB">
        <w:rPr>
          <w:rFonts w:cs="Tahoma"/>
          <w:b/>
          <w:bCs/>
          <w:snapToGrid w:val="0"/>
          <w:color w:val="000000"/>
          <w:szCs w:val="18"/>
          <w:lang w:val="pt-BR"/>
        </w:rPr>
        <w:t>.</w:t>
      </w:r>
    </w:p>
    <w:p w:rsidR="00B0658B" w:rsidRPr="006301EB" w:rsidRDefault="00B0658B" w:rsidP="007E466C">
      <w:pPr>
        <w:keepNext/>
        <w:spacing w:before="240" w:after="60"/>
        <w:ind w:left="1440"/>
        <w:outlineLvl w:val="0"/>
        <w:rPr>
          <w:lang w:val="pt-BR"/>
        </w:rPr>
      </w:pPr>
      <w:r w:rsidRPr="006301EB">
        <w:rPr>
          <w:rFonts w:cs="Tahoma"/>
          <w:b/>
          <w:bCs/>
          <w:iCs/>
          <w:snapToGrid w:val="0"/>
          <w:szCs w:val="18"/>
          <w:lang w:val="pt-BR"/>
        </w:rPr>
        <w:t>Subcontratados.</w:t>
      </w:r>
    </w:p>
    <w:p w:rsidR="00B0658B" w:rsidRPr="006301EB" w:rsidRDefault="00B0658B" w:rsidP="00B0658B">
      <w:pPr>
        <w:ind w:left="1440"/>
        <w:rPr>
          <w:lang w:val="pt-BR"/>
        </w:rPr>
      </w:pPr>
      <w:r w:rsidRPr="006301EB">
        <w:rPr>
          <w:rFonts w:cs="Tahoma"/>
          <w:snapToGrid w:val="0"/>
          <w:szCs w:val="18"/>
          <w:lang w:val="pt-BR"/>
        </w:rPr>
        <w:t>A Microsoft usará Prestadores de Serviços para dar suporte aos Serviços Online.</w:t>
      </w:r>
      <w:r w:rsidR="00FB5496" w:rsidRPr="006301EB">
        <w:rPr>
          <w:rFonts w:cs="Tahoma"/>
          <w:snapToGrid w:val="0"/>
          <w:szCs w:val="18"/>
          <w:lang w:val="pt-BR"/>
        </w:rPr>
        <w:t xml:space="preserve"> </w:t>
      </w:r>
      <w:r w:rsidRPr="006301EB">
        <w:rPr>
          <w:rFonts w:cs="Tahoma"/>
          <w:snapToGrid w:val="0"/>
          <w:szCs w:val="18"/>
          <w:lang w:val="pt-BR"/>
        </w:rPr>
        <w:t>A Microsoft se responsabiliza pelo desempenho deles, sujeitos aos termos do contrato de Licenciamento por Volume do Cliente</w:t>
      </w:r>
    </w:p>
    <w:p w:rsidR="00B0658B" w:rsidRPr="006301EB" w:rsidRDefault="00B0658B" w:rsidP="00C175DE">
      <w:pPr>
        <w:spacing w:after="60"/>
        <w:ind w:left="720"/>
        <w:rPr>
          <w:lang w:val="pt-BR"/>
        </w:rPr>
      </w:pPr>
    </w:p>
    <w:p w:rsidR="00C175DE" w:rsidRPr="006301EB" w:rsidRDefault="00C175DE">
      <w:pPr>
        <w:rPr>
          <w:lang w:val="pt-BR"/>
        </w:rPr>
      </w:pPr>
    </w:p>
    <w:p w:rsidR="00D70D2C" w:rsidRPr="00416070" w:rsidRDefault="001D5998" w:rsidP="00D70D2C">
      <w:pPr>
        <w:pStyle w:val="Heading2"/>
        <w:ind w:left="270" w:hanging="270"/>
      </w:pPr>
      <w:bookmarkStart w:id="1211" w:name="_44_Exchange_Online"/>
      <w:bookmarkStart w:id="1212" w:name="_44_Arquivamento_do"/>
      <w:bookmarkStart w:id="1213" w:name="_Toc352234370"/>
      <w:bookmarkEnd w:id="1211"/>
      <w:bookmarkEnd w:id="1212"/>
      <w:r w:rsidRPr="00416070">
        <w:rPr>
          <w:rFonts w:ascii="Tahoma" w:hAnsi="Tahoma" w:cs="Tahoma"/>
          <w:color w:val="F26200"/>
          <w:sz w:val="20"/>
          <w:vertAlign w:val="superscript"/>
        </w:rPr>
        <w:t>44</w:t>
      </w:r>
      <w:r w:rsidRPr="00416070">
        <w:rPr>
          <w:rFonts w:ascii="Tahoma" w:hAnsi="Tahoma" w:cs="Tahoma"/>
          <w:color w:val="F26200"/>
        </w:rPr>
        <w:t xml:space="preserve"> </w:t>
      </w:r>
      <w:r w:rsidRPr="00416070">
        <w:rPr>
          <w:rFonts w:ascii="Tahoma" w:hAnsi="Tahoma" w:cs="Tahoma"/>
          <w:color w:val="F26200"/>
          <w:sz w:val="22"/>
        </w:rPr>
        <w:t>Arquivamento do Exchange Online (SL de Usuário)</w:t>
      </w:r>
      <w:bookmarkEnd w:id="1209"/>
      <w:bookmarkEnd w:id="1213"/>
    </w:p>
    <w:bookmarkEnd w:id="1210"/>
    <w:p w:rsidR="00D70D2C" w:rsidRPr="006301EB" w:rsidRDefault="00D70D2C" w:rsidP="00D70D2C">
      <w:pPr>
        <w:ind w:left="900"/>
        <w:rPr>
          <w:lang w:val="pt-BR"/>
        </w:rPr>
      </w:pPr>
    </w:p>
    <w:p w:rsidR="00D70D2C" w:rsidRPr="00416070" w:rsidRDefault="00D70D2C" w:rsidP="00E62BC4">
      <w:pPr>
        <w:pStyle w:val="ListParagraph"/>
      </w:pPr>
      <w:r w:rsidRPr="00416070">
        <w:rPr>
          <w:rFonts w:ascii="Tahoma" w:hAnsi="Tahoma" w:cs="Tahoma"/>
          <w:color w:val="000000"/>
          <w:sz w:val="18"/>
          <w:szCs w:val="18"/>
        </w:rPr>
        <w:t>O Arquivamento do Exchange Online é um serviço online sucessor do Exchange Hosted Archive.</w:t>
      </w:r>
    </w:p>
    <w:p w:rsidR="00D70D2C" w:rsidRPr="00397ADC" w:rsidRDefault="00D70D2C" w:rsidP="00E62BC4">
      <w:pPr>
        <w:pStyle w:val="ListParagraph"/>
        <w:rPr>
          <w:rFonts w:ascii="Tahoma" w:hAnsi="Tahoma" w:cs="Tahoma"/>
          <w:sz w:val="18"/>
          <w:szCs w:val="18"/>
        </w:rPr>
      </w:pPr>
    </w:p>
    <w:p w:rsidR="00D70D2C" w:rsidRPr="006301EB" w:rsidRDefault="00D70D2C" w:rsidP="00E62BC4">
      <w:pPr>
        <w:ind w:left="720"/>
        <w:rPr>
          <w:lang w:val="pt-BR"/>
        </w:rPr>
      </w:pPr>
      <w:r w:rsidRPr="006301EB">
        <w:rPr>
          <w:rFonts w:cs="Tahoma"/>
          <w:color w:val="000000"/>
          <w:szCs w:val="18"/>
          <w:lang w:val="pt-BR"/>
        </w:rPr>
        <w:t>Se você renovar a partir do Exchange Hosted Archive no Arquivamento do Exchange Online e ainda não tiver migrado para o Exchange Online</w:t>
      </w:r>
      <w:r w:rsidRPr="006301EB">
        <w:rPr>
          <w:color w:val="000000"/>
          <w:lang w:val="pt-BR"/>
        </w:rPr>
        <w:t xml:space="preserve"> Archiving, seus usuários licenciados poderão continuar usando o serviço Exchange Hosted Archive sujeito aos termos do PUR de março de 2011 antes da migração para o Arquivamento do Exchange Online e a expiração da sua assinatura do Arquivamento do Exchange Online.</w:t>
      </w:r>
    </w:p>
    <w:p w:rsidR="00397ADC" w:rsidRPr="006301EB" w:rsidRDefault="00397ADC" w:rsidP="0084072C">
      <w:pPr>
        <w:spacing w:after="60"/>
        <w:ind w:left="720"/>
        <w:rPr>
          <w:rFonts w:eastAsia="Calibri" w:cs="Tahoma"/>
          <w:bCs/>
          <w:color w:val="000000"/>
          <w:szCs w:val="18"/>
          <w:lang w:val="pt-BR"/>
        </w:rPr>
      </w:pPr>
    </w:p>
    <w:p w:rsidR="00B23BE6" w:rsidRPr="006301EB" w:rsidRDefault="00B23BE6" w:rsidP="0084072C">
      <w:pPr>
        <w:spacing w:after="60"/>
        <w:ind w:left="720"/>
        <w:rPr>
          <w:lang w:val="pt-BR"/>
        </w:rPr>
      </w:pPr>
      <w:r w:rsidRPr="006301EB">
        <w:rPr>
          <w:rFonts w:eastAsia="Calibri" w:cs="Tahoma"/>
          <w:b/>
          <w:color w:val="000000"/>
          <w:szCs w:val="18"/>
          <w:lang w:val="pt-BR"/>
        </w:rPr>
        <w:t>Nuvem da Comunidade do Governo (apenas para os Estados Unidos)</w:t>
      </w:r>
    </w:p>
    <w:p w:rsidR="00B23BE6" w:rsidRPr="006301EB" w:rsidRDefault="00B23BE6" w:rsidP="00E62BC4">
      <w:pPr>
        <w:ind w:left="720"/>
        <w:rPr>
          <w:lang w:val="pt-BR"/>
        </w:rPr>
      </w:pPr>
      <w:r w:rsidRPr="006301EB">
        <w:rPr>
          <w:rFonts w:eastAsia="Calibri" w:cs="Tahoma"/>
          <w:color w:val="000000"/>
          <w:szCs w:val="18"/>
          <w:lang w:val="pt-BR"/>
        </w:rPr>
        <w:t>Alguns serviços online na família de produtos do Office 365 (incluindo Arquivamento do Exchange Online) são oferecidos como serviços de nuvem da comunidade do governo e serviços de nuvem da comunidade não governamental.</w:t>
      </w:r>
      <w:r w:rsidR="00FB5496" w:rsidRPr="006301EB">
        <w:rPr>
          <w:rFonts w:eastAsia="Calibri" w:cs="Tahoma"/>
          <w:color w:val="000000"/>
          <w:szCs w:val="18"/>
          <w:lang w:val="pt-BR"/>
        </w:rPr>
        <w:t xml:space="preserve"> </w:t>
      </w:r>
      <w:r w:rsidRPr="006301EB">
        <w:rPr>
          <w:rFonts w:eastAsia="Calibri" w:cs="Tahoma"/>
          <w:color w:val="000000"/>
          <w:szCs w:val="18"/>
          <w:lang w:val="pt-BR"/>
        </w:rPr>
        <w:t>Os clientes podem ser provisionados como um ou outro, mas não com uma mistura dos dois.</w:t>
      </w:r>
      <w:r w:rsidR="00FB5496" w:rsidRPr="006301EB">
        <w:rPr>
          <w:rFonts w:eastAsia="Calibri" w:cs="Tahoma"/>
          <w:color w:val="000000"/>
          <w:szCs w:val="18"/>
          <w:lang w:val="pt-BR"/>
        </w:rPr>
        <w:t xml:space="preserve"> </w:t>
      </w:r>
      <w:r w:rsidRPr="006301EB">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FB5496" w:rsidRPr="006301EB">
        <w:rPr>
          <w:rFonts w:eastAsia="Calibri" w:cs="Tahoma"/>
          <w:color w:val="000000"/>
          <w:szCs w:val="18"/>
          <w:lang w:val="pt-BR"/>
        </w:rPr>
        <w:t xml:space="preserve"> </w:t>
      </w:r>
      <w:r w:rsidRPr="006301EB">
        <w:rPr>
          <w:rFonts w:eastAsia="Calibri" w:cs="Tahoma"/>
          <w:color w:val="000000"/>
          <w:szCs w:val="18"/>
          <w:lang w:val="pt-BR"/>
        </w:rPr>
        <w:t>Esta limitação se estende a qualquer serviço online que faça parte da família de produtos do Office 365, incluindo Exchange Online, SharePoint Online e Lync Online.</w:t>
      </w:r>
    </w:p>
    <w:p w:rsidR="00B23BE6" w:rsidRPr="006301EB" w:rsidRDefault="00B23BE6" w:rsidP="00E62BC4">
      <w:pPr>
        <w:ind w:left="720"/>
        <w:rPr>
          <w:lang w:val="pt-BR"/>
        </w:rPr>
      </w:pPr>
    </w:p>
    <w:p w:rsidR="00B23BE6" w:rsidRPr="006301EB" w:rsidRDefault="00B23BE6" w:rsidP="00E62BC4">
      <w:pPr>
        <w:ind w:left="720"/>
        <w:rPr>
          <w:lang w:val="pt-BR"/>
        </w:rPr>
      </w:pPr>
      <w:r w:rsidRPr="006301EB">
        <w:rPr>
          <w:rFonts w:eastAsia="Calibri" w:cs="Tahoma"/>
          <w:color w:val="000000"/>
          <w:szCs w:val="18"/>
          <w:lang w:val="pt-BR"/>
        </w:rPr>
        <w:t>Assim que um serviço online é provisionado na nuvem de comunidade do governo, ele permanecerá lá pela duração da vigência da assinatura.</w:t>
      </w:r>
      <w:r w:rsidR="00FB5496" w:rsidRPr="006301EB">
        <w:rPr>
          <w:rFonts w:eastAsia="Calibri" w:cs="Tahoma"/>
          <w:color w:val="000000"/>
          <w:szCs w:val="18"/>
          <w:lang w:val="pt-BR"/>
        </w:rPr>
        <w:t xml:space="preserve"> </w:t>
      </w:r>
      <w:r w:rsidRPr="006301EB">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FB5496" w:rsidRPr="006301EB">
        <w:rPr>
          <w:rFonts w:eastAsia="Calibri" w:cs="Tahoma"/>
          <w:color w:val="000000"/>
          <w:szCs w:val="18"/>
          <w:lang w:val="pt-BR"/>
        </w:rPr>
        <w:t xml:space="preserve"> </w:t>
      </w:r>
      <w:r w:rsidRPr="006301EB">
        <w:rPr>
          <w:rFonts w:eastAsia="Calibri" w:cs="Tahoma"/>
          <w:color w:val="000000"/>
          <w:szCs w:val="18"/>
          <w:lang w:val="pt-BR"/>
        </w:rPr>
        <w:t>Os Direitos de Uso para serviços de nuvem da comunidade do governo são equivalentes àqueles dos seus diversos locatários padrão.</w:t>
      </w:r>
      <w:r w:rsidR="00FB5496" w:rsidRPr="006301EB">
        <w:rPr>
          <w:rFonts w:eastAsia="Calibri" w:cs="Tahoma"/>
          <w:color w:val="000000"/>
          <w:szCs w:val="18"/>
          <w:lang w:val="pt-BR"/>
        </w:rPr>
        <w:t xml:space="preserve"> </w:t>
      </w:r>
      <w:r w:rsidRPr="006301EB">
        <w:rPr>
          <w:rFonts w:eastAsia="Calibri" w:cs="Tahoma"/>
          <w:color w:val="000000"/>
          <w:szCs w:val="18"/>
          <w:lang w:val="pt-BR"/>
        </w:rPr>
        <w:t>Os serviços de nuvem da comunidade do governo não estão qualificados para Transições e Reserva de Licença neste momento.</w:t>
      </w:r>
    </w:p>
    <w:p w:rsidR="00B23BE6" w:rsidRPr="006301EB" w:rsidRDefault="00B23BE6" w:rsidP="00D70D2C">
      <w:pPr>
        <w:ind w:left="540"/>
        <w:rPr>
          <w:lang w:val="pt-BR"/>
        </w:rPr>
      </w:pPr>
    </w:p>
    <w:p w:rsidR="00EC1F23" w:rsidRPr="00416070" w:rsidRDefault="00B26237" w:rsidP="00465757">
      <w:pPr>
        <w:pStyle w:val="Heading2"/>
        <w:ind w:left="270" w:hanging="270"/>
      </w:pPr>
      <w:bookmarkStart w:id="1214" w:name="_45_Exchange_Hosted"/>
      <w:bookmarkStart w:id="1215" w:name="_Toc336338306"/>
      <w:bookmarkStart w:id="1216" w:name="_Toc352234371"/>
      <w:bookmarkStart w:id="1217" w:name="Srv_44ExchHostArchiveandStorage"/>
      <w:bookmarkEnd w:id="1214"/>
      <w:r w:rsidRPr="00416070">
        <w:rPr>
          <w:rFonts w:ascii="Tahoma" w:hAnsi="Tahoma" w:cs="Tahoma"/>
          <w:color w:val="F26200"/>
          <w:sz w:val="20"/>
          <w:vertAlign w:val="superscript"/>
        </w:rPr>
        <w:t>45</w:t>
      </w:r>
      <w:r w:rsidRPr="00416070">
        <w:rPr>
          <w:rFonts w:ascii="Tahoma" w:hAnsi="Tahoma" w:cs="Tahoma"/>
          <w:color w:val="F26200"/>
        </w:rPr>
        <w:t xml:space="preserve"> </w:t>
      </w:r>
      <w:r w:rsidRPr="00416070">
        <w:rPr>
          <w:rFonts w:ascii="Tahoma" w:hAnsi="Tahoma" w:cs="Tahoma"/>
          <w:color w:val="F26200"/>
          <w:sz w:val="22"/>
        </w:rPr>
        <w:t>Exchange Hosted Archive (SL de Usuário), Exchange Hosted Archive Extra Storage (SL Complementar)</w:t>
      </w:r>
      <w:bookmarkEnd w:id="1215"/>
      <w:bookmarkEnd w:id="1216"/>
      <w:r w:rsidRPr="00416070">
        <w:rPr>
          <w:rFonts w:ascii="Tahoma" w:hAnsi="Tahoma" w:cs="Tahoma"/>
          <w:color w:val="F26200"/>
          <w:sz w:val="22"/>
        </w:rPr>
        <w:t xml:space="preserve"> </w:t>
      </w:r>
      <w:bookmarkEnd w:id="1217"/>
    </w:p>
    <w:p w:rsidR="00EC1F23" w:rsidRPr="006301EB" w:rsidRDefault="00EC1F23" w:rsidP="00EC1F23">
      <w:pPr>
        <w:ind w:left="900"/>
        <w:rPr>
          <w:lang w:val="pt-BR"/>
        </w:rPr>
      </w:pPr>
    </w:p>
    <w:p w:rsidR="00EC1F23" w:rsidRPr="006301EB" w:rsidRDefault="00EC1F23" w:rsidP="0084072C">
      <w:pPr>
        <w:spacing w:after="60"/>
        <w:ind w:left="720"/>
        <w:rPr>
          <w:lang w:val="pt-BR"/>
        </w:rPr>
      </w:pPr>
      <w:r w:rsidRPr="006301EB">
        <w:rPr>
          <w:rFonts w:eastAsia="Calibri" w:cs="Tahoma"/>
          <w:b/>
          <w:bCs/>
          <w:iCs/>
          <w:color w:val="000000"/>
          <w:lang w:val="pt-BR"/>
        </w:rPr>
        <w:t>Outorga de Licença de 1</w:t>
      </w:r>
      <w:r w:rsidRPr="006301EB">
        <w:rPr>
          <w:rFonts w:eastAsia="Calibri" w:cs="Tahoma"/>
          <w:b/>
          <w:bCs/>
          <w:iCs/>
          <w:color w:val="000000"/>
          <w:vertAlign w:val="superscript"/>
          <w:lang w:val="pt-BR"/>
        </w:rPr>
        <w:t>º</w:t>
      </w:r>
      <w:r w:rsidRPr="006301EB">
        <w:rPr>
          <w:rFonts w:eastAsia="Calibri" w:cs="Tahoma"/>
          <w:b/>
          <w:bCs/>
          <w:iCs/>
          <w:color w:val="000000"/>
          <w:lang w:val="pt-BR"/>
        </w:rPr>
        <w:t xml:space="preserve"> de maio de 2011 para Clientes do Exchange Hosted Archive</w:t>
      </w:r>
      <w:r w:rsidRPr="006301EB">
        <w:rPr>
          <w:rFonts w:eastAsia="Calibri" w:cs="Tahoma"/>
          <w:b/>
          <w:iCs/>
          <w:color w:val="000000"/>
          <w:lang w:val="pt-BR"/>
        </w:rPr>
        <w:t xml:space="preserve"> </w:t>
      </w:r>
    </w:p>
    <w:p w:rsidR="00EC1F23" w:rsidRPr="006301EB" w:rsidRDefault="00EC1F23" w:rsidP="009D57D2">
      <w:pPr>
        <w:ind w:left="720"/>
        <w:rPr>
          <w:lang w:val="pt-BR"/>
        </w:rPr>
      </w:pPr>
      <w:r w:rsidRPr="006301EB">
        <w:rPr>
          <w:rFonts w:eastAsia="Calibri" w:cs="Tahoma"/>
          <w:iCs/>
          <w:color w:val="000000"/>
          <w:lang w:val="pt-BR"/>
        </w:rPr>
        <w:t>Os clientes receberão uma quantidade de licenças adicional (“licenças complementares”) igual a 15% do número de licenças do Exchange Hosted Archive (EHA) que eles compraram e que estarão ativos a partir de 1</w:t>
      </w:r>
      <w:r w:rsidRPr="006301EB">
        <w:rPr>
          <w:rFonts w:eastAsia="Calibri" w:cs="Tahoma"/>
          <w:iCs/>
          <w:color w:val="000000"/>
          <w:vertAlign w:val="superscript"/>
          <w:lang w:val="pt-BR"/>
        </w:rPr>
        <w:t>º</w:t>
      </w:r>
      <w:r w:rsidRPr="006301EB">
        <w:rPr>
          <w:rFonts w:eastAsia="Calibri" w:cs="Tahoma"/>
          <w:iCs/>
          <w:color w:val="000000"/>
          <w:lang w:val="pt-BR"/>
        </w:rPr>
        <w:t xml:space="preserve"> de maio de 2011 (“licenças qualificadas”).</w:t>
      </w:r>
      <w:r w:rsidR="00FB5496" w:rsidRPr="006301EB">
        <w:rPr>
          <w:rFonts w:eastAsia="Calibri" w:cs="Tahoma"/>
          <w:iCs/>
          <w:color w:val="000000"/>
          <w:lang w:val="pt-BR"/>
        </w:rPr>
        <w:t xml:space="preserve"> </w:t>
      </w:r>
      <w:r w:rsidRPr="006301EB">
        <w:rPr>
          <w:rFonts w:eastAsia="Calibri" w:cs="Tahoma"/>
          <w:iCs/>
          <w:color w:val="000000"/>
          <w:lang w:val="pt-BR"/>
        </w:rPr>
        <w:t>Desde que a licenças qualificadas do cliente continuem ativas, suas licenças complementares permanecerão válidas até o final do prazo da assinatura que coincide com a</w:t>
      </w:r>
      <w:r w:rsidR="009D57D2" w:rsidRPr="006301EB">
        <w:rPr>
          <w:rFonts w:eastAsia="Calibri" w:cs="Tahoma"/>
          <w:iCs/>
          <w:color w:val="000000"/>
          <w:lang w:val="pt-BR"/>
        </w:rPr>
        <w:t> </w:t>
      </w:r>
      <w:r w:rsidRPr="006301EB">
        <w:rPr>
          <w:rFonts w:eastAsia="Calibri" w:cs="Tahoma"/>
          <w:iCs/>
          <w:color w:val="000000"/>
          <w:lang w:val="pt-BR"/>
        </w:rPr>
        <w:t>migração dos clientes de EHA para um Serviço Online sucessor, conforme especificado na tabela de migração a seguir.</w:t>
      </w:r>
      <w:r w:rsidR="00FB5496" w:rsidRPr="006301EB">
        <w:rPr>
          <w:rFonts w:eastAsia="Calibri" w:cs="Tahoma"/>
          <w:iCs/>
          <w:color w:val="000000"/>
          <w:lang w:val="pt-BR"/>
        </w:rPr>
        <w:t xml:space="preserve"> </w:t>
      </w:r>
      <w:r w:rsidRPr="006301EB">
        <w:rPr>
          <w:rFonts w:eastAsia="Calibri" w:cs="Tahoma"/>
          <w:iCs/>
          <w:color w:val="000000"/>
          <w:lang w:val="pt-BR"/>
        </w:rPr>
        <w:t xml:space="preserve">Os clientes que desejam continuar usando o Serviço Online sucessor depois da expiração de suas licenças complementares precisarão solicitar uma série de licenças igual ao número total de usuários que acessarão ou usarão esse Serviço Online. </w:t>
      </w:r>
    </w:p>
    <w:p w:rsidR="00BA1490" w:rsidRPr="006301EB" w:rsidRDefault="00BA1490" w:rsidP="0084072C">
      <w:pPr>
        <w:rPr>
          <w:lang w:val="pt-BR"/>
        </w:rPr>
      </w:pPr>
    </w:p>
    <w:p w:rsidR="00EA6918" w:rsidRPr="006301EB" w:rsidRDefault="00EC1F23" w:rsidP="0084072C">
      <w:pPr>
        <w:spacing w:after="60"/>
        <w:ind w:left="720"/>
        <w:rPr>
          <w:lang w:val="pt-BR"/>
        </w:rPr>
      </w:pPr>
      <w:r w:rsidRPr="006301EB">
        <w:rPr>
          <w:rFonts w:eastAsia="Calibri" w:cs="Tahoma"/>
          <w:b/>
          <w:bCs/>
          <w:iCs/>
          <w:color w:val="000000"/>
          <w:lang w:val="pt-BR"/>
        </w:rPr>
        <w:t>Outorga de Licença de Migração para Clientes do Exchange Hosted Archive</w:t>
      </w:r>
    </w:p>
    <w:p w:rsidR="00EC1F23" w:rsidRPr="006301EB" w:rsidRDefault="00EC1F23" w:rsidP="009D57D2">
      <w:pPr>
        <w:ind w:left="720"/>
        <w:rPr>
          <w:lang w:val="pt-BR"/>
        </w:rPr>
      </w:pPr>
      <w:r w:rsidRPr="006301EB">
        <w:rPr>
          <w:rFonts w:eastAsia="Calibri" w:cs="Tahoma"/>
          <w:iCs/>
          <w:color w:val="000000"/>
          <w:lang w:val="pt-BR"/>
        </w:rPr>
        <w:t>Os clientes EHA que migram para os Serviços Online sucessores receberão um número total de licenças de</w:t>
      </w:r>
      <w:r w:rsidR="009D57D2" w:rsidRPr="006301EB">
        <w:rPr>
          <w:rFonts w:eastAsia="Calibri" w:cs="Tahoma"/>
          <w:iCs/>
          <w:color w:val="000000"/>
          <w:lang w:val="pt-BR"/>
        </w:rPr>
        <w:t> </w:t>
      </w:r>
      <w:r w:rsidRPr="006301EB">
        <w:rPr>
          <w:rFonts w:eastAsia="Calibri" w:cs="Tahoma"/>
          <w:iCs/>
          <w:color w:val="000000"/>
          <w:lang w:val="pt-BR"/>
        </w:rPr>
        <w:t>reposição para os Serviços Online sucessores igual ao número total de licenças EHA qualificadas e complementares, como pode ser visto na tabela a seguir.</w:t>
      </w:r>
      <w:r w:rsidR="00FB5496" w:rsidRPr="006301EB">
        <w:rPr>
          <w:rFonts w:eastAsia="Calibri" w:cs="Tahoma"/>
          <w:iCs/>
          <w:color w:val="000000"/>
          <w:lang w:val="pt-BR"/>
        </w:rPr>
        <w:t xml:space="preserve"> </w:t>
      </w:r>
      <w:r w:rsidRPr="006301EB">
        <w:rPr>
          <w:rFonts w:eastAsia="Calibri" w:cs="Tahoma"/>
          <w:iCs/>
          <w:color w:val="000000"/>
          <w:lang w:val="pt-BR"/>
        </w:rPr>
        <w:t>Essas licenças de reposição expirarão no final do período de assinatura, coincidindo com a migração do cliente de EHA para os Serviços Onli</w:t>
      </w:r>
      <w:r w:rsidR="009D57D2" w:rsidRPr="006301EB">
        <w:rPr>
          <w:rFonts w:eastAsia="Calibri" w:cs="Tahoma"/>
          <w:iCs/>
          <w:color w:val="000000"/>
          <w:lang w:val="pt-BR"/>
        </w:rPr>
        <w:t>ne sucessores.</w:t>
      </w:r>
    </w:p>
    <w:p w:rsidR="00EC1F23" w:rsidRPr="006301EB" w:rsidRDefault="00EC1F23" w:rsidP="00E62BC4">
      <w:pPr>
        <w:ind w:left="720"/>
        <w:rPr>
          <w:lang w:val="pt-BR"/>
        </w:rPr>
      </w:pPr>
    </w:p>
    <w:p w:rsidR="002512D3" w:rsidRPr="006301EB" w:rsidRDefault="00EC1F23" w:rsidP="003165D6">
      <w:pPr>
        <w:ind w:left="720"/>
        <w:rPr>
          <w:lang w:val="pt-BR"/>
        </w:rPr>
      </w:pPr>
      <w:r w:rsidRPr="006301EB">
        <w:rPr>
          <w:rFonts w:eastAsia="Calibri" w:cs="Tahoma"/>
          <w:iCs/>
          <w:color w:val="000000"/>
          <w:lang w:val="pt-BR"/>
        </w:rPr>
        <w:t>As SLs de Usuário do Exchange Online Plano 2 concedidas sob esta oferta de migração deverão ser atribuídas ao usuário para os quais as SLs de Usuário do Exchange Online Standard, Exchange Online Plano 2, BPOS Standard, Office 365 Enterprise E1, BPOS Deskless, Exchange Online Deskless ou Quiosque do Exchange Online são atribuídas.</w:t>
      </w:r>
      <w:r w:rsidR="00FB5496" w:rsidRPr="006301EB">
        <w:rPr>
          <w:rFonts w:eastAsia="Calibri" w:cs="Tahoma"/>
          <w:iCs/>
          <w:color w:val="000000"/>
          <w:lang w:val="pt-BR"/>
        </w:rPr>
        <w:t xml:space="preserve"> </w:t>
      </w:r>
      <w:r w:rsidRPr="006301EB">
        <w:rPr>
          <w:rFonts w:eastAsia="Calibri" w:cs="Tahoma"/>
          <w:iCs/>
          <w:color w:val="000000"/>
          <w:lang w:val="pt-BR"/>
        </w:rPr>
        <w:t>Se a SL de Usuário correspondente for reatribuída a um novo usuário, então o Exchange Online Plano 2 também deverá ser realo</w:t>
      </w:r>
      <w:r w:rsidR="009D57D2" w:rsidRPr="006301EB">
        <w:rPr>
          <w:rFonts w:eastAsia="Calibri" w:cs="Tahoma"/>
          <w:iCs/>
          <w:color w:val="000000"/>
          <w:lang w:val="pt-BR"/>
        </w:rPr>
        <w:t>cada para o mesmo novo usuário.</w:t>
      </w:r>
    </w:p>
    <w:p w:rsidR="00EC1F23" w:rsidRPr="006301EB" w:rsidRDefault="00EC1F23" w:rsidP="00EC1F23">
      <w:pPr>
        <w:rPr>
          <w:lang w:val="pt-B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2B5F9E" w:rsidTr="00C066F9">
        <w:trPr>
          <w:jc w:val="center"/>
        </w:trPr>
        <w:tc>
          <w:tcPr>
            <w:tcW w:w="7740" w:type="dxa"/>
            <w:gridSpan w:val="2"/>
            <w:shd w:val="clear" w:color="auto" w:fill="FABF8F"/>
          </w:tcPr>
          <w:p w:rsidR="00EC1F23" w:rsidRPr="006301EB" w:rsidRDefault="00EC1F23" w:rsidP="00022FBE">
            <w:pPr>
              <w:jc w:val="center"/>
              <w:rPr>
                <w:rFonts w:eastAsia="Calibri" w:cs="Tahoma"/>
                <w:b/>
                <w:iCs/>
                <w:color w:val="000000"/>
                <w:lang w:val="pt-BR"/>
              </w:rPr>
            </w:pPr>
            <w:r w:rsidRPr="006301EB">
              <w:rPr>
                <w:rFonts w:eastAsia="Calibri" w:cs="Tahoma"/>
                <w:b/>
                <w:iCs/>
                <w:color w:val="000000"/>
                <w:lang w:val="pt-BR"/>
              </w:rPr>
              <w:t>Outorga da Licença de Migração</w:t>
            </w:r>
          </w:p>
        </w:tc>
      </w:tr>
      <w:tr w:rsidR="00EC1F23" w:rsidRPr="00416070" w:rsidTr="00C066F9">
        <w:trPr>
          <w:jc w:val="center"/>
        </w:trPr>
        <w:tc>
          <w:tcPr>
            <w:tcW w:w="3960" w:type="dxa"/>
            <w:shd w:val="clear" w:color="auto" w:fill="auto"/>
          </w:tcPr>
          <w:p w:rsidR="00EC1F23" w:rsidRPr="00416070" w:rsidRDefault="00EC1F23" w:rsidP="00022FBE">
            <w:pPr>
              <w:jc w:val="center"/>
              <w:rPr>
                <w:rFonts w:eastAsia="Calibri" w:cs="Tahoma"/>
                <w:iCs/>
                <w:color w:val="000000"/>
              </w:rPr>
            </w:pPr>
            <w:r w:rsidRPr="00416070">
              <w:rPr>
                <w:rFonts w:eastAsia="Calibri" w:cs="Tahoma"/>
                <w:iCs/>
                <w:color w:val="000000"/>
              </w:rPr>
              <w:t>Posição da licença qualificada</w:t>
            </w:r>
          </w:p>
        </w:tc>
        <w:tc>
          <w:tcPr>
            <w:tcW w:w="3780" w:type="dxa"/>
            <w:shd w:val="clear" w:color="auto" w:fill="auto"/>
          </w:tcPr>
          <w:p w:rsidR="00EC1F23" w:rsidRPr="00416070" w:rsidRDefault="00EC1F23" w:rsidP="00022FBE">
            <w:pPr>
              <w:jc w:val="center"/>
              <w:rPr>
                <w:rFonts w:eastAsia="Calibri" w:cs="Tahoma"/>
                <w:iCs/>
                <w:color w:val="000000"/>
              </w:rPr>
            </w:pPr>
            <w:r w:rsidRPr="00416070">
              <w:rPr>
                <w:rFonts w:eastAsia="Calibri" w:cs="Tahoma"/>
                <w:iCs/>
                <w:color w:val="000000"/>
              </w:rPr>
              <w:t>Outorga de Licença</w:t>
            </w:r>
          </w:p>
        </w:tc>
      </w:tr>
      <w:tr w:rsidR="00EC1F23" w:rsidRPr="002B5F9E" w:rsidTr="00C066F9">
        <w:trPr>
          <w:jc w:val="center"/>
        </w:trPr>
        <w:tc>
          <w:tcPr>
            <w:tcW w:w="3960" w:type="dxa"/>
            <w:shd w:val="clear" w:color="auto" w:fill="auto"/>
          </w:tcPr>
          <w:p w:rsidR="00EE53FF" w:rsidRPr="006301EB" w:rsidRDefault="00EE53FF" w:rsidP="001051D1">
            <w:pPr>
              <w:spacing w:before="60" w:after="60"/>
              <w:ind w:left="158" w:right="346"/>
              <w:rPr>
                <w:lang w:val="pt-BR"/>
              </w:rPr>
            </w:pPr>
            <w:r w:rsidRPr="006301EB">
              <w:rPr>
                <w:rFonts w:eastAsia="Calibri" w:cs="Tahoma"/>
                <w:iCs/>
                <w:color w:val="000000"/>
                <w:lang w:val="pt-BR"/>
              </w:rPr>
              <w:t>SL de Usuário EHA (usada junto com uma CAL do Exchange na instalação)</w:t>
            </w:r>
          </w:p>
          <w:p w:rsidR="00EC1F23" w:rsidRPr="006301EB" w:rsidRDefault="00EC1F23" w:rsidP="001051D1">
            <w:pPr>
              <w:spacing w:before="60" w:after="60"/>
              <w:ind w:left="158" w:right="346"/>
              <w:rPr>
                <w:lang w:val="pt-BR"/>
              </w:rPr>
            </w:pPr>
            <w:r w:rsidRPr="006301EB">
              <w:rPr>
                <w:rFonts w:eastAsia="Calibri" w:cs="Tahoma"/>
                <w:iCs/>
                <w:color w:val="000000"/>
                <w:lang w:val="pt-BR"/>
              </w:rPr>
              <w:t>A SL de Usuário do EHA (usada com SLs de Usuário para Exchange Online Standard, Exchange Online Plano</w:t>
            </w:r>
          </w:p>
          <w:p w:rsidR="00EC1F23" w:rsidRPr="006301EB" w:rsidRDefault="00EC1F23" w:rsidP="001051D1">
            <w:pPr>
              <w:spacing w:before="60" w:after="60"/>
              <w:ind w:left="158" w:right="346"/>
              <w:rPr>
                <w:rFonts w:eastAsia="Calibri" w:cs="Tahoma"/>
                <w:iCs/>
                <w:color w:val="000000"/>
                <w:lang w:val="fr-FR"/>
              </w:rPr>
            </w:pPr>
            <w:r w:rsidRPr="006301EB">
              <w:rPr>
                <w:rFonts w:eastAsia="Calibri" w:cs="Tahoma"/>
                <w:iCs/>
                <w:color w:val="000000"/>
                <w:lang w:val="fr-FR"/>
              </w:rPr>
              <w:t>2, BPOS Standard, Office 365 E1, BPOS Deskless, Exchange Online Deskless ou Quiosque do Exchange Online)</w:t>
            </w:r>
          </w:p>
        </w:tc>
        <w:tc>
          <w:tcPr>
            <w:tcW w:w="3780" w:type="dxa"/>
            <w:shd w:val="clear" w:color="auto" w:fill="auto"/>
          </w:tcPr>
          <w:p w:rsidR="00EC1F23" w:rsidRPr="006301EB" w:rsidRDefault="00EC1F23" w:rsidP="001051D1">
            <w:pPr>
              <w:numPr>
                <w:ilvl w:val="0"/>
                <w:numId w:val="58"/>
              </w:numPr>
              <w:spacing w:before="60" w:after="60"/>
              <w:ind w:right="342"/>
              <w:rPr>
                <w:rFonts w:eastAsia="Calibri" w:cs="Tahoma"/>
                <w:iCs/>
                <w:color w:val="000000"/>
                <w:lang w:val="pt-BR"/>
              </w:rPr>
            </w:pPr>
            <w:r w:rsidRPr="006301EB">
              <w:rPr>
                <w:rFonts w:eastAsia="Calibri" w:cs="Tahoma"/>
                <w:iCs/>
                <w:color w:val="000000"/>
                <w:lang w:val="pt-BR"/>
              </w:rPr>
              <w:t>SL de Usuário do Exchange Online Plano 2</w:t>
            </w:r>
          </w:p>
        </w:tc>
      </w:tr>
    </w:tbl>
    <w:p w:rsidR="00DD39C7" w:rsidRPr="006301EB" w:rsidRDefault="00DD39C7" w:rsidP="0084072C">
      <w:pPr>
        <w:rPr>
          <w:lang w:val="pt-BR"/>
        </w:rPr>
      </w:pPr>
    </w:p>
    <w:p w:rsidR="00397ADC" w:rsidRPr="006301EB" w:rsidRDefault="00397ADC" w:rsidP="0084072C">
      <w:pPr>
        <w:rPr>
          <w:lang w:val="pt-BR"/>
        </w:rPr>
      </w:pPr>
    </w:p>
    <w:p w:rsidR="00DD39C7" w:rsidRPr="006301EB" w:rsidRDefault="00DD39C7" w:rsidP="0084072C">
      <w:pPr>
        <w:spacing w:after="60"/>
        <w:ind w:left="720"/>
        <w:rPr>
          <w:lang w:val="pt-BR"/>
        </w:rPr>
      </w:pPr>
      <w:r w:rsidRPr="006301EB">
        <w:rPr>
          <w:b/>
          <w:color w:val="000000"/>
          <w:lang w:val="pt-BR"/>
        </w:rPr>
        <w:t>Uso Contínuo do Exchange Hosted Archive (EHA) com Assinaturas Ativas para Business Productivity Online Subscription (BPOS) e Exchange Online Standard</w:t>
      </w:r>
    </w:p>
    <w:p w:rsidR="00DD39C7" w:rsidRPr="006301EB" w:rsidRDefault="00DD39C7" w:rsidP="00DD39C7">
      <w:pPr>
        <w:ind w:left="720"/>
        <w:rPr>
          <w:lang w:val="pt-BR"/>
        </w:rPr>
      </w:pPr>
      <w:r w:rsidRPr="006301EB">
        <w:rPr>
          <w:iCs/>
          <w:color w:val="000000"/>
          <w:lang w:val="pt-BR"/>
        </w:rPr>
        <w:t>Os clientes com assinaturas EHA que estão expirando que ainda não foram migrados para o Office 365 e que estão atualmente implementados no BPOS ou Exchange Online Standard podem continuar a usar o EHA</w:t>
      </w:r>
      <w:r w:rsidR="004A1891" w:rsidRPr="006301EB">
        <w:rPr>
          <w:iCs/>
          <w:color w:val="000000"/>
          <w:lang w:val="pt-BR"/>
        </w:rPr>
        <w:t> </w:t>
      </w:r>
      <w:r w:rsidRPr="006301EB">
        <w:rPr>
          <w:iCs/>
          <w:color w:val="000000"/>
          <w:lang w:val="pt-BR"/>
        </w:rPr>
        <w:t>depois da expiração de sua assinatura e até (i) sua migração para o Office 365 ou (ii) expiração de sua assinatura do BPOS ou Exchange Online Standard, o que acontecer primeiro.</w:t>
      </w:r>
      <w:r w:rsidR="00FB5496" w:rsidRPr="006301EB">
        <w:rPr>
          <w:iCs/>
          <w:color w:val="000000"/>
          <w:lang w:val="pt-BR"/>
        </w:rPr>
        <w:t xml:space="preserve"> </w:t>
      </w:r>
      <w:r w:rsidRPr="006301EB">
        <w:rPr>
          <w:iCs/>
          <w:color w:val="000000"/>
          <w:lang w:val="pt-BR"/>
        </w:rPr>
        <w:t>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Exchange Online Standard foram atribuídas.</w:t>
      </w:r>
      <w:r w:rsidR="00FB5496" w:rsidRPr="006301EB">
        <w:rPr>
          <w:iCs/>
          <w:color w:val="000000"/>
          <w:lang w:val="pt-BR"/>
        </w:rPr>
        <w:t xml:space="preserve"> </w:t>
      </w:r>
      <w:r w:rsidRPr="006301EB">
        <w:rPr>
          <w:iCs/>
          <w:color w:val="000000"/>
          <w:lang w:val="pt-BR"/>
        </w:rPr>
        <w:t>O EHA é licenciado no estado em que se encontra sem nenhum tipo de garantia.</w:t>
      </w:r>
    </w:p>
    <w:p w:rsidR="00DD39C7" w:rsidRPr="006301EB" w:rsidRDefault="00DD39C7" w:rsidP="00DD39C7">
      <w:pPr>
        <w:ind w:left="720"/>
        <w:rPr>
          <w:szCs w:val="18"/>
          <w:lang w:val="pt-BR"/>
        </w:rPr>
      </w:pPr>
    </w:p>
    <w:p w:rsidR="00023FE7" w:rsidRPr="006301EB" w:rsidRDefault="00023FE7" w:rsidP="00B52F10">
      <w:pPr>
        <w:pStyle w:val="Heading2"/>
        <w:rPr>
          <w:sz w:val="18"/>
          <w:szCs w:val="18"/>
          <w:lang w:val="pt-BR"/>
        </w:rPr>
      </w:pPr>
    </w:p>
    <w:p w:rsidR="009D57D2" w:rsidRPr="006301EB" w:rsidRDefault="009D57D2" w:rsidP="009D57D2">
      <w:pPr>
        <w:rPr>
          <w:lang w:val="pt-BR" w:eastAsia="x-none"/>
        </w:rPr>
      </w:pPr>
    </w:p>
    <w:p w:rsidR="009D57D2" w:rsidRPr="006301EB" w:rsidRDefault="009D57D2" w:rsidP="009D57D2">
      <w:pPr>
        <w:rPr>
          <w:lang w:val="pt-BR" w:eastAsia="x-none"/>
        </w:rPr>
      </w:pPr>
    </w:p>
    <w:p w:rsidR="009D57D2" w:rsidRPr="006301EB" w:rsidRDefault="009D57D2" w:rsidP="009D57D2">
      <w:pPr>
        <w:rPr>
          <w:lang w:val="pt-BR" w:eastAsia="x-none"/>
        </w:rPr>
      </w:pPr>
    </w:p>
    <w:p w:rsidR="009D57D2" w:rsidRPr="006301EB" w:rsidRDefault="009D57D2" w:rsidP="009D57D2">
      <w:pPr>
        <w:rPr>
          <w:lang w:val="pt-BR" w:eastAsia="x-none"/>
        </w:rPr>
      </w:pPr>
    </w:p>
    <w:p w:rsidR="00827D38" w:rsidRPr="00416070" w:rsidRDefault="00B26237" w:rsidP="00B52F10">
      <w:pPr>
        <w:pStyle w:val="Heading2"/>
        <w:ind w:left="0"/>
      </w:pPr>
      <w:bookmarkStart w:id="1218" w:name="_46_Exchange_Hosted"/>
      <w:bookmarkStart w:id="1219" w:name="_Toc336338307"/>
      <w:bookmarkStart w:id="1220" w:name="_Toc352234372"/>
      <w:bookmarkStart w:id="1221" w:name="Srv_39ExchangeOnDeskWork"/>
      <w:bookmarkEnd w:id="1218"/>
      <w:r w:rsidRPr="00416070">
        <w:rPr>
          <w:rFonts w:ascii="Tahoma" w:hAnsi="Tahoma" w:cs="Tahoma"/>
          <w:color w:val="E25B00"/>
          <w:sz w:val="22"/>
          <w:szCs w:val="22"/>
          <w:vertAlign w:val="superscript"/>
        </w:rPr>
        <w:t>46</w:t>
      </w:r>
      <w:r w:rsidR="00615CB9" w:rsidRPr="00416070">
        <w:rPr>
          <w:rFonts w:ascii="Tahoma" w:hAnsi="Tahoma"/>
          <w:color w:val="F66400"/>
          <w:sz w:val="22"/>
        </w:rPr>
        <w:t xml:space="preserve"> </w:t>
      </w:r>
      <w:r w:rsidRPr="00416070">
        <w:rPr>
          <w:rFonts w:ascii="Tahoma" w:hAnsi="Tahoma" w:cs="Tahoma"/>
          <w:color w:val="F66400"/>
          <w:sz w:val="22"/>
          <w:szCs w:val="22"/>
        </w:rPr>
        <w:t>Exchange Hosted Encryption (SL de Usuário)</w:t>
      </w:r>
      <w:bookmarkEnd w:id="1219"/>
      <w:bookmarkEnd w:id="1220"/>
    </w:p>
    <w:p w:rsidR="00827D38" w:rsidRPr="006301EB" w:rsidRDefault="00827D38" w:rsidP="00827D38">
      <w:pPr>
        <w:ind w:left="900"/>
        <w:rPr>
          <w:lang w:val="da-DK"/>
        </w:rPr>
      </w:pPr>
    </w:p>
    <w:p w:rsidR="00827D38" w:rsidRPr="006301EB" w:rsidRDefault="00827D38" w:rsidP="00E62BC4">
      <w:pPr>
        <w:ind w:left="720"/>
        <w:rPr>
          <w:lang w:val="pt-BR"/>
        </w:rPr>
      </w:pPr>
      <w:r w:rsidRPr="006301EB">
        <w:rPr>
          <w:lang w:val="pt-BR"/>
        </w:rPr>
        <w:t>Os clientes deverão usar o mesmo registro de contrato Select, registro de contrato Enterprise ou contrato Open Value ativo para fazer pedidos subsequentes ao pedido inicial.</w:t>
      </w:r>
    </w:p>
    <w:p w:rsidR="00827D38" w:rsidRPr="006301EB" w:rsidRDefault="00827D38" w:rsidP="00E62BC4">
      <w:pPr>
        <w:ind w:left="720"/>
        <w:rPr>
          <w:lang w:val="pt-BR"/>
        </w:rPr>
      </w:pPr>
    </w:p>
    <w:p w:rsidR="00023FE7" w:rsidRPr="006301EB" w:rsidRDefault="00827D38" w:rsidP="00E62BC4">
      <w:pPr>
        <w:ind w:left="720"/>
        <w:rPr>
          <w:lang w:val="pt-BR"/>
        </w:rPr>
      </w:pPr>
      <w:r w:rsidRPr="006301EB">
        <w:rPr>
          <w:lang w:val="pt-BR"/>
        </w:rPr>
        <w:t xml:space="preserve">Consulte a </w:t>
      </w:r>
      <w:hyperlink w:anchor="_Section_5_–" w:history="1">
        <w:r w:rsidRPr="006301EB">
          <w:rPr>
            <w:rStyle w:val="Hyperlink"/>
            <w:lang w:val="pt-BR"/>
          </w:rPr>
          <w:t>Seção 5</w:t>
        </w:r>
      </w:hyperlink>
      <w:r w:rsidRPr="006301EB">
        <w:rPr>
          <w:lang w:val="pt-BR"/>
        </w:rPr>
        <w:t xml:space="preserve"> para obter informações sobre os termos de pagamento e preços dos serviços online.</w:t>
      </w:r>
    </w:p>
    <w:p w:rsidR="00827D38" w:rsidRPr="006301EB" w:rsidRDefault="00827D38" w:rsidP="00827D38">
      <w:pPr>
        <w:ind w:left="900"/>
        <w:rPr>
          <w:lang w:val="pt-BR"/>
        </w:rPr>
      </w:pPr>
    </w:p>
    <w:p w:rsidR="00827D38" w:rsidRPr="006301EB" w:rsidRDefault="00827D38" w:rsidP="00827D38">
      <w:pPr>
        <w:ind w:left="900"/>
        <w:rPr>
          <w:lang w:val="pt-BR"/>
        </w:rPr>
      </w:pPr>
    </w:p>
    <w:p w:rsidR="00023FE7" w:rsidRPr="00416070" w:rsidRDefault="0095763C">
      <w:pPr>
        <w:pStyle w:val="Heading3"/>
      </w:pPr>
      <w:bookmarkStart w:id="1222" w:name="_Toc336338308"/>
      <w:bookmarkStart w:id="1223" w:name="_Toc352234373"/>
      <w:bookmarkStart w:id="1224" w:name="Srv_40ExchangeOnDeskWork"/>
      <w:bookmarkStart w:id="1225" w:name="Srv_45ExchangeOnDeskWork"/>
      <w:r w:rsidRPr="00416070">
        <w:rPr>
          <w:rFonts w:ascii="Tahoma" w:hAnsi="Tahoma"/>
          <w:caps/>
          <w:color w:val="F66400"/>
          <w:sz w:val="22"/>
          <w:vertAlign w:val="superscript"/>
        </w:rPr>
        <w:t>47</w:t>
      </w:r>
      <w:r w:rsidRPr="00416070">
        <w:rPr>
          <w:rFonts w:ascii="Tahoma" w:hAnsi="Tahoma"/>
          <w:color w:val="F66400"/>
          <w:sz w:val="22"/>
        </w:rPr>
        <w:t xml:space="preserve"> Quiosque do Exchange Online (SL de Usuário)</w:t>
      </w:r>
      <w:bookmarkEnd w:id="1222"/>
      <w:bookmarkEnd w:id="1223"/>
    </w:p>
    <w:bookmarkEnd w:id="1221"/>
    <w:bookmarkEnd w:id="1224"/>
    <w:bookmarkEnd w:id="1225"/>
    <w:p w:rsidR="00023FE7" w:rsidRPr="00416070" w:rsidRDefault="00023FE7">
      <w:pPr>
        <w:pStyle w:val="EndnoteText"/>
      </w:pPr>
    </w:p>
    <w:p w:rsidR="00040ADC" w:rsidRPr="006301EB" w:rsidRDefault="00040ADC" w:rsidP="00E62BC4">
      <w:pPr>
        <w:ind w:left="720"/>
        <w:rPr>
          <w:lang w:val="pt-BR"/>
        </w:rPr>
      </w:pPr>
      <w:r w:rsidRPr="006301EB">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w:t>
      </w:r>
    </w:p>
    <w:p w:rsidR="00040ADC" w:rsidRPr="006301EB" w:rsidRDefault="00040ADC" w:rsidP="00E62BC4">
      <w:pPr>
        <w:ind w:left="720"/>
        <w:rPr>
          <w:lang w:val="pt-BR"/>
        </w:rPr>
      </w:pPr>
    </w:p>
    <w:p w:rsidR="00040ADC" w:rsidRPr="006301EB" w:rsidRDefault="00040ADC" w:rsidP="00E62BC4">
      <w:pPr>
        <w:ind w:left="720"/>
        <w:rPr>
          <w:lang w:val="pt-BR"/>
        </w:rPr>
      </w:pPr>
      <w:r w:rsidRPr="006301EB">
        <w:rPr>
          <w:rFonts w:cs="Tahoma"/>
          <w:color w:val="000000"/>
          <w:szCs w:val="18"/>
          <w:lang w:val="pt-BR"/>
        </w:rPr>
        <w:t>O Quiosque do Exchange Online era conhecido anteriormente como Exchange Online Deskless Worker.</w:t>
      </w:r>
    </w:p>
    <w:p w:rsidR="00352135" w:rsidRPr="006301EB" w:rsidRDefault="00352135" w:rsidP="00E62BC4">
      <w:pPr>
        <w:ind w:left="720"/>
        <w:rPr>
          <w:lang w:val="pt-BR"/>
        </w:rPr>
      </w:pPr>
    </w:p>
    <w:p w:rsidR="00702931" w:rsidRPr="006301EB" w:rsidRDefault="00702931" w:rsidP="00AF3B19">
      <w:pPr>
        <w:spacing w:after="60"/>
        <w:ind w:left="720"/>
        <w:rPr>
          <w:lang w:val="pt-BR"/>
        </w:rPr>
      </w:pPr>
      <w:r w:rsidRPr="006301EB">
        <w:rPr>
          <w:rFonts w:eastAsia="Calibri" w:cs="Tahoma"/>
          <w:b/>
          <w:color w:val="000000"/>
          <w:szCs w:val="18"/>
          <w:lang w:val="pt-BR"/>
        </w:rPr>
        <w:t>Nuvem da Comunidade do Governo (apenas para os Estados Unidos)</w:t>
      </w:r>
    </w:p>
    <w:p w:rsidR="00702931" w:rsidRPr="006301EB" w:rsidRDefault="00702931" w:rsidP="00E62BC4">
      <w:pPr>
        <w:ind w:left="720"/>
        <w:rPr>
          <w:lang w:val="pt-BR"/>
        </w:rPr>
      </w:pPr>
      <w:r w:rsidRPr="006301EB">
        <w:rPr>
          <w:rFonts w:eastAsia="Calibri" w:cs="Tahoma"/>
          <w:color w:val="000000"/>
          <w:szCs w:val="18"/>
          <w:lang w:val="pt-BR"/>
        </w:rPr>
        <w:t>Alguns serviços online na família de produtos do Office 365 (incluindo Quiosque do Exchange Online) são oferecidos como serviços de nuvem da comunidade do governo e serviços de nuvem da comunidade não governamental.</w:t>
      </w:r>
      <w:r w:rsidR="00FB5496" w:rsidRPr="006301EB">
        <w:rPr>
          <w:rFonts w:eastAsia="Calibri" w:cs="Tahoma"/>
          <w:color w:val="000000"/>
          <w:szCs w:val="18"/>
          <w:lang w:val="pt-BR"/>
        </w:rPr>
        <w:t xml:space="preserve"> </w:t>
      </w:r>
      <w:r w:rsidRPr="006301EB">
        <w:rPr>
          <w:rFonts w:eastAsia="Calibri" w:cs="Tahoma"/>
          <w:color w:val="000000"/>
          <w:szCs w:val="18"/>
          <w:lang w:val="pt-BR"/>
        </w:rPr>
        <w:t>Os clientes podem ser provisionados como um ou outro, mas não com uma mistura dos dois.</w:t>
      </w:r>
      <w:r w:rsidR="00FB5496" w:rsidRPr="006301EB">
        <w:rPr>
          <w:rFonts w:eastAsia="Calibri" w:cs="Tahoma"/>
          <w:color w:val="000000"/>
          <w:szCs w:val="18"/>
          <w:lang w:val="pt-BR"/>
        </w:rPr>
        <w:t xml:space="preserve"> </w:t>
      </w:r>
      <w:r w:rsidRPr="006301EB">
        <w:rPr>
          <w:rFonts w:eastAsia="Calibri" w:cs="Tahoma"/>
          <w:color w:val="000000"/>
          <w:szCs w:val="18"/>
          <w:lang w:val="pt-BR"/>
        </w:rPr>
        <w:t>Os Serviços Online projetados como nuvem de comunidade do governo não podem ser implantados no</w:t>
      </w:r>
      <w:r w:rsidR="004A1891" w:rsidRPr="006301EB">
        <w:rPr>
          <w:rFonts w:eastAsia="Calibri" w:cs="Tahoma"/>
          <w:color w:val="000000"/>
          <w:szCs w:val="18"/>
          <w:lang w:val="pt-BR"/>
        </w:rPr>
        <w:t> </w:t>
      </w:r>
      <w:r w:rsidRPr="006301EB">
        <w:rPr>
          <w:rFonts w:eastAsia="Calibri" w:cs="Tahoma"/>
          <w:color w:val="000000"/>
          <w:szCs w:val="18"/>
          <w:lang w:val="pt-BR"/>
        </w:rPr>
        <w:t>mesmo domínio que os serviços de nuvem da comunidade não governamental específicos.</w:t>
      </w:r>
      <w:r w:rsidR="00FB5496" w:rsidRPr="006301EB">
        <w:rPr>
          <w:rFonts w:eastAsia="Calibri" w:cs="Tahoma"/>
          <w:color w:val="000000"/>
          <w:szCs w:val="18"/>
          <w:lang w:val="pt-BR"/>
        </w:rPr>
        <w:t xml:space="preserve"> </w:t>
      </w:r>
      <w:r w:rsidRPr="006301EB">
        <w:rPr>
          <w:rFonts w:eastAsia="Calibri" w:cs="Tahoma"/>
          <w:color w:val="000000"/>
          <w:szCs w:val="18"/>
          <w:lang w:val="pt-BR"/>
        </w:rPr>
        <w:t>Esta limitação</w:t>
      </w:r>
      <w:r w:rsidR="004A1891" w:rsidRPr="006301EB">
        <w:rPr>
          <w:rFonts w:eastAsia="Calibri" w:cs="Tahoma"/>
          <w:color w:val="000000"/>
          <w:szCs w:val="18"/>
          <w:lang w:val="pt-BR"/>
        </w:rPr>
        <w:t> </w:t>
      </w:r>
      <w:r w:rsidRPr="006301EB">
        <w:rPr>
          <w:rFonts w:eastAsia="Calibri" w:cs="Tahoma"/>
          <w:color w:val="000000"/>
          <w:szCs w:val="18"/>
          <w:lang w:val="pt-BR"/>
        </w:rPr>
        <w:t>se estende a qualquer serviço online que faça parte da família de produtos do Office 365, incluindo</w:t>
      </w:r>
      <w:r w:rsidR="004A1891" w:rsidRPr="006301EB">
        <w:rPr>
          <w:rFonts w:eastAsia="Calibri" w:cs="Tahoma"/>
          <w:color w:val="000000"/>
          <w:szCs w:val="18"/>
          <w:lang w:val="pt-BR"/>
        </w:rPr>
        <w:t> </w:t>
      </w:r>
      <w:r w:rsidRPr="006301EB">
        <w:rPr>
          <w:rFonts w:eastAsia="Calibri" w:cs="Tahoma"/>
          <w:color w:val="000000"/>
          <w:szCs w:val="18"/>
          <w:lang w:val="pt-BR"/>
        </w:rPr>
        <w:t>Exchange Online, SharePoint Online e Lync Online.</w:t>
      </w:r>
    </w:p>
    <w:p w:rsidR="00702931" w:rsidRPr="006301EB" w:rsidRDefault="00702931" w:rsidP="00E62BC4">
      <w:pPr>
        <w:ind w:left="720"/>
        <w:rPr>
          <w:lang w:val="pt-BR"/>
        </w:rPr>
      </w:pPr>
    </w:p>
    <w:p w:rsidR="00702931" w:rsidRPr="006301EB" w:rsidRDefault="00702931" w:rsidP="00E62BC4">
      <w:pPr>
        <w:ind w:left="720"/>
        <w:rPr>
          <w:lang w:val="pt-BR"/>
        </w:rPr>
      </w:pPr>
      <w:r w:rsidRPr="006301EB">
        <w:rPr>
          <w:rFonts w:eastAsia="Calibri" w:cs="Tahoma"/>
          <w:color w:val="000000"/>
          <w:szCs w:val="18"/>
          <w:lang w:val="pt-BR"/>
        </w:rPr>
        <w:t>Assim que um serviço online é provisionado na nuvem de comunidade do governo, ele permanecerá lá pela duração da vigência da assinatura.</w:t>
      </w:r>
      <w:r w:rsidR="00FB5496" w:rsidRPr="006301EB">
        <w:rPr>
          <w:rFonts w:eastAsia="Calibri" w:cs="Tahoma"/>
          <w:color w:val="000000"/>
          <w:szCs w:val="18"/>
          <w:lang w:val="pt-BR"/>
        </w:rPr>
        <w:t xml:space="preserve"> </w:t>
      </w:r>
      <w:r w:rsidRPr="006301EB">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FB5496" w:rsidRPr="006301EB">
        <w:rPr>
          <w:rFonts w:eastAsia="Calibri" w:cs="Tahoma"/>
          <w:color w:val="000000"/>
          <w:szCs w:val="18"/>
          <w:lang w:val="pt-BR"/>
        </w:rPr>
        <w:t xml:space="preserve"> </w:t>
      </w:r>
      <w:r w:rsidRPr="006301EB">
        <w:rPr>
          <w:rFonts w:eastAsia="Calibri" w:cs="Tahoma"/>
          <w:color w:val="000000"/>
          <w:szCs w:val="18"/>
          <w:lang w:val="pt-BR"/>
        </w:rPr>
        <w:t>Os Direitos de Uso para serviços de nuvem da comunidade do governo</w:t>
      </w:r>
      <w:r w:rsidR="004A1891" w:rsidRPr="006301EB">
        <w:rPr>
          <w:rFonts w:eastAsia="Calibri" w:cs="Tahoma"/>
          <w:color w:val="000000"/>
          <w:szCs w:val="18"/>
          <w:lang w:val="pt-BR"/>
        </w:rPr>
        <w:t> </w:t>
      </w:r>
      <w:r w:rsidRPr="006301EB">
        <w:rPr>
          <w:rFonts w:eastAsia="Calibri" w:cs="Tahoma"/>
          <w:color w:val="000000"/>
          <w:szCs w:val="18"/>
          <w:lang w:val="pt-BR"/>
        </w:rPr>
        <w:t>são equivalentes àqueles dos seus diversos locatários padrão.</w:t>
      </w:r>
    </w:p>
    <w:p w:rsidR="00C066F9" w:rsidRPr="006301EB" w:rsidRDefault="00C066F9" w:rsidP="00C066F9">
      <w:pPr>
        <w:ind w:left="720"/>
        <w:rPr>
          <w:lang w:val="pt-BR"/>
        </w:rPr>
      </w:pPr>
      <w:bookmarkStart w:id="1226" w:name="Srv_41ExchangeSvr07EntCAL"/>
    </w:p>
    <w:p w:rsidR="0004051B" w:rsidRPr="006301EB" w:rsidRDefault="0004051B">
      <w:pPr>
        <w:rPr>
          <w:lang w:val="pt-BR"/>
        </w:rPr>
      </w:pPr>
      <w:bookmarkStart w:id="1227" w:name="_Toc336338309"/>
      <w:bookmarkStart w:id="1228" w:name="Srv_46ExhangeOnlinePlan1"/>
      <w:bookmarkStart w:id="1229" w:name="Srv_42ExchangeSvr2010EntCAL"/>
      <w:bookmarkStart w:id="1230" w:name="Srv_47ExchangeSvr2010EntCAL"/>
      <w:r w:rsidRPr="006301EB">
        <w:rPr>
          <w:rFonts w:cs="Tahoma"/>
          <w:b/>
          <w:caps/>
          <w:color w:val="F66400"/>
          <w:sz w:val="22"/>
          <w:szCs w:val="20"/>
          <w:vertAlign w:val="superscript"/>
          <w:lang w:val="pt-BR"/>
        </w:rPr>
        <w:br w:type="page"/>
      </w:r>
    </w:p>
    <w:p w:rsidR="00371299" w:rsidRPr="00416070" w:rsidRDefault="0095763C" w:rsidP="00B17EFB">
      <w:pPr>
        <w:pStyle w:val="Heading3"/>
      </w:pPr>
      <w:bookmarkStart w:id="1231" w:name="_48_Exchange_Online"/>
      <w:bookmarkStart w:id="1232" w:name="_Toc352234374"/>
      <w:bookmarkEnd w:id="1231"/>
      <w:r w:rsidRPr="00416070">
        <w:rPr>
          <w:rFonts w:ascii="Tahoma" w:hAnsi="Tahoma" w:cs="Tahoma"/>
          <w:caps/>
          <w:color w:val="F66400"/>
          <w:sz w:val="22"/>
          <w:szCs w:val="22"/>
          <w:vertAlign w:val="superscript"/>
        </w:rPr>
        <w:t>48</w:t>
      </w:r>
      <w:r w:rsidRPr="00416070">
        <w:rPr>
          <w:rFonts w:ascii="Tahoma" w:hAnsi="Tahoma" w:cs="Tahoma"/>
          <w:color w:val="F66400"/>
          <w:sz w:val="22"/>
          <w:szCs w:val="22"/>
        </w:rPr>
        <w:t xml:space="preserve"> Exchange Online Plano 1</w:t>
      </w:r>
      <w:bookmarkEnd w:id="1227"/>
      <w:bookmarkEnd w:id="1232"/>
    </w:p>
    <w:bookmarkEnd w:id="1228"/>
    <w:p w:rsidR="00371299" w:rsidRPr="006301EB" w:rsidRDefault="00371299" w:rsidP="00371299">
      <w:pPr>
        <w:outlineLvl w:val="2"/>
        <w:rPr>
          <w:lang w:val="pt-BR"/>
        </w:rPr>
      </w:pPr>
    </w:p>
    <w:p w:rsidR="00371299" w:rsidRPr="006301EB" w:rsidRDefault="00371299" w:rsidP="00371299">
      <w:pPr>
        <w:ind w:left="720"/>
        <w:contextualSpacing/>
        <w:rPr>
          <w:lang w:val="pt-BR"/>
        </w:rPr>
      </w:pPr>
      <w:r w:rsidRPr="006301EB">
        <w:rPr>
          <w:rFonts w:cs="Tahoma"/>
          <w:szCs w:val="20"/>
          <w:lang w:val="pt-BR"/>
        </w:rPr>
        <w:t>O Exchange Online Plano 1 era conhecido anteriormente como Exchange Online Standard.</w:t>
      </w:r>
    </w:p>
    <w:p w:rsidR="00A61080" w:rsidRPr="006301EB" w:rsidRDefault="00A61080" w:rsidP="00C066F9">
      <w:pPr>
        <w:ind w:left="720"/>
        <w:contextualSpacing/>
        <w:rPr>
          <w:lang w:val="pt-BR"/>
        </w:rPr>
      </w:pPr>
    </w:p>
    <w:p w:rsidR="00A61080" w:rsidRPr="006301EB" w:rsidRDefault="00A61080" w:rsidP="00A61080">
      <w:pPr>
        <w:ind w:left="720"/>
        <w:rPr>
          <w:rFonts w:cs="Tahoma"/>
          <w:lang w:val="pt-BR"/>
        </w:rPr>
      </w:pPr>
      <w:r w:rsidRPr="006301EB">
        <w:rPr>
          <w:rFonts w:eastAsia="Calibri" w:cs="Tahoma"/>
          <w:color w:val="000000"/>
          <w:szCs w:val="18"/>
          <w:lang w:val="pt-BR"/>
        </w:rPr>
        <w:t>Não obstante quaisquer disposições em contrário nos Direitos de Uso de Produto, uma SL de Usuário do</w:t>
      </w:r>
      <w:r w:rsidR="004A1891" w:rsidRPr="006301EB">
        <w:rPr>
          <w:rFonts w:eastAsia="Calibri" w:cs="Tahoma"/>
          <w:color w:val="000000"/>
          <w:szCs w:val="18"/>
          <w:lang w:val="pt-BR"/>
        </w:rPr>
        <w:t> </w:t>
      </w:r>
      <w:r w:rsidRPr="006301EB">
        <w:rPr>
          <w:rFonts w:eastAsia="Calibri" w:cs="Tahoma"/>
          <w:color w:val="000000"/>
          <w:szCs w:val="18"/>
          <w:lang w:val="pt-BR"/>
        </w:rPr>
        <w:t>Exchange Online Plano 1 comprada sob um Contrato para Campus e School não permite acesso ao</w:t>
      </w:r>
      <w:r w:rsidR="004A1891" w:rsidRPr="006301EB">
        <w:rPr>
          <w:rFonts w:eastAsia="Calibri" w:cs="Tahoma"/>
          <w:color w:val="000000"/>
          <w:szCs w:val="18"/>
          <w:lang w:val="pt-BR"/>
        </w:rPr>
        <w:t> </w:t>
      </w:r>
      <w:r w:rsidRPr="006301EB">
        <w:rPr>
          <w:rFonts w:eastAsia="Calibri" w:cs="Tahoma"/>
          <w:color w:val="000000"/>
          <w:szCs w:val="18"/>
          <w:lang w:val="pt-BR"/>
        </w:rPr>
        <w:t>Exchange Server.</w:t>
      </w:r>
    </w:p>
    <w:p w:rsidR="00B23BE6" w:rsidRPr="006301EB" w:rsidRDefault="00B23BE6" w:rsidP="00A61080">
      <w:pPr>
        <w:ind w:left="720"/>
        <w:rPr>
          <w:lang w:val="pt-BR"/>
        </w:rPr>
      </w:pPr>
    </w:p>
    <w:p w:rsidR="00702931" w:rsidRPr="006301EB" w:rsidRDefault="00702931" w:rsidP="0067725A">
      <w:pPr>
        <w:spacing w:after="60"/>
        <w:ind w:left="720"/>
        <w:rPr>
          <w:lang w:val="pt-BR"/>
        </w:rPr>
      </w:pPr>
      <w:r w:rsidRPr="006301EB">
        <w:rPr>
          <w:rFonts w:eastAsia="Calibri" w:cs="Tahoma"/>
          <w:b/>
          <w:color w:val="000000"/>
          <w:szCs w:val="18"/>
          <w:lang w:val="pt-BR"/>
        </w:rPr>
        <w:t>Nuvem da Comunidade do Governo (Apenas para os Estados Unidos)</w:t>
      </w:r>
    </w:p>
    <w:p w:rsidR="00702931" w:rsidRPr="006301EB" w:rsidRDefault="00702931" w:rsidP="00702931">
      <w:pPr>
        <w:ind w:left="720"/>
        <w:rPr>
          <w:lang w:val="pt-BR"/>
        </w:rPr>
      </w:pPr>
      <w:r w:rsidRPr="006301EB">
        <w:rPr>
          <w:rFonts w:eastAsia="Calibri" w:cs="Tahoma"/>
          <w:color w:val="000000"/>
          <w:szCs w:val="18"/>
          <w:lang w:val="pt-BR"/>
        </w:rPr>
        <w:t>Alguns serviços online na família de produtos do Office 365 (incluindo Exchange Online Plano 1) são oferecidos como serviços de nuvem da comunidade do governo e serviços de nuvem da comunidade não governamental.</w:t>
      </w:r>
      <w:r w:rsidR="00FB5496" w:rsidRPr="006301EB">
        <w:rPr>
          <w:rFonts w:eastAsia="Calibri" w:cs="Tahoma"/>
          <w:color w:val="000000"/>
          <w:szCs w:val="18"/>
          <w:lang w:val="pt-BR"/>
        </w:rPr>
        <w:t xml:space="preserve"> </w:t>
      </w:r>
      <w:r w:rsidRPr="006301EB">
        <w:rPr>
          <w:rFonts w:eastAsia="Calibri" w:cs="Tahoma"/>
          <w:color w:val="000000"/>
          <w:szCs w:val="18"/>
          <w:lang w:val="pt-BR"/>
        </w:rPr>
        <w:t>Os clientes podem ser provisionados como um ou outro, mas não com uma mistura dos dois.</w:t>
      </w:r>
      <w:r w:rsidR="00FB5496" w:rsidRPr="006301EB">
        <w:rPr>
          <w:rFonts w:eastAsia="Calibri" w:cs="Tahoma"/>
          <w:color w:val="000000"/>
          <w:szCs w:val="18"/>
          <w:lang w:val="pt-BR"/>
        </w:rPr>
        <w:t xml:space="preserve"> </w:t>
      </w:r>
      <w:r w:rsidRPr="006301EB">
        <w:rPr>
          <w:rFonts w:eastAsia="Calibri" w:cs="Tahoma"/>
          <w:color w:val="000000"/>
          <w:szCs w:val="18"/>
          <w:lang w:val="pt-BR"/>
        </w:rPr>
        <w:t>Os Serviços Online projetados como nuvem de comunidade do governo não podem ser implantados no</w:t>
      </w:r>
      <w:r w:rsidR="004A1891" w:rsidRPr="006301EB">
        <w:rPr>
          <w:rFonts w:eastAsia="Calibri" w:cs="Tahoma"/>
          <w:color w:val="000000"/>
          <w:szCs w:val="18"/>
          <w:lang w:val="pt-BR"/>
        </w:rPr>
        <w:t> </w:t>
      </w:r>
      <w:r w:rsidRPr="006301EB">
        <w:rPr>
          <w:rFonts w:eastAsia="Calibri" w:cs="Tahoma"/>
          <w:color w:val="000000"/>
          <w:szCs w:val="18"/>
          <w:lang w:val="pt-BR"/>
        </w:rPr>
        <w:t>mesmo domínio que os serviços de nuvem da comunidade não governamental específicos.</w:t>
      </w:r>
      <w:r w:rsidR="00FB5496" w:rsidRPr="006301EB">
        <w:rPr>
          <w:rFonts w:eastAsia="Calibri" w:cs="Tahoma"/>
          <w:color w:val="000000"/>
          <w:szCs w:val="18"/>
          <w:lang w:val="pt-BR"/>
        </w:rPr>
        <w:t xml:space="preserve"> </w:t>
      </w:r>
      <w:r w:rsidRPr="006301EB">
        <w:rPr>
          <w:rFonts w:eastAsia="Calibri" w:cs="Tahoma"/>
          <w:color w:val="000000"/>
          <w:szCs w:val="18"/>
          <w:lang w:val="pt-BR"/>
        </w:rPr>
        <w:t>Esta limitação</w:t>
      </w:r>
      <w:r w:rsidR="004A1891" w:rsidRPr="006301EB">
        <w:rPr>
          <w:rFonts w:eastAsia="Calibri" w:cs="Tahoma"/>
          <w:color w:val="000000"/>
          <w:szCs w:val="18"/>
          <w:lang w:val="pt-BR"/>
        </w:rPr>
        <w:t> </w:t>
      </w:r>
      <w:r w:rsidRPr="006301EB">
        <w:rPr>
          <w:rFonts w:eastAsia="Calibri" w:cs="Tahoma"/>
          <w:color w:val="000000"/>
          <w:szCs w:val="18"/>
          <w:lang w:val="pt-BR"/>
        </w:rPr>
        <w:t>se estende a qualquer serviço online que faça parte da família de produtos do Office 365, incluindo</w:t>
      </w:r>
      <w:r w:rsidR="004A1891" w:rsidRPr="006301EB">
        <w:rPr>
          <w:rFonts w:eastAsia="Calibri" w:cs="Tahoma"/>
          <w:color w:val="000000"/>
          <w:szCs w:val="18"/>
          <w:lang w:val="pt-BR"/>
        </w:rPr>
        <w:t> </w:t>
      </w:r>
      <w:r w:rsidRPr="006301EB">
        <w:rPr>
          <w:rFonts w:eastAsia="Calibri" w:cs="Tahoma"/>
          <w:color w:val="000000"/>
          <w:szCs w:val="18"/>
          <w:lang w:val="pt-BR"/>
        </w:rPr>
        <w:t>Exchange Online, SharePoint Online e Lync Online.</w:t>
      </w:r>
    </w:p>
    <w:p w:rsidR="00702931" w:rsidRPr="006301EB" w:rsidRDefault="00702931" w:rsidP="00702931">
      <w:pPr>
        <w:ind w:left="720"/>
        <w:rPr>
          <w:lang w:val="pt-BR"/>
        </w:rPr>
      </w:pPr>
    </w:p>
    <w:p w:rsidR="00702931" w:rsidRPr="006301EB" w:rsidRDefault="00702931" w:rsidP="00702931">
      <w:pPr>
        <w:ind w:left="720"/>
        <w:rPr>
          <w:lang w:val="pt-BR"/>
        </w:rPr>
      </w:pPr>
      <w:r w:rsidRPr="006301EB">
        <w:rPr>
          <w:rFonts w:eastAsia="Calibri" w:cs="Tahoma"/>
          <w:color w:val="000000"/>
          <w:szCs w:val="18"/>
          <w:lang w:val="pt-BR"/>
        </w:rPr>
        <w:t>Assim que um serviço online é provisionado na nuvem de comunidade do governo, ele permanecerá lá pela</w:t>
      </w:r>
      <w:r w:rsidR="004A1891" w:rsidRPr="006301EB">
        <w:rPr>
          <w:rFonts w:eastAsia="Calibri" w:cs="Tahoma"/>
          <w:color w:val="000000"/>
          <w:szCs w:val="18"/>
          <w:lang w:val="pt-BR"/>
        </w:rPr>
        <w:t> </w:t>
      </w:r>
      <w:r w:rsidRPr="006301EB">
        <w:rPr>
          <w:rFonts w:eastAsia="Calibri" w:cs="Tahoma"/>
          <w:color w:val="000000"/>
          <w:szCs w:val="18"/>
          <w:lang w:val="pt-BR"/>
        </w:rPr>
        <w:t>duração da vigência da assinatura.</w:t>
      </w:r>
      <w:r w:rsidR="00FB5496" w:rsidRPr="006301EB">
        <w:rPr>
          <w:rFonts w:eastAsia="Calibri" w:cs="Tahoma"/>
          <w:color w:val="000000"/>
          <w:szCs w:val="18"/>
          <w:lang w:val="pt-BR"/>
        </w:rPr>
        <w:t xml:space="preserve"> </w:t>
      </w:r>
      <w:r w:rsidRPr="006301EB">
        <w:rPr>
          <w:rFonts w:eastAsia="Calibri" w:cs="Tahoma"/>
          <w:color w:val="000000"/>
          <w:szCs w:val="18"/>
          <w:lang w:val="pt-BR"/>
        </w:rPr>
        <w:t>Clientes que são instituições governamentais federais, estaduais, locais ou tribais dos Estados Unidos devem fazer parte de um Registro Enterprise do Governo Americano ou</w:t>
      </w:r>
      <w:r w:rsidR="004A1891" w:rsidRPr="006301EB">
        <w:rPr>
          <w:rFonts w:eastAsia="Calibri" w:cs="Tahoma"/>
          <w:color w:val="000000"/>
          <w:szCs w:val="18"/>
          <w:lang w:val="pt-BR"/>
        </w:rPr>
        <w:t> </w:t>
      </w:r>
      <w:r w:rsidRPr="006301EB">
        <w:rPr>
          <w:rFonts w:eastAsia="Calibri" w:cs="Tahoma"/>
          <w:color w:val="000000"/>
          <w:szCs w:val="18"/>
          <w:lang w:val="pt-BR"/>
        </w:rPr>
        <w:t>Registro Enterprise Subscription para estar qualificado para comprar serviços online designados como nuvem da comunidade do governo.</w:t>
      </w:r>
      <w:r w:rsidR="00FB5496" w:rsidRPr="006301EB">
        <w:rPr>
          <w:rFonts w:eastAsia="Calibri" w:cs="Tahoma"/>
          <w:color w:val="000000"/>
          <w:szCs w:val="18"/>
          <w:lang w:val="pt-BR"/>
        </w:rPr>
        <w:t xml:space="preserve"> </w:t>
      </w:r>
      <w:r w:rsidRPr="006301EB">
        <w:rPr>
          <w:rFonts w:eastAsia="Calibri" w:cs="Tahoma"/>
          <w:color w:val="000000"/>
          <w:szCs w:val="18"/>
          <w:lang w:val="pt-BR"/>
        </w:rPr>
        <w:t>Os Direitos de Uso para serviços de nuvem da comunidade do governo são equivalentes àqueles dos seus diversos locatários padrão.</w:t>
      </w:r>
    </w:p>
    <w:p w:rsidR="00B23BE6" w:rsidRPr="006301EB" w:rsidRDefault="00B23BE6" w:rsidP="00A61080">
      <w:pPr>
        <w:ind w:left="720"/>
        <w:rPr>
          <w:lang w:val="pt-BR"/>
        </w:rPr>
      </w:pPr>
    </w:p>
    <w:p w:rsidR="00D70D2C" w:rsidRPr="006301EB" w:rsidRDefault="00D70D2C" w:rsidP="00A61080">
      <w:pPr>
        <w:ind w:left="720"/>
        <w:rPr>
          <w:lang w:val="pt-BR"/>
        </w:rPr>
      </w:pPr>
    </w:p>
    <w:p w:rsidR="00D70D2C" w:rsidRPr="00416070" w:rsidRDefault="001D5998" w:rsidP="00D70D2C">
      <w:pPr>
        <w:pStyle w:val="Heading2"/>
        <w:ind w:left="0"/>
      </w:pPr>
      <w:bookmarkStart w:id="1233" w:name="_49_Exchange_Online"/>
      <w:bookmarkStart w:id="1234" w:name="_Toc352234375"/>
      <w:bookmarkStart w:id="1235" w:name="Srv_50ExchangeOnlinePlan2"/>
      <w:bookmarkEnd w:id="1233"/>
      <w:r w:rsidRPr="00416070">
        <w:rPr>
          <w:rFonts w:ascii="Tahoma" w:hAnsi="Tahoma" w:cs="Tahoma"/>
          <w:caps/>
          <w:color w:val="F66400"/>
          <w:sz w:val="22"/>
          <w:szCs w:val="20"/>
          <w:vertAlign w:val="superscript"/>
        </w:rPr>
        <w:t>49</w:t>
      </w:r>
      <w:r w:rsidRPr="00416070">
        <w:rPr>
          <w:rFonts w:ascii="Tahoma" w:hAnsi="Tahoma" w:cs="Tahoma"/>
          <w:color w:val="F66400"/>
          <w:sz w:val="22"/>
          <w:szCs w:val="20"/>
        </w:rPr>
        <w:t xml:space="preserve"> Exchange Online Plano 2</w:t>
      </w:r>
      <w:bookmarkEnd w:id="1234"/>
    </w:p>
    <w:bookmarkEnd w:id="1235"/>
    <w:p w:rsidR="00D70D2C" w:rsidRPr="006301EB" w:rsidRDefault="00D70D2C" w:rsidP="00D70D2C">
      <w:pPr>
        <w:outlineLvl w:val="2"/>
        <w:rPr>
          <w:lang w:val="pt-BR"/>
        </w:rPr>
      </w:pPr>
    </w:p>
    <w:p w:rsidR="00D70D2C" w:rsidRPr="009D57D2" w:rsidRDefault="00D70D2C" w:rsidP="00D70D2C">
      <w:pPr>
        <w:pStyle w:val="ListParagraph"/>
        <w:rPr>
          <w:rFonts w:ascii="Tahoma" w:hAnsi="Tahoma" w:cs="Tahoma"/>
          <w:sz w:val="18"/>
          <w:szCs w:val="18"/>
        </w:rPr>
      </w:pPr>
      <w:r w:rsidRPr="009D57D2">
        <w:rPr>
          <w:rFonts w:ascii="Tahoma" w:hAnsi="Tahoma" w:cs="Tahoma"/>
          <w:color w:val="000000"/>
          <w:sz w:val="18"/>
          <w:szCs w:val="18"/>
        </w:rPr>
        <w:t>O Exchange Online Plan 2 é um serviço online sucessor do Exchange Hosted Archive.</w:t>
      </w:r>
    </w:p>
    <w:p w:rsidR="00D70D2C" w:rsidRPr="009D57D2" w:rsidRDefault="00D70D2C" w:rsidP="00D70D2C">
      <w:pPr>
        <w:pStyle w:val="ListParagraph"/>
        <w:rPr>
          <w:rFonts w:ascii="Tahoma" w:hAnsi="Tahoma" w:cs="Tahoma"/>
          <w:sz w:val="18"/>
          <w:szCs w:val="18"/>
        </w:rPr>
      </w:pPr>
    </w:p>
    <w:p w:rsidR="00D70D2C" w:rsidRPr="006301EB" w:rsidRDefault="00D70D2C" w:rsidP="00D70D2C">
      <w:pPr>
        <w:ind w:left="720"/>
        <w:rPr>
          <w:rFonts w:cs="Tahoma"/>
          <w:szCs w:val="18"/>
          <w:lang w:val="pt-BR"/>
        </w:rPr>
      </w:pPr>
      <w:r w:rsidRPr="006301EB">
        <w:rPr>
          <w:rFonts w:cs="Tahoma"/>
          <w:color w:val="000000"/>
          <w:szCs w:val="18"/>
          <w:lang w:val="pt-BR"/>
        </w:rPr>
        <w:t>Se você renovar a partir do Exchange Hosted Archive no Exchange Online Plano 2 e ainda não tiver migrado</w:t>
      </w:r>
      <w:r w:rsidR="004A1891" w:rsidRPr="006301EB">
        <w:rPr>
          <w:rFonts w:eastAsia="Calibri" w:cs="Tahoma"/>
          <w:color w:val="000000"/>
          <w:szCs w:val="18"/>
          <w:lang w:val="pt-BR"/>
        </w:rPr>
        <w:t> </w:t>
      </w:r>
      <w:r w:rsidRPr="006301EB">
        <w:rPr>
          <w:rFonts w:cs="Tahoma"/>
          <w:color w:val="000000"/>
          <w:szCs w:val="18"/>
          <w:lang w:val="pt-BR"/>
        </w:rPr>
        <w:t>para o Exchange Online Plano 2, seus usuários licenciados poderão continuar usando o serviço Exchange Hosted Archive sujeito aos termos do PUR de março de 2011 antes da migração para o Exchange</w:t>
      </w:r>
      <w:r w:rsidR="004A1891" w:rsidRPr="006301EB">
        <w:rPr>
          <w:rFonts w:eastAsia="Calibri" w:cs="Tahoma"/>
          <w:color w:val="000000"/>
          <w:szCs w:val="18"/>
          <w:lang w:val="pt-BR"/>
        </w:rPr>
        <w:t> </w:t>
      </w:r>
      <w:r w:rsidRPr="006301EB">
        <w:rPr>
          <w:rFonts w:cs="Tahoma"/>
          <w:color w:val="000000"/>
          <w:szCs w:val="18"/>
          <w:lang w:val="pt-BR"/>
        </w:rPr>
        <w:t>Online Plano 2 e a expiração da sua assinatura do Exchange Online Plano 2.</w:t>
      </w:r>
    </w:p>
    <w:p w:rsidR="00702931" w:rsidRPr="006301EB" w:rsidRDefault="00702931" w:rsidP="00D70D2C">
      <w:pPr>
        <w:ind w:left="720"/>
        <w:rPr>
          <w:rFonts w:cs="Tahoma"/>
          <w:szCs w:val="18"/>
          <w:lang w:val="pt-BR"/>
        </w:rPr>
      </w:pPr>
    </w:p>
    <w:p w:rsidR="00702931" w:rsidRPr="006301EB" w:rsidRDefault="00702931" w:rsidP="0067725A">
      <w:pPr>
        <w:spacing w:after="60"/>
        <w:ind w:left="720"/>
        <w:rPr>
          <w:lang w:val="pt-BR"/>
        </w:rPr>
      </w:pPr>
      <w:r w:rsidRPr="006301EB">
        <w:rPr>
          <w:rFonts w:eastAsia="Calibri" w:cs="Tahoma"/>
          <w:b/>
          <w:color w:val="000000"/>
          <w:szCs w:val="18"/>
          <w:lang w:val="pt-BR"/>
        </w:rPr>
        <w:t>Nuvem da Comunidade do Governo (Apenas para os Estados Unidos)</w:t>
      </w:r>
    </w:p>
    <w:p w:rsidR="00702931" w:rsidRPr="006301EB" w:rsidRDefault="00702931" w:rsidP="00702931">
      <w:pPr>
        <w:ind w:left="720"/>
        <w:rPr>
          <w:lang w:val="pt-BR"/>
        </w:rPr>
      </w:pPr>
      <w:r w:rsidRPr="006301EB">
        <w:rPr>
          <w:rFonts w:eastAsia="Calibri" w:cs="Tahoma"/>
          <w:color w:val="000000"/>
          <w:szCs w:val="18"/>
          <w:lang w:val="pt-BR"/>
        </w:rPr>
        <w:t>Alguns serviços online na família de produtos do Office 365 (incluindo Exchange Online Plano 2) são oferecidos como serviços de nuvem da comunidade do governo e serviços de nuvem da comunidade não governamental.</w:t>
      </w:r>
      <w:r w:rsidR="00FB5496" w:rsidRPr="006301EB">
        <w:rPr>
          <w:rFonts w:eastAsia="Calibri" w:cs="Tahoma"/>
          <w:color w:val="000000"/>
          <w:szCs w:val="18"/>
          <w:lang w:val="pt-BR"/>
        </w:rPr>
        <w:t xml:space="preserve"> </w:t>
      </w:r>
      <w:r w:rsidRPr="006301EB">
        <w:rPr>
          <w:rFonts w:eastAsia="Calibri" w:cs="Tahoma"/>
          <w:color w:val="000000"/>
          <w:szCs w:val="18"/>
          <w:lang w:val="pt-BR"/>
        </w:rPr>
        <w:t>Os clientes podem ser provisionados como um ou outro, mas não com uma mistura dos dois.</w:t>
      </w:r>
      <w:r w:rsidR="00FB5496" w:rsidRPr="006301EB">
        <w:rPr>
          <w:rFonts w:eastAsia="Calibri" w:cs="Tahoma"/>
          <w:color w:val="000000"/>
          <w:szCs w:val="18"/>
          <w:lang w:val="pt-BR"/>
        </w:rPr>
        <w:t xml:space="preserve"> </w:t>
      </w:r>
      <w:r w:rsidRPr="006301EB">
        <w:rPr>
          <w:rFonts w:eastAsia="Calibri" w:cs="Tahoma"/>
          <w:color w:val="000000"/>
          <w:szCs w:val="18"/>
          <w:lang w:val="pt-BR"/>
        </w:rPr>
        <w:t>Os Serviços Online projetados como nuvem de comunidade do governo não podem ser implantados no</w:t>
      </w:r>
      <w:r w:rsidR="004A1891" w:rsidRPr="006301EB">
        <w:rPr>
          <w:rFonts w:eastAsia="Calibri" w:cs="Tahoma"/>
          <w:color w:val="000000"/>
          <w:szCs w:val="18"/>
          <w:lang w:val="pt-BR"/>
        </w:rPr>
        <w:t> </w:t>
      </w:r>
      <w:r w:rsidRPr="006301EB">
        <w:rPr>
          <w:rFonts w:eastAsia="Calibri" w:cs="Tahoma"/>
          <w:color w:val="000000"/>
          <w:szCs w:val="18"/>
          <w:lang w:val="pt-BR"/>
        </w:rPr>
        <w:t>mesmo domínio que os serviços de nuvem da comunidade não governamental específicos.</w:t>
      </w:r>
      <w:r w:rsidR="00FB5496" w:rsidRPr="006301EB">
        <w:rPr>
          <w:rFonts w:eastAsia="Calibri" w:cs="Tahoma"/>
          <w:color w:val="000000"/>
          <w:szCs w:val="18"/>
          <w:lang w:val="pt-BR"/>
        </w:rPr>
        <w:t xml:space="preserve"> </w:t>
      </w:r>
      <w:r w:rsidRPr="006301EB">
        <w:rPr>
          <w:rFonts w:eastAsia="Calibri" w:cs="Tahoma"/>
          <w:color w:val="000000"/>
          <w:szCs w:val="18"/>
          <w:lang w:val="pt-BR"/>
        </w:rPr>
        <w:t>Esta limitação</w:t>
      </w:r>
      <w:r w:rsidR="004A1891" w:rsidRPr="006301EB">
        <w:rPr>
          <w:rFonts w:eastAsia="Calibri" w:cs="Tahoma"/>
          <w:color w:val="000000"/>
          <w:szCs w:val="18"/>
          <w:lang w:val="pt-BR"/>
        </w:rPr>
        <w:t> </w:t>
      </w:r>
      <w:r w:rsidRPr="006301EB">
        <w:rPr>
          <w:rFonts w:eastAsia="Calibri" w:cs="Tahoma"/>
          <w:color w:val="000000"/>
          <w:szCs w:val="18"/>
          <w:lang w:val="pt-BR"/>
        </w:rPr>
        <w:t>se estende a qualquer serviço online que faça parte da família de produtos do Office 365, incluindo</w:t>
      </w:r>
      <w:r w:rsidR="004A1891" w:rsidRPr="006301EB">
        <w:rPr>
          <w:rFonts w:eastAsia="Calibri" w:cs="Tahoma"/>
          <w:color w:val="000000"/>
          <w:szCs w:val="18"/>
          <w:lang w:val="pt-BR"/>
        </w:rPr>
        <w:t> </w:t>
      </w:r>
      <w:r w:rsidRPr="006301EB">
        <w:rPr>
          <w:rFonts w:eastAsia="Calibri" w:cs="Tahoma"/>
          <w:color w:val="000000"/>
          <w:szCs w:val="18"/>
          <w:lang w:val="pt-BR"/>
        </w:rPr>
        <w:t>Exchange Online, SharePoint Online e Lync Online.</w:t>
      </w:r>
    </w:p>
    <w:p w:rsidR="00702931" w:rsidRPr="006301EB" w:rsidRDefault="00702931" w:rsidP="00702931">
      <w:pPr>
        <w:ind w:left="720"/>
        <w:rPr>
          <w:lang w:val="pt-BR"/>
        </w:rPr>
      </w:pPr>
    </w:p>
    <w:p w:rsidR="00B2460D" w:rsidRPr="006301EB" w:rsidRDefault="00702931" w:rsidP="00697E59">
      <w:pPr>
        <w:ind w:left="720"/>
        <w:rPr>
          <w:lang w:val="pt-BR"/>
        </w:rPr>
      </w:pPr>
      <w:r w:rsidRPr="006301EB">
        <w:rPr>
          <w:rFonts w:eastAsia="Calibri" w:cs="Tahoma"/>
          <w:color w:val="000000"/>
          <w:szCs w:val="18"/>
          <w:lang w:val="pt-BR"/>
        </w:rPr>
        <w:t>Assim que um serviço online é provisionado na nuvem de comunidade do governo, ele permanecerá lá pela</w:t>
      </w:r>
      <w:r w:rsidR="004A1891" w:rsidRPr="006301EB">
        <w:rPr>
          <w:rFonts w:eastAsia="Calibri" w:cs="Tahoma"/>
          <w:color w:val="000000"/>
          <w:szCs w:val="18"/>
          <w:lang w:val="pt-BR"/>
        </w:rPr>
        <w:t> </w:t>
      </w:r>
      <w:r w:rsidRPr="006301EB">
        <w:rPr>
          <w:rFonts w:eastAsia="Calibri" w:cs="Tahoma"/>
          <w:color w:val="000000"/>
          <w:szCs w:val="18"/>
          <w:lang w:val="pt-BR"/>
        </w:rPr>
        <w:t>duração da vigência da assinatura.</w:t>
      </w:r>
      <w:r w:rsidR="00FB5496" w:rsidRPr="006301EB">
        <w:rPr>
          <w:rFonts w:eastAsia="Calibri" w:cs="Tahoma"/>
          <w:color w:val="000000"/>
          <w:szCs w:val="18"/>
          <w:lang w:val="pt-BR"/>
        </w:rPr>
        <w:t xml:space="preserve"> </w:t>
      </w:r>
      <w:r w:rsidRPr="006301EB">
        <w:rPr>
          <w:rFonts w:eastAsia="Calibri" w:cs="Tahoma"/>
          <w:color w:val="000000"/>
          <w:szCs w:val="18"/>
          <w:lang w:val="pt-BR"/>
        </w:rPr>
        <w:t>Clientes que são instituições governamentais federais, estaduais, locais ou tribais dos Estados Unidos devem fazer parte de um Registro Enterprise do Governo Americano ou</w:t>
      </w:r>
      <w:r w:rsidR="004A1891" w:rsidRPr="006301EB">
        <w:rPr>
          <w:rFonts w:eastAsia="Calibri" w:cs="Tahoma"/>
          <w:color w:val="000000"/>
          <w:szCs w:val="18"/>
          <w:lang w:val="pt-BR"/>
        </w:rPr>
        <w:t> </w:t>
      </w:r>
      <w:r w:rsidRPr="006301EB">
        <w:rPr>
          <w:rFonts w:eastAsia="Calibri" w:cs="Tahoma"/>
          <w:color w:val="000000"/>
          <w:szCs w:val="18"/>
          <w:lang w:val="pt-BR"/>
        </w:rPr>
        <w:t>Registro Enterprise Subscription para estar qualificado para comprar serviços online designados como nuvem da comunidade do governo.</w:t>
      </w:r>
      <w:r w:rsidR="00FB5496" w:rsidRPr="006301EB">
        <w:rPr>
          <w:rFonts w:eastAsia="Calibri" w:cs="Tahoma"/>
          <w:color w:val="000000"/>
          <w:szCs w:val="18"/>
          <w:lang w:val="pt-BR"/>
        </w:rPr>
        <w:t xml:space="preserve"> </w:t>
      </w:r>
      <w:r w:rsidRPr="006301EB">
        <w:rPr>
          <w:rFonts w:eastAsia="Calibri" w:cs="Tahoma"/>
          <w:color w:val="000000"/>
          <w:szCs w:val="18"/>
          <w:lang w:val="pt-BR"/>
        </w:rPr>
        <w:t>Os Direitos de Uso para serviços de nuvem da comunidade do governo são equivalentes àqueles dos seus diversos locatários padrão.</w:t>
      </w:r>
      <w:bookmarkStart w:id="1236" w:name="_51_Exchange_Server"/>
      <w:bookmarkEnd w:id="1226"/>
      <w:bookmarkEnd w:id="1229"/>
      <w:bookmarkEnd w:id="1230"/>
      <w:bookmarkEnd w:id="1236"/>
    </w:p>
    <w:p w:rsidR="00023FE7" w:rsidRPr="00416070" w:rsidRDefault="00023FE7" w:rsidP="00C066F9">
      <w:pPr>
        <w:pStyle w:val="EndnoteText"/>
        <w:ind w:left="1620" w:hanging="900"/>
      </w:pPr>
      <w:bookmarkStart w:id="1237" w:name="Srv_43ExchangeSvr2010"/>
    </w:p>
    <w:p w:rsidR="00C066F9" w:rsidRPr="00416070" w:rsidRDefault="00C066F9" w:rsidP="00C066F9">
      <w:pPr>
        <w:pStyle w:val="EndnoteText"/>
        <w:ind w:left="1620" w:hanging="900"/>
      </w:pPr>
    </w:p>
    <w:p w:rsidR="00453CAC" w:rsidRPr="00416070" w:rsidRDefault="00A7003F" w:rsidP="009D3013">
      <w:pPr>
        <w:pStyle w:val="Heading2"/>
        <w:ind w:left="0"/>
      </w:pPr>
      <w:bookmarkStart w:id="1238" w:name="_49_Exchange_Server"/>
      <w:bookmarkStart w:id="1239" w:name="_51_50_Exchange"/>
      <w:bookmarkStart w:id="1240" w:name="_Toc352234376"/>
      <w:bookmarkStart w:id="1241" w:name="_Toc336338311"/>
      <w:bookmarkStart w:id="1242" w:name="Srv_50ExchangeServer2010StdCAL"/>
      <w:bookmarkEnd w:id="1237"/>
      <w:bookmarkEnd w:id="1238"/>
      <w:bookmarkEnd w:id="1239"/>
      <w:r w:rsidRPr="00416070">
        <w:rPr>
          <w:rFonts w:ascii="Tahoma" w:hAnsi="Tahoma" w:cs="Tahoma"/>
          <w:caps/>
          <w:color w:val="FA6500"/>
          <w:sz w:val="22"/>
          <w:vertAlign w:val="superscript"/>
        </w:rPr>
        <w:t>50</w:t>
      </w:r>
      <w:r w:rsidRPr="00615CB9">
        <w:rPr>
          <w:rFonts w:ascii="Tahoma" w:hAnsi="Tahoma" w:cs="Tahoma"/>
          <w:caps/>
          <w:color w:val="FA6500"/>
          <w:sz w:val="22"/>
        </w:rPr>
        <w:t xml:space="preserve"> </w:t>
      </w:r>
      <w:r w:rsidRPr="00416070">
        <w:rPr>
          <w:rFonts w:ascii="Tahoma" w:hAnsi="Tahoma" w:cs="Tahoma"/>
          <w:color w:val="F66400"/>
          <w:sz w:val="22"/>
          <w:szCs w:val="20"/>
        </w:rPr>
        <w:t>Exchange Online Protection (SL de Usuário)</w:t>
      </w:r>
      <w:bookmarkEnd w:id="1240"/>
    </w:p>
    <w:p w:rsidR="00453CAC" w:rsidRPr="006301EB" w:rsidRDefault="00453CAC" w:rsidP="00453CAC">
      <w:pPr>
        <w:ind w:left="720"/>
        <w:rPr>
          <w:lang w:val="pt-BR"/>
        </w:rPr>
      </w:pPr>
    </w:p>
    <w:p w:rsidR="007D4770" w:rsidRPr="006301EB" w:rsidRDefault="007D4770" w:rsidP="00453CAC">
      <w:pPr>
        <w:ind w:left="720"/>
        <w:rPr>
          <w:lang w:val="pt-BR"/>
        </w:rPr>
      </w:pPr>
      <w:r w:rsidRPr="006301EB">
        <w:rPr>
          <w:rFonts w:cs="Tahoma"/>
          <w:color w:val="444444"/>
          <w:szCs w:val="18"/>
          <w:lang w:val="pt-BR"/>
        </w:rPr>
        <w:t>Como esse serviço online é provisionado por domínio, todos os usuários em qualquer domínio coberto precisarão de SLs de Usuário.</w:t>
      </w:r>
      <w:r w:rsidR="00FB5496" w:rsidRPr="006301EB">
        <w:rPr>
          <w:rFonts w:cs="Tahoma"/>
          <w:color w:val="444444"/>
          <w:szCs w:val="18"/>
          <w:lang w:val="pt-BR"/>
        </w:rPr>
        <w:t xml:space="preserve"> </w:t>
      </w:r>
      <w:r w:rsidRPr="006301EB">
        <w:rPr>
          <w:rFonts w:cs="Tahoma"/>
          <w:color w:val="444444"/>
          <w:szCs w:val="18"/>
          <w:lang w:val="pt-BR"/>
        </w:rPr>
        <w:t>Os clientes que desejarem o serviço para um subconjunto de sua base de usuários poderão criar subdomínios para um provisionamento mais direcionado.</w:t>
      </w:r>
      <w:r w:rsidR="00FB5496" w:rsidRPr="006301EB">
        <w:rPr>
          <w:rFonts w:cs="Tahoma"/>
          <w:color w:val="444444"/>
          <w:szCs w:val="18"/>
          <w:lang w:val="pt-BR"/>
        </w:rPr>
        <w:t xml:space="preserve"> </w:t>
      </w:r>
      <w:r w:rsidRPr="006301EB">
        <w:rPr>
          <w:rFonts w:cs="Tahoma"/>
          <w:color w:val="444444"/>
          <w:szCs w:val="18"/>
          <w:lang w:val="pt-BR"/>
        </w:rPr>
        <w:t>Somente os usuários no subdomínio coberto precisarão de SLs de Usuário.</w:t>
      </w:r>
    </w:p>
    <w:p w:rsidR="00453CAC" w:rsidRPr="00416070" w:rsidRDefault="00453CAC" w:rsidP="00453CAC">
      <w:pPr>
        <w:pStyle w:val="EndnoteText"/>
        <w:ind w:hanging="900"/>
      </w:pPr>
    </w:p>
    <w:p w:rsidR="009D3013" w:rsidRPr="00416070" w:rsidRDefault="00A7003F" w:rsidP="009D3013">
      <w:pPr>
        <w:pStyle w:val="Heading2"/>
        <w:ind w:left="0"/>
      </w:pPr>
      <w:bookmarkStart w:id="1243" w:name="_52_51_Exchange"/>
      <w:bookmarkStart w:id="1244" w:name="_Toc352234377"/>
      <w:bookmarkEnd w:id="1243"/>
      <w:r w:rsidRPr="00416070">
        <w:rPr>
          <w:rFonts w:ascii="Tahoma" w:hAnsi="Tahoma" w:cs="Tahoma"/>
          <w:caps/>
          <w:color w:val="FA6500"/>
          <w:sz w:val="22"/>
          <w:vertAlign w:val="superscript"/>
        </w:rPr>
        <w:t>51</w:t>
      </w:r>
      <w:r w:rsidRPr="00615CB9">
        <w:rPr>
          <w:rFonts w:ascii="Tahoma" w:hAnsi="Tahoma" w:cs="Tahoma"/>
          <w:caps/>
          <w:color w:val="FA6500"/>
          <w:sz w:val="22"/>
        </w:rPr>
        <w:t xml:space="preserve"> </w:t>
      </w:r>
      <w:r w:rsidRPr="00416070">
        <w:rPr>
          <w:rFonts w:ascii="Tahoma" w:hAnsi="Tahoma" w:cs="Tahoma"/>
          <w:color w:val="FA6500"/>
          <w:sz w:val="22"/>
        </w:rPr>
        <w:t xml:space="preserve">Exchange Server 2013 Enterprise e </w:t>
      </w:r>
      <w:bookmarkEnd w:id="1241"/>
      <w:r w:rsidRPr="00416070">
        <w:rPr>
          <w:rFonts w:ascii="Tahoma" w:hAnsi="Tahoma" w:cs="Tahoma"/>
          <w:color w:val="FA6500"/>
          <w:sz w:val="22"/>
        </w:rPr>
        <w:t>Standard Editions</w:t>
      </w:r>
      <w:bookmarkEnd w:id="1244"/>
    </w:p>
    <w:p w:rsidR="009D3013" w:rsidRPr="006301EB" w:rsidRDefault="009D3013" w:rsidP="009D3013">
      <w:pPr>
        <w:ind w:left="720"/>
        <w:rPr>
          <w:lang w:val="fr-FR"/>
        </w:rPr>
      </w:pPr>
    </w:p>
    <w:p w:rsidR="009D3013" w:rsidRPr="006301EB" w:rsidRDefault="009D3013" w:rsidP="009D3013">
      <w:pPr>
        <w:ind w:left="720"/>
        <w:rPr>
          <w:lang w:val="pt-BR"/>
        </w:rPr>
      </w:pPr>
      <w:r w:rsidRPr="006301EB">
        <w:rPr>
          <w:rFonts w:cs="Tahoma"/>
          <w:color w:val="000000"/>
          <w:szCs w:val="18"/>
          <w:lang w:val="pt-BR"/>
        </w:rPr>
        <w:t>Exchange Server 2013 é a versão mais recente do Exchange Server.</w:t>
      </w:r>
    </w:p>
    <w:p w:rsidR="009D3013" w:rsidRPr="006301EB" w:rsidRDefault="009D3013" w:rsidP="0067725A">
      <w:pPr>
        <w:rPr>
          <w:lang w:val="pt-BR"/>
        </w:rPr>
      </w:pPr>
    </w:p>
    <w:p w:rsidR="009D3013" w:rsidRPr="006301EB" w:rsidRDefault="009D3013" w:rsidP="0067725A">
      <w:pPr>
        <w:spacing w:after="60"/>
        <w:ind w:left="720"/>
        <w:rPr>
          <w:lang w:val="pt-BR"/>
        </w:rPr>
      </w:pPr>
      <w:r w:rsidRPr="006301EB">
        <w:rPr>
          <w:rFonts w:cs="Tahoma"/>
          <w:b/>
          <w:color w:val="000000"/>
          <w:szCs w:val="18"/>
          <w:lang w:val="pt-BR"/>
        </w:rPr>
        <w:t>Outorga de Licença para Clientes do External Connector do Exchange Server 2010</w:t>
      </w:r>
    </w:p>
    <w:p w:rsidR="009D3013" w:rsidRPr="006301EB" w:rsidRDefault="009D3013" w:rsidP="0067725A">
      <w:pPr>
        <w:ind w:left="720"/>
        <w:rPr>
          <w:lang w:val="pt-BR"/>
        </w:rPr>
      </w:pPr>
      <w:r w:rsidRPr="006301EB">
        <w:rPr>
          <w:rFonts w:cs="Tahoma"/>
          <w:color w:val="000000"/>
          <w:szCs w:val="18"/>
          <w:lang w:val="pt-BR"/>
        </w:rPr>
        <w:t xml:space="preserve">A versão 2010 do External Connector License </w:t>
      </w:r>
      <w:bookmarkStart w:id="1245" w:name="Srv_42ExchangeSvr07"/>
      <w:bookmarkStart w:id="1246" w:name="Srv_48ExchangeSvr2010"/>
      <w:r w:rsidRPr="006301EB">
        <w:rPr>
          <w:rFonts w:cs="Tahoma"/>
          <w:color w:val="000000"/>
          <w:szCs w:val="18"/>
          <w:lang w:val="pt-BR"/>
        </w:rPr>
        <w:t xml:space="preserve">do Exchange Server 2010 </w:t>
      </w:r>
      <w:bookmarkEnd w:id="1245"/>
      <w:bookmarkEnd w:id="1246"/>
      <w:r w:rsidRPr="006301EB">
        <w:rPr>
          <w:rFonts w:cs="Tahoma"/>
          <w:color w:val="000000"/>
          <w:szCs w:val="18"/>
          <w:lang w:val="pt-BR"/>
        </w:rPr>
        <w:t>é a versão final dessa licença.</w:t>
      </w:r>
      <w:r w:rsidR="00FB5496" w:rsidRPr="006301EB">
        <w:rPr>
          <w:rFonts w:cs="Tahoma"/>
          <w:color w:val="000000"/>
          <w:szCs w:val="18"/>
          <w:lang w:val="pt-BR"/>
        </w:rPr>
        <w:t xml:space="preserve"> </w:t>
      </w:r>
      <w:r w:rsidRPr="006301EB">
        <w:rPr>
          <w:rFonts w:cs="Tahoma"/>
          <w:color w:val="000000"/>
          <w:szCs w:val="18"/>
          <w:lang w:val="pt-BR"/>
        </w:rPr>
        <w:t>Tendo isso em vista, os clientes com External Connector Licenses do Exchange Server 2010 com cobertura do Software Assurance ativa a partir de 1</w:t>
      </w:r>
      <w:r w:rsidRPr="006301EB">
        <w:rPr>
          <w:rFonts w:cs="Tahoma"/>
          <w:color w:val="000000"/>
          <w:szCs w:val="18"/>
          <w:vertAlign w:val="superscript"/>
          <w:lang w:val="pt-BR"/>
        </w:rPr>
        <w:t>º</w:t>
      </w:r>
      <w:r w:rsidRPr="006301EB">
        <w:rPr>
          <w:rFonts w:cs="Tahoma"/>
          <w:color w:val="000000"/>
          <w:szCs w:val="18"/>
          <w:lang w:val="pt-BR"/>
        </w:rPr>
        <w:t xml:space="preserve"> de dezembro de 2012 estarão qualificados para a outorga de licença a seguir.</w:t>
      </w:r>
    </w:p>
    <w:p w:rsidR="009D3013" w:rsidRPr="006301EB" w:rsidRDefault="009D3013" w:rsidP="009D3013">
      <w:pPr>
        <w:ind w:left="90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420"/>
      </w:tblGrid>
      <w:tr w:rsidR="009D3013" w:rsidRPr="00416070" w:rsidTr="00397ADC">
        <w:trPr>
          <w:trHeight w:val="332"/>
        </w:trPr>
        <w:tc>
          <w:tcPr>
            <w:tcW w:w="4680" w:type="dxa"/>
            <w:shd w:val="clear" w:color="auto" w:fill="FABF8F"/>
          </w:tcPr>
          <w:p w:rsidR="009D3013" w:rsidRPr="00416070" w:rsidRDefault="009D3013" w:rsidP="002C3AB1">
            <w:pPr>
              <w:rPr>
                <w:rFonts w:cs="Tahoma"/>
                <w:b/>
                <w:color w:val="000000"/>
                <w:szCs w:val="18"/>
              </w:rPr>
            </w:pPr>
            <w:r w:rsidRPr="00416070">
              <w:rPr>
                <w:rFonts w:cs="Tahoma"/>
                <w:b/>
                <w:color w:val="000000"/>
                <w:szCs w:val="18"/>
              </w:rPr>
              <w:t>Licença Qualificada</w:t>
            </w:r>
          </w:p>
        </w:tc>
        <w:tc>
          <w:tcPr>
            <w:tcW w:w="3420" w:type="dxa"/>
            <w:shd w:val="clear" w:color="auto" w:fill="FABF8F"/>
          </w:tcPr>
          <w:p w:rsidR="009D3013" w:rsidRPr="00416070" w:rsidRDefault="009D3013" w:rsidP="002C3AB1">
            <w:pPr>
              <w:rPr>
                <w:rFonts w:cs="Tahoma"/>
                <w:b/>
                <w:color w:val="000000"/>
                <w:szCs w:val="18"/>
              </w:rPr>
            </w:pPr>
            <w:r w:rsidRPr="00416070">
              <w:rPr>
                <w:rFonts w:cs="Tahoma"/>
                <w:b/>
                <w:color w:val="000000"/>
                <w:szCs w:val="18"/>
              </w:rPr>
              <w:t>Licença Complementar e Benefícios</w:t>
            </w:r>
          </w:p>
        </w:tc>
      </w:tr>
      <w:tr w:rsidR="009D3013" w:rsidRPr="002B5F9E" w:rsidTr="00397ADC">
        <w:trPr>
          <w:trHeight w:val="70"/>
        </w:trPr>
        <w:tc>
          <w:tcPr>
            <w:tcW w:w="4680" w:type="dxa"/>
            <w:shd w:val="clear" w:color="auto" w:fill="auto"/>
          </w:tcPr>
          <w:p w:rsidR="009D3013" w:rsidRPr="006301EB" w:rsidRDefault="009D3013" w:rsidP="002C3AB1">
            <w:pPr>
              <w:rPr>
                <w:rFonts w:cs="Tahoma"/>
                <w:color w:val="000000"/>
                <w:szCs w:val="18"/>
                <w:lang w:val="pt-BR"/>
              </w:rPr>
            </w:pPr>
            <w:r w:rsidRPr="006301EB">
              <w:rPr>
                <w:rFonts w:cs="Tahoma"/>
                <w:color w:val="000000"/>
                <w:szCs w:val="18"/>
                <w:lang w:val="pt-BR"/>
              </w:rPr>
              <w:t>Conector Externo do Exchange Server 2010 com Software Assurance ativo em 1</w:t>
            </w:r>
            <w:r w:rsidRPr="006301EB">
              <w:rPr>
                <w:rFonts w:cs="Tahoma"/>
                <w:color w:val="000000"/>
                <w:szCs w:val="18"/>
                <w:vertAlign w:val="superscript"/>
                <w:lang w:val="pt-BR"/>
              </w:rPr>
              <w:t>º</w:t>
            </w:r>
            <w:r w:rsidRPr="006301EB">
              <w:rPr>
                <w:rFonts w:cs="Tahoma"/>
                <w:color w:val="000000"/>
                <w:szCs w:val="18"/>
                <w:lang w:val="pt-BR"/>
              </w:rPr>
              <w:t xml:space="preserve"> de dezembro de 2012</w:t>
            </w:r>
          </w:p>
        </w:tc>
        <w:tc>
          <w:tcPr>
            <w:tcW w:w="3420" w:type="dxa"/>
            <w:shd w:val="clear" w:color="auto" w:fill="auto"/>
          </w:tcPr>
          <w:p w:rsidR="009D3013" w:rsidRPr="006301EB" w:rsidRDefault="009D3013" w:rsidP="002C3AB1">
            <w:pPr>
              <w:rPr>
                <w:rFonts w:cs="Tahoma"/>
                <w:color w:val="000000"/>
                <w:szCs w:val="18"/>
                <w:lang w:val="pt-BR"/>
              </w:rPr>
            </w:pPr>
            <w:r w:rsidRPr="006301EB">
              <w:rPr>
                <w:rFonts w:cs="Tahoma"/>
                <w:color w:val="000000"/>
                <w:szCs w:val="18"/>
                <w:lang w:val="pt-BR"/>
              </w:rPr>
              <w:t>Licença do Exchange Server 2013 Enterprise</w:t>
            </w:r>
          </w:p>
        </w:tc>
      </w:tr>
    </w:tbl>
    <w:p w:rsidR="009D3013" w:rsidRPr="006301EB" w:rsidRDefault="009D3013" w:rsidP="0067725A">
      <w:pPr>
        <w:rPr>
          <w:lang w:val="pt-BR"/>
        </w:rPr>
      </w:pPr>
    </w:p>
    <w:p w:rsidR="009D3013" w:rsidRPr="006301EB" w:rsidRDefault="009D3013" w:rsidP="009D3013">
      <w:pPr>
        <w:ind w:left="720"/>
        <w:rPr>
          <w:lang w:val="pt-BR"/>
        </w:rPr>
      </w:pPr>
      <w:r w:rsidRPr="006301EB">
        <w:rPr>
          <w:rFonts w:cs="Tahoma"/>
          <w:color w:val="000000"/>
          <w:szCs w:val="18"/>
          <w:lang w:val="pt-BR"/>
        </w:rPr>
        <w:t>Os termos e as condições a seguir se aplicam à outorga de licença acima:</w:t>
      </w:r>
    </w:p>
    <w:p w:rsidR="009D3013" w:rsidRPr="006301EB" w:rsidRDefault="009D3013" w:rsidP="009D3013">
      <w:pPr>
        <w:ind w:left="720"/>
        <w:rPr>
          <w:lang w:val="pt-BR"/>
        </w:rPr>
      </w:pPr>
    </w:p>
    <w:p w:rsidR="009D3013" w:rsidRPr="006301EB" w:rsidRDefault="009D3013" w:rsidP="005427B6">
      <w:pPr>
        <w:numPr>
          <w:ilvl w:val="0"/>
          <w:numId w:val="124"/>
        </w:numPr>
        <w:spacing w:after="60"/>
        <w:ind w:left="1440"/>
        <w:rPr>
          <w:lang w:val="pt-BR"/>
        </w:rPr>
      </w:pPr>
      <w:r w:rsidRPr="006301EB">
        <w:rPr>
          <w:rFonts w:cs="Tahoma"/>
          <w:bCs/>
          <w:color w:val="000000"/>
          <w:szCs w:val="18"/>
          <w:lang w:val="pt-BR"/>
        </w:rPr>
        <w:t>Caminho de Migração</w:t>
      </w:r>
      <w:r w:rsidRPr="006301EB">
        <w:rPr>
          <w:rFonts w:cs="Tahoma"/>
          <w:color w:val="000000"/>
          <w:szCs w:val="18"/>
          <w:lang w:val="pt-BR"/>
        </w:rPr>
        <w:t>: os clientes com cobertura do Software Assurance ativa para uma determinada Licença Qualificada a partir de 1</w:t>
      </w:r>
      <w:r w:rsidRPr="006301EB">
        <w:rPr>
          <w:rFonts w:cs="Tahoma"/>
          <w:color w:val="000000"/>
          <w:szCs w:val="18"/>
          <w:vertAlign w:val="superscript"/>
          <w:lang w:val="pt-BR"/>
        </w:rPr>
        <w:t>º</w:t>
      </w:r>
      <w:r w:rsidRPr="006301EB">
        <w:rPr>
          <w:rFonts w:cs="Tahoma"/>
          <w:color w:val="000000"/>
          <w:szCs w:val="18"/>
          <w:lang w:val="pt-BR"/>
        </w:rPr>
        <w:t xml:space="preserve"> de dezembro de 2012 e mediante o lançamento do Exchange Server 2013 estão qualificados para atualizar e usar o software Exchange Server 2013 sob a Licença Complementar em vez do software Exchange Server 2010 sob a Licença Qualificada do Conector Externo correspondente.</w:t>
      </w:r>
    </w:p>
    <w:p w:rsidR="009D3013" w:rsidRPr="006301EB" w:rsidRDefault="009D3013" w:rsidP="005427B6">
      <w:pPr>
        <w:numPr>
          <w:ilvl w:val="0"/>
          <w:numId w:val="124"/>
        </w:numPr>
        <w:spacing w:after="60"/>
        <w:ind w:left="1440"/>
        <w:rPr>
          <w:lang w:val="pt-BR"/>
        </w:rPr>
      </w:pPr>
      <w:r w:rsidRPr="006301EB">
        <w:rPr>
          <w:rFonts w:cs="Tahoma"/>
          <w:color w:val="000000"/>
          <w:szCs w:val="18"/>
          <w:lang w:val="pt-BR"/>
        </w:rPr>
        <w:t>Direitos de uso: O direito de usar o software sob as Licenças Complementares nessa oferta expirará quando o direito de usar o software sob as Licenças Qualificadas expirar.</w:t>
      </w:r>
      <w:r w:rsidR="00FB5496" w:rsidRPr="006301EB">
        <w:rPr>
          <w:rFonts w:cs="Tahoma"/>
          <w:color w:val="000000"/>
          <w:szCs w:val="18"/>
          <w:lang w:val="pt-BR"/>
        </w:rPr>
        <w:t xml:space="preserve"> </w:t>
      </w:r>
      <w:r w:rsidRPr="006301EB">
        <w:rPr>
          <w:rFonts w:cs="Tahoma"/>
          <w:color w:val="000000"/>
          <w:szCs w:val="18"/>
          <w:lang w:val="pt-BR"/>
        </w:rPr>
        <w:t>O uso desse software é regido pelos direitos de uso do software e pelos termos e condições do contrato de licenciamento por volume do cliente.</w:t>
      </w:r>
      <w:r w:rsidR="00FB5496" w:rsidRPr="006301EB">
        <w:rPr>
          <w:rFonts w:cs="Tahoma"/>
          <w:color w:val="000000"/>
          <w:szCs w:val="18"/>
          <w:lang w:val="pt-BR"/>
        </w:rPr>
        <w:t xml:space="preserve"> </w:t>
      </w:r>
      <w:r w:rsidRPr="006301EB">
        <w:rPr>
          <w:rFonts w:cs="Tahoma"/>
          <w:color w:val="000000"/>
          <w:szCs w:val="18"/>
          <w:lang w:val="pt-BR"/>
        </w:rPr>
        <w:t>Essa nota de condição do produto e a evidência do cliente da</w:t>
      </w:r>
      <w:r w:rsidR="00397ADC" w:rsidRPr="006301EB">
        <w:rPr>
          <w:rFonts w:cs="Tahoma"/>
          <w:color w:val="000000"/>
          <w:szCs w:val="18"/>
          <w:lang w:val="pt-BR"/>
        </w:rPr>
        <w:t> </w:t>
      </w:r>
      <w:r w:rsidRPr="006301EB">
        <w:rPr>
          <w:rFonts w:cs="Tahoma"/>
          <w:color w:val="000000"/>
          <w:szCs w:val="18"/>
          <w:lang w:val="pt-BR"/>
        </w:rPr>
        <w:t>Licença Qualificada e do Software Assurance do cliente juntas comprovam o direito de usar o</w:t>
      </w:r>
      <w:r w:rsidR="00397ADC" w:rsidRPr="006301EB">
        <w:rPr>
          <w:rFonts w:cs="Tahoma"/>
          <w:color w:val="000000"/>
          <w:szCs w:val="18"/>
          <w:lang w:val="pt-BR"/>
        </w:rPr>
        <w:t> </w:t>
      </w:r>
      <w:r w:rsidRPr="006301EB">
        <w:rPr>
          <w:rFonts w:cs="Tahoma"/>
          <w:color w:val="000000"/>
          <w:szCs w:val="18"/>
          <w:lang w:val="pt-BR"/>
        </w:rPr>
        <w:t>software sob a Licença Complementar nessa oferta.</w:t>
      </w:r>
    </w:p>
    <w:p w:rsidR="009D3013" w:rsidRPr="006301EB" w:rsidRDefault="009D3013" w:rsidP="005427B6">
      <w:pPr>
        <w:numPr>
          <w:ilvl w:val="0"/>
          <w:numId w:val="8"/>
        </w:numPr>
        <w:spacing w:after="60"/>
        <w:ind w:left="1440"/>
        <w:rPr>
          <w:lang w:val="pt-BR"/>
        </w:rPr>
      </w:pPr>
      <w:r w:rsidRPr="006301EB">
        <w:rPr>
          <w:rFonts w:cs="Tahoma"/>
          <w:color w:val="000000"/>
          <w:szCs w:val="18"/>
          <w:lang w:val="pt-BR"/>
        </w:rPr>
        <w:t>Licença e Software Assurance (L&amp;SA): A Licença Complementar inclui a cobertura do Software Assurance.</w:t>
      </w:r>
      <w:r w:rsidR="00FB5496" w:rsidRPr="006301EB">
        <w:rPr>
          <w:rFonts w:cs="Tahoma"/>
          <w:color w:val="000000"/>
          <w:szCs w:val="18"/>
          <w:lang w:val="pt-BR"/>
        </w:rPr>
        <w:t xml:space="preserve"> </w:t>
      </w:r>
      <w:r w:rsidRPr="006301EB">
        <w:rPr>
          <w:rFonts w:cs="Tahoma"/>
          <w:color w:val="000000"/>
          <w:szCs w:val="18"/>
          <w:lang w:val="pt-BR"/>
        </w:rPr>
        <w:t>A cobertura do Software Assurance sobre a Licença Complementar expirará quando a cobertura da Licença Qualificada expirar.</w:t>
      </w:r>
      <w:r w:rsidR="00FB5496" w:rsidRPr="006301EB">
        <w:rPr>
          <w:rFonts w:cs="Tahoma"/>
          <w:color w:val="000000"/>
          <w:szCs w:val="18"/>
          <w:lang w:val="pt-BR"/>
        </w:rPr>
        <w:t xml:space="preserve"> </w:t>
      </w:r>
      <w:r w:rsidRPr="006301EB">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p>
    <w:p w:rsidR="009D3013" w:rsidRPr="006301EB" w:rsidRDefault="009D3013" w:rsidP="005427B6">
      <w:pPr>
        <w:numPr>
          <w:ilvl w:val="0"/>
          <w:numId w:val="125"/>
        </w:numPr>
        <w:spacing w:after="60"/>
        <w:ind w:left="1440"/>
        <w:rPr>
          <w:lang w:val="pt-BR"/>
        </w:rPr>
      </w:pPr>
      <w:r w:rsidRPr="006301EB">
        <w:rPr>
          <w:rFonts w:eastAsia="Calibri" w:cs="Tahoma"/>
          <w:color w:val="000000"/>
          <w:szCs w:val="18"/>
          <w:lang w:val="pt-BR"/>
        </w:rPr>
        <w:t>Adequações (“true-ups”):</w:t>
      </w:r>
      <w:r w:rsidR="00FB5496" w:rsidRPr="006301EB">
        <w:rPr>
          <w:rFonts w:eastAsia="Calibri" w:cs="Tahoma"/>
          <w:color w:val="000000"/>
          <w:szCs w:val="18"/>
          <w:lang w:val="pt-BR"/>
        </w:rPr>
        <w:t xml:space="preserve"> </w:t>
      </w:r>
      <w:r w:rsidRPr="006301EB">
        <w:rPr>
          <w:rFonts w:eastAsia="Calibri" w:cs="Tahoma"/>
          <w:color w:val="000000"/>
          <w:szCs w:val="18"/>
          <w:lang w:val="pt-BR"/>
        </w:rPr>
        <w:t xml:space="preserve">Para os clientes do Contrato Enterprise qualificados para essas licenças complementares e esses direitos conforme descrito acima, as licenças do Conector Externo do Exchange Server 2010 adquiridas como parte de um processo de adequação (“true-ups”) </w:t>
      </w:r>
      <w:r w:rsidRPr="006301EB">
        <w:rPr>
          <w:rFonts w:cs="Tahoma"/>
          <w:color w:val="000000"/>
          <w:szCs w:val="18"/>
          <w:lang w:val="pt-BR"/>
        </w:rPr>
        <w:t>anuais do</w:t>
      </w:r>
      <w:r w:rsidR="004A1891" w:rsidRPr="006301EB">
        <w:rPr>
          <w:rFonts w:cs="Tahoma"/>
          <w:color w:val="000000"/>
          <w:szCs w:val="18"/>
          <w:lang w:val="pt-BR"/>
        </w:rPr>
        <w:t> </w:t>
      </w:r>
      <w:r w:rsidRPr="006301EB">
        <w:rPr>
          <w:rFonts w:cs="Tahoma"/>
          <w:color w:val="000000"/>
          <w:szCs w:val="18"/>
          <w:lang w:val="pt-BR"/>
        </w:rPr>
        <w:t>cliente também são Licenças Qualificadas.</w:t>
      </w:r>
    </w:p>
    <w:p w:rsidR="009D3013" w:rsidRPr="006301EB" w:rsidRDefault="009D3013" w:rsidP="005427B6">
      <w:pPr>
        <w:numPr>
          <w:ilvl w:val="0"/>
          <w:numId w:val="125"/>
        </w:numPr>
        <w:spacing w:after="60"/>
        <w:ind w:left="1440"/>
        <w:rPr>
          <w:lang w:val="pt-BR"/>
        </w:rPr>
      </w:pPr>
      <w:r w:rsidRPr="006301EB">
        <w:rPr>
          <w:rFonts w:cs="Tahoma"/>
          <w:color w:val="000000"/>
          <w:szCs w:val="18"/>
          <w:lang w:val="pt-BR"/>
        </w:rPr>
        <w:t>Contratos Subscription:</w:t>
      </w:r>
      <w:r w:rsidR="00FB5496" w:rsidRPr="006301EB">
        <w:rPr>
          <w:rFonts w:cs="Tahoma"/>
          <w:color w:val="000000"/>
          <w:szCs w:val="18"/>
          <w:lang w:val="pt-BR"/>
        </w:rPr>
        <w:t xml:space="preserve"> </w:t>
      </w:r>
      <w:r w:rsidRPr="006301EB">
        <w:rPr>
          <w:rFonts w:cs="Tahoma"/>
          <w:color w:val="000000"/>
          <w:szCs w:val="18"/>
          <w:lang w:val="pt-BR"/>
        </w:rPr>
        <w:t xml:space="preserve">Para Enterprise Subscription, </w:t>
      </w:r>
      <w:r w:rsidRPr="006301EB">
        <w:rPr>
          <w:rFonts w:cs="Tahoma"/>
          <w:szCs w:val="18"/>
          <w:lang w:val="pt-BR"/>
        </w:rPr>
        <w:t>Open Value Subscription, Campus e School, Enrollment for Education Solutions e Open Value Subscription – Education Solutions, os mesmos direitos serão outorgados temporariamente sob as mesmas condições</w:t>
      </w:r>
      <w:r w:rsidRPr="006301EB">
        <w:rPr>
          <w:rFonts w:cs="Tahoma"/>
          <w:color w:val="000000"/>
          <w:szCs w:val="18"/>
          <w:lang w:val="pt-BR"/>
        </w:rPr>
        <w:t xml:space="preserve"> até o final do prazo do registro atual (ou prazo do contrato no caso do Open Value).</w:t>
      </w:r>
      <w:r w:rsidR="00FB5496" w:rsidRPr="006301EB">
        <w:rPr>
          <w:rFonts w:cs="Tahoma"/>
          <w:color w:val="000000"/>
          <w:szCs w:val="18"/>
          <w:lang w:val="pt-BR"/>
        </w:rPr>
        <w:t xml:space="preserve"> </w:t>
      </w:r>
      <w:r w:rsidRPr="006301EB">
        <w:rPr>
          <w:rFonts w:cs="Tahoma"/>
          <w:color w:val="000000"/>
          <w:szCs w:val="18"/>
          <w:lang w:val="pt-BR"/>
        </w:rPr>
        <w:t>O cliente deverá manter uma cobertura contínua da assinatura.</w:t>
      </w:r>
      <w:r w:rsidR="00FB5496" w:rsidRPr="006301EB">
        <w:rPr>
          <w:rFonts w:cs="Tahoma"/>
          <w:color w:val="000000"/>
          <w:szCs w:val="18"/>
          <w:lang w:val="pt-BR"/>
        </w:rPr>
        <w:t xml:space="preserve"> </w:t>
      </w:r>
      <w:bookmarkStart w:id="1247" w:name="_Toc336338313"/>
      <w:r w:rsidRPr="006301EB">
        <w:rPr>
          <w:rFonts w:cs="Tahoma"/>
          <w:color w:val="000000"/>
          <w:szCs w:val="18"/>
          <w:lang w:val="pt-BR"/>
        </w:rPr>
        <w:t>Esses direitos só se tornarão permanentes se a opção de compra</w:t>
      </w:r>
      <w:r w:rsidR="00397ADC" w:rsidRPr="006301EB">
        <w:rPr>
          <w:rFonts w:cs="Tahoma"/>
          <w:color w:val="000000"/>
          <w:szCs w:val="18"/>
          <w:lang w:val="pt-BR"/>
        </w:rPr>
        <w:t> </w:t>
      </w:r>
      <w:r w:rsidRPr="006301EB">
        <w:rPr>
          <w:rFonts w:cs="Tahoma"/>
          <w:color w:val="000000"/>
          <w:szCs w:val="18"/>
          <w:lang w:val="pt-BR"/>
        </w:rPr>
        <w:t>(“buy-out”) for exercida e continuarão sujeitos a todos os termos e condições do contrato</w:t>
      </w:r>
      <w:r w:rsidR="00397ADC" w:rsidRPr="006301EB">
        <w:rPr>
          <w:rFonts w:cs="Tahoma"/>
          <w:color w:val="000000"/>
          <w:szCs w:val="18"/>
          <w:lang w:val="pt-BR"/>
        </w:rPr>
        <w:t> </w:t>
      </w:r>
      <w:r w:rsidRPr="006301EB">
        <w:rPr>
          <w:rFonts w:cs="Tahoma"/>
          <w:color w:val="000000"/>
          <w:szCs w:val="18"/>
          <w:lang w:val="pt-BR"/>
        </w:rPr>
        <w:t>de licença do cliente.</w:t>
      </w:r>
    </w:p>
    <w:p w:rsidR="009D3013" w:rsidRPr="006301EB" w:rsidRDefault="009D3013" w:rsidP="005427B6">
      <w:pPr>
        <w:numPr>
          <w:ilvl w:val="0"/>
          <w:numId w:val="126"/>
        </w:numPr>
        <w:spacing w:after="60"/>
        <w:ind w:left="1440"/>
        <w:rPr>
          <w:lang w:val="pt-BR"/>
        </w:rPr>
      </w:pPr>
      <w:r w:rsidRPr="006301EB">
        <w:rPr>
          <w:rFonts w:cs="Tahoma"/>
          <w:szCs w:val="18"/>
          <w:lang w:val="pt-BR"/>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rsidR="009D3013" w:rsidRPr="004A1891" w:rsidRDefault="009D3013" w:rsidP="005427B6">
      <w:pPr>
        <w:pStyle w:val="ListParagraph"/>
        <w:numPr>
          <w:ilvl w:val="0"/>
          <w:numId w:val="105"/>
        </w:numPr>
        <w:spacing w:after="60"/>
        <w:ind w:left="1980"/>
        <w:contextualSpacing w:val="0"/>
        <w:rPr>
          <w:rFonts w:ascii="Tahoma" w:hAnsi="Tahoma" w:cs="Tahoma"/>
          <w:sz w:val="18"/>
          <w:szCs w:val="18"/>
        </w:rPr>
      </w:pPr>
      <w:r w:rsidRPr="004A1891">
        <w:rPr>
          <w:rFonts w:ascii="Tahoma" w:hAnsi="Tahoma" w:cs="Tahoma"/>
          <w:sz w:val="18"/>
          <w:szCs w:val="18"/>
        </w:rPr>
        <w:t>Os mesmos direitos serão concedidos temporariamente sob as mesmas condições até o final</w:t>
      </w:r>
      <w:r w:rsidR="00397ADC" w:rsidRPr="004A1891">
        <w:rPr>
          <w:rFonts w:ascii="Tahoma" w:hAnsi="Tahoma" w:cs="Tahoma"/>
          <w:color w:val="000000"/>
          <w:sz w:val="18"/>
          <w:szCs w:val="18"/>
        </w:rPr>
        <w:t> </w:t>
      </w:r>
      <w:r w:rsidRPr="004A1891">
        <w:rPr>
          <w:rFonts w:ascii="Tahoma" w:hAnsi="Tahoma" w:cs="Tahoma"/>
          <w:sz w:val="18"/>
          <w:szCs w:val="18"/>
        </w:rPr>
        <w:t>dos seus contratos Enrollment for Education Solutions ou Open Value Subscription – Educat</w:t>
      </w:r>
      <w:r w:rsidR="009D57D2">
        <w:rPr>
          <w:rFonts w:ascii="Tahoma" w:hAnsi="Tahoma" w:cs="Tahoma"/>
          <w:sz w:val="18"/>
          <w:szCs w:val="18"/>
        </w:rPr>
        <w:t>ion Solutions, respectivamente.</w:t>
      </w:r>
    </w:p>
    <w:p w:rsidR="0073424F" w:rsidRPr="004A1891" w:rsidRDefault="0073424F" w:rsidP="005427B6">
      <w:pPr>
        <w:pStyle w:val="ListParagraph"/>
        <w:numPr>
          <w:ilvl w:val="0"/>
          <w:numId w:val="105"/>
        </w:numPr>
        <w:spacing w:after="60"/>
        <w:ind w:left="1980"/>
        <w:contextualSpacing w:val="0"/>
        <w:rPr>
          <w:rFonts w:ascii="Tahoma" w:hAnsi="Tahoma" w:cs="Tahoma"/>
          <w:sz w:val="18"/>
          <w:szCs w:val="18"/>
        </w:rPr>
      </w:pPr>
      <w:r w:rsidRPr="004A1891">
        <w:rPr>
          <w:rFonts w:ascii="Tahoma" w:hAnsi="Tahoma" w:cs="Tahoma"/>
          <w:sz w:val="18"/>
          <w:szCs w:val="18"/>
        </w:rPr>
        <w:t>Esses direitos só se tornarão permanentes se a opção de compra (“buy-out”) for exercida e</w:t>
      </w:r>
      <w:r w:rsidR="00397ADC" w:rsidRPr="004A1891">
        <w:rPr>
          <w:rFonts w:ascii="Tahoma" w:hAnsi="Tahoma" w:cs="Tahoma"/>
          <w:color w:val="000000"/>
          <w:sz w:val="18"/>
          <w:szCs w:val="18"/>
        </w:rPr>
        <w:t> </w:t>
      </w:r>
      <w:r w:rsidRPr="004A1891">
        <w:rPr>
          <w:rFonts w:ascii="Tahoma" w:hAnsi="Tahoma" w:cs="Tahoma"/>
          <w:sz w:val="18"/>
          <w:szCs w:val="18"/>
        </w:rPr>
        <w:t>continuarão sujeitos a todos os termos e condições do contrato de licença do cliente.</w:t>
      </w:r>
    </w:p>
    <w:p w:rsidR="004069A4" w:rsidRPr="00416070" w:rsidRDefault="004069A4" w:rsidP="009D3013">
      <w:pPr>
        <w:pStyle w:val="EndnoteText"/>
        <w:ind w:left="540"/>
      </w:pPr>
    </w:p>
    <w:p w:rsidR="009D3013" w:rsidRPr="006301EB" w:rsidRDefault="009D3013" w:rsidP="009D3013">
      <w:pPr>
        <w:pStyle w:val="EndnoteText"/>
        <w:ind w:left="540"/>
        <w:rPr>
          <w:lang w:val="pt-BR"/>
        </w:rPr>
      </w:pPr>
    </w:p>
    <w:p w:rsidR="00397ADC" w:rsidRPr="006301EB" w:rsidRDefault="00397ADC" w:rsidP="009D3013">
      <w:pPr>
        <w:pStyle w:val="EndnoteText"/>
        <w:ind w:left="540"/>
        <w:rPr>
          <w:lang w:val="pt-BR"/>
        </w:rPr>
      </w:pPr>
    </w:p>
    <w:p w:rsidR="004069A4" w:rsidRPr="00416070" w:rsidRDefault="00A7003F" w:rsidP="004069A4">
      <w:pPr>
        <w:pStyle w:val="Heading3"/>
      </w:pPr>
      <w:bookmarkStart w:id="1248" w:name="_50_Exchange_Server"/>
      <w:bookmarkStart w:id="1249" w:name="_53_52_Exchange"/>
      <w:bookmarkStart w:id="1250" w:name="_Toc352234378"/>
      <w:bookmarkEnd w:id="1248"/>
      <w:bookmarkEnd w:id="1249"/>
      <w:r w:rsidRPr="00416070">
        <w:rPr>
          <w:rFonts w:ascii="Tahoma" w:hAnsi="Tahoma"/>
          <w:caps/>
          <w:color w:val="F66400"/>
          <w:sz w:val="22"/>
          <w:vertAlign w:val="superscript"/>
        </w:rPr>
        <w:t>52</w:t>
      </w:r>
      <w:r w:rsidRPr="00416070">
        <w:rPr>
          <w:rFonts w:ascii="Tahoma" w:hAnsi="Tahoma"/>
          <w:color w:val="F66400"/>
          <w:sz w:val="22"/>
        </w:rPr>
        <w:t xml:space="preserve"> CAL Padrão do Exchange Server 2010</w:t>
      </w:r>
      <w:bookmarkEnd w:id="1247"/>
      <w:bookmarkEnd w:id="1250"/>
    </w:p>
    <w:bookmarkEnd w:id="1242"/>
    <w:p w:rsidR="004069A4" w:rsidRPr="006301EB" w:rsidRDefault="004069A4" w:rsidP="004069A4">
      <w:pPr>
        <w:rPr>
          <w:lang w:val="pt-BR"/>
        </w:rPr>
      </w:pPr>
    </w:p>
    <w:p w:rsidR="004069A4" w:rsidRPr="006301EB" w:rsidRDefault="004069A4" w:rsidP="005427B6">
      <w:pPr>
        <w:spacing w:after="60"/>
        <w:ind w:left="720"/>
        <w:rPr>
          <w:lang w:val="pt-BR"/>
        </w:rPr>
      </w:pPr>
      <w:r w:rsidRPr="006301EB">
        <w:rPr>
          <w:rFonts w:cs="Tahoma"/>
          <w:b/>
          <w:color w:val="000000"/>
          <w:szCs w:val="18"/>
          <w:lang w:val="pt-BR"/>
        </w:rPr>
        <w:t>Pastas Padrão Gerenciadas licenciadas com a CAL do Exchange Server 2010 Standard</w:t>
      </w:r>
    </w:p>
    <w:p w:rsidR="004069A4" w:rsidRPr="006301EB" w:rsidRDefault="004069A4" w:rsidP="00E62BC4">
      <w:pPr>
        <w:ind w:left="720"/>
        <w:rPr>
          <w:lang w:val="pt-BR"/>
        </w:rPr>
      </w:pPr>
      <w:r w:rsidRPr="006301EB">
        <w:rPr>
          <w:rFonts w:cs="Tahoma"/>
          <w:color w:val="000000"/>
          <w:szCs w:val="18"/>
          <w:lang w:val="pt-BR"/>
        </w:rPr>
        <w:t>O direito de acessar a funcionalidade de Pasta Padrão Gerenciada do Exchange Server 2010 é conferido sob</w:t>
      </w:r>
      <w:r w:rsidR="004A1891" w:rsidRPr="006301EB">
        <w:rPr>
          <w:rFonts w:cs="Tahoma"/>
          <w:color w:val="000000"/>
          <w:szCs w:val="18"/>
          <w:lang w:val="pt-BR"/>
        </w:rPr>
        <w:t> </w:t>
      </w:r>
      <w:r w:rsidRPr="006301EB">
        <w:rPr>
          <w:rFonts w:cs="Tahoma"/>
          <w:color w:val="000000"/>
          <w:szCs w:val="18"/>
          <w:lang w:val="pt-BR"/>
        </w:rPr>
        <w:t>a CAL do Exchange Server 2010 Standard e CALs equivalentes.</w:t>
      </w:r>
      <w:r w:rsidR="00FB5496" w:rsidRPr="006301EB">
        <w:rPr>
          <w:rFonts w:cs="Tahoma"/>
          <w:color w:val="000000"/>
          <w:szCs w:val="18"/>
          <w:lang w:val="pt-BR"/>
        </w:rPr>
        <w:t xml:space="preserve"> </w:t>
      </w:r>
      <w:r w:rsidRPr="006301EB">
        <w:rPr>
          <w:rFonts w:cs="Tahoma"/>
          <w:color w:val="000000"/>
          <w:szCs w:val="18"/>
          <w:lang w:val="pt-BR"/>
        </w:rPr>
        <w:t>Uma CAL do Exchange Server 2010 Enterprise ou equivalente é necessária para acessar a funcionalidade de Pasta Personalizada Gerenciada, mas nã</w:t>
      </w:r>
      <w:r w:rsidR="009D57D2" w:rsidRPr="006301EB">
        <w:rPr>
          <w:rFonts w:cs="Tahoma"/>
          <w:color w:val="000000"/>
          <w:szCs w:val="18"/>
          <w:lang w:val="pt-BR"/>
        </w:rPr>
        <w:t>o a de Pasta Padrão Gerenciada.</w:t>
      </w:r>
    </w:p>
    <w:p w:rsidR="004069A4" w:rsidRPr="006301EB" w:rsidRDefault="004069A4" w:rsidP="00E62BC4">
      <w:pPr>
        <w:ind w:left="720"/>
        <w:rPr>
          <w:lang w:val="pt-BR"/>
        </w:rPr>
      </w:pPr>
    </w:p>
    <w:p w:rsidR="00031547" w:rsidRPr="006301EB" w:rsidRDefault="00031547" w:rsidP="005427B6">
      <w:pPr>
        <w:spacing w:after="60"/>
        <w:ind w:left="720"/>
        <w:rPr>
          <w:lang w:val="pt-BR"/>
        </w:rPr>
      </w:pPr>
      <w:r w:rsidRPr="006301EB">
        <w:rPr>
          <w:rFonts w:cs="Tahoma"/>
          <w:b/>
          <w:color w:val="000000"/>
          <w:szCs w:val="18"/>
          <w:lang w:val="pt-BR"/>
        </w:rPr>
        <w:t>Pesquisa em Várias Caixas de Correio Licenciadas com a CAL Padrão do Exchange Server 2010</w:t>
      </w:r>
    </w:p>
    <w:p w:rsidR="00031547" w:rsidRPr="006301EB" w:rsidRDefault="00031547" w:rsidP="00BA1490">
      <w:pPr>
        <w:ind w:left="720"/>
        <w:rPr>
          <w:lang w:val="pt-BR"/>
        </w:rPr>
      </w:pPr>
      <w:r w:rsidRPr="006301EB">
        <w:rPr>
          <w:rFonts w:cs="Tahoma"/>
          <w:bCs/>
          <w:szCs w:val="20"/>
          <w:lang w:val="pt-BR"/>
        </w:rPr>
        <w:t>Estamos atualizando os direitos de uso do Exchange Server 2010 para refletir que o direito de acessar a funcionalidade de Pesquisa Cruzada em Caixa de Correio no Exchange Server 2010 é conferido de acordo com as CALs Padrão do Exchange Server 2010 e CALs equivalentes. Essa atualização é aplicável a todas as</w:t>
      </w:r>
      <w:r w:rsidR="004A1891" w:rsidRPr="006301EB">
        <w:rPr>
          <w:rFonts w:cs="Tahoma"/>
          <w:color w:val="000000"/>
          <w:szCs w:val="18"/>
          <w:lang w:val="pt-BR"/>
        </w:rPr>
        <w:t> </w:t>
      </w:r>
      <w:r w:rsidRPr="006301EB">
        <w:rPr>
          <w:rFonts w:cs="Tahoma"/>
          <w:bCs/>
          <w:szCs w:val="20"/>
          <w:lang w:val="pt-BR"/>
        </w:rPr>
        <w:t>licenças do Exchange Server 2010.</w:t>
      </w:r>
    </w:p>
    <w:p w:rsidR="004D0019" w:rsidRPr="006301EB" w:rsidRDefault="004D0019" w:rsidP="00E62BC4">
      <w:pPr>
        <w:ind w:left="720"/>
        <w:rPr>
          <w:lang w:val="pt-BR"/>
        </w:rPr>
      </w:pPr>
    </w:p>
    <w:p w:rsidR="004069A4" w:rsidRPr="006301EB" w:rsidRDefault="004069A4" w:rsidP="005427B6">
      <w:pPr>
        <w:spacing w:after="60"/>
        <w:ind w:left="720"/>
        <w:rPr>
          <w:lang w:val="pt-BR"/>
        </w:rPr>
      </w:pPr>
      <w:r w:rsidRPr="006301EB">
        <w:rPr>
          <w:rFonts w:cs="Tahoma"/>
          <w:b/>
          <w:color w:val="000000"/>
          <w:szCs w:val="18"/>
          <w:lang w:val="pt-BR"/>
        </w:rPr>
        <w:t>CALs Somente para Aluno (Licença Academic Open e Academic Select)</w:t>
      </w:r>
    </w:p>
    <w:p w:rsidR="004069A4" w:rsidRPr="006301EB" w:rsidRDefault="004069A4" w:rsidP="00E62BC4">
      <w:pPr>
        <w:ind w:left="720"/>
        <w:rPr>
          <w:lang w:val="pt-BR"/>
        </w:rPr>
      </w:pPr>
      <w:r w:rsidRPr="006301EB">
        <w:rPr>
          <w:rFonts w:cs="Tahoma"/>
          <w:szCs w:val="20"/>
          <w:lang w:val="pt-BR"/>
        </w:rPr>
        <w:t>As CALs Somente para Aluno estão restritas a PCs de propriedade de um aluno ou de uma instituição licenciados dedicados a um aluno individual e NÃO se destinam ao uso em laboratórios ou salas de aula.</w:t>
      </w:r>
    </w:p>
    <w:p w:rsidR="00DD14E6" w:rsidRPr="006301EB" w:rsidRDefault="00DD14E6" w:rsidP="005427B6">
      <w:pPr>
        <w:rPr>
          <w:lang w:val="pt-BR"/>
        </w:rPr>
      </w:pPr>
      <w:bookmarkStart w:id="1251" w:name="Srv_43ExchangeSvr07StdCAL"/>
      <w:bookmarkStart w:id="1252" w:name="Srv_44ExchangeSvr2010StdCAL"/>
    </w:p>
    <w:p w:rsidR="005427B6" w:rsidRPr="006301EB" w:rsidRDefault="005427B6" w:rsidP="005427B6">
      <w:pPr>
        <w:rPr>
          <w:lang w:val="pt-BR"/>
        </w:rPr>
      </w:pPr>
    </w:p>
    <w:p w:rsidR="00CC1B99" w:rsidRPr="00416070" w:rsidRDefault="00B26237" w:rsidP="00CC1B99">
      <w:pPr>
        <w:pStyle w:val="Heading3"/>
      </w:pPr>
      <w:bookmarkStart w:id="1253" w:name="_53_Forefront_Endpoint"/>
      <w:bookmarkStart w:id="1254" w:name="_Toc336338314"/>
      <w:bookmarkStart w:id="1255" w:name="_Toc352234379"/>
      <w:bookmarkStart w:id="1256" w:name="Srv_51ForfrontEndpointProtection"/>
      <w:bookmarkStart w:id="1257" w:name="Srv_50ForfrontEndpointProtection"/>
      <w:bookmarkStart w:id="1258" w:name="Srv_42ExchangeSvr07StdCAL"/>
      <w:bookmarkEnd w:id="1253"/>
      <w:r w:rsidRPr="00416070">
        <w:rPr>
          <w:rFonts w:ascii="Tahoma" w:hAnsi="Tahoma"/>
          <w:caps/>
          <w:color w:val="F66400"/>
          <w:sz w:val="22"/>
          <w:vertAlign w:val="superscript"/>
        </w:rPr>
        <w:t>53</w:t>
      </w:r>
      <w:r w:rsidRPr="00416070">
        <w:rPr>
          <w:rFonts w:ascii="Tahoma" w:hAnsi="Tahoma"/>
          <w:color w:val="F66400"/>
          <w:sz w:val="22"/>
        </w:rPr>
        <w:t xml:space="preserve"> Forefront Endpoint Protection</w:t>
      </w:r>
      <w:bookmarkEnd w:id="1254"/>
      <w:bookmarkEnd w:id="1255"/>
    </w:p>
    <w:bookmarkEnd w:id="1256"/>
    <w:bookmarkEnd w:id="1257"/>
    <w:p w:rsidR="00CC1B99" w:rsidRPr="006301EB" w:rsidRDefault="00CC1B99" w:rsidP="00E62BC4">
      <w:pPr>
        <w:ind w:left="720"/>
        <w:rPr>
          <w:lang w:val="pt-BR"/>
        </w:rPr>
      </w:pPr>
    </w:p>
    <w:p w:rsidR="008A1A57" w:rsidRPr="006301EB" w:rsidRDefault="008A1A57" w:rsidP="00E62BC4">
      <w:pPr>
        <w:tabs>
          <w:tab w:val="left" w:pos="1920"/>
        </w:tabs>
        <w:ind w:left="720"/>
        <w:rPr>
          <w:lang w:val="pt-BR"/>
        </w:rPr>
      </w:pPr>
      <w:r w:rsidRPr="006301EB">
        <w:rPr>
          <w:lang w:val="pt-BR"/>
        </w:rPr>
        <w:t>A partir de 1</w:t>
      </w:r>
      <w:r w:rsidRPr="006301EB">
        <w:rPr>
          <w:vertAlign w:val="superscript"/>
          <w:lang w:val="pt-BR"/>
        </w:rPr>
        <w:t>º</w:t>
      </w:r>
      <w:r w:rsidRPr="006301EB">
        <w:rPr>
          <w:lang w:val="pt-BR"/>
        </w:rPr>
        <w:t xml:space="preserve"> de abril de 2012, o </w:t>
      </w:r>
      <w:r w:rsidRPr="006301EB">
        <w:rPr>
          <w:rFonts w:eastAsia="Calibri" w:cs="Tahoma"/>
          <w:szCs w:val="18"/>
          <w:lang w:val="pt-BR"/>
        </w:rPr>
        <w:t xml:space="preserve">Forefront Endpoint Protection, como uma oferta para proteção do cliente, será substituído pelo </w:t>
      </w:r>
      <w:r w:rsidRPr="006301EB">
        <w:rPr>
          <w:lang w:val="pt-BR"/>
        </w:rPr>
        <w:t>System Center 2012 Endpoint Protection. O System Center 2012 Endpoint Protection, como uma oferta independente, confere direitos de uso apenas para proteger os dispositivos do cliente. Os</w:t>
      </w:r>
      <w:r w:rsidR="004A1891" w:rsidRPr="006301EB">
        <w:rPr>
          <w:lang w:val="pt-BR"/>
        </w:rPr>
        <w:t> </w:t>
      </w:r>
      <w:r w:rsidRPr="006301EB">
        <w:rPr>
          <w:lang w:val="pt-BR"/>
        </w:rPr>
        <w:t>direitos de uso para proteger dispositivos de servidor podem ser adquiridos somente por meio da aquisição das licenças de gerenciamento do System Center 2012 Standard ou Datacenter.</w:t>
      </w:r>
    </w:p>
    <w:p w:rsidR="008A1A57" w:rsidRPr="006301EB" w:rsidRDefault="008A1A57" w:rsidP="00E62BC4">
      <w:pPr>
        <w:tabs>
          <w:tab w:val="left" w:pos="1920"/>
        </w:tabs>
        <w:ind w:left="720"/>
        <w:rPr>
          <w:lang w:val="pt-BR"/>
        </w:rPr>
      </w:pPr>
    </w:p>
    <w:p w:rsidR="008A1A57" w:rsidRPr="006301EB" w:rsidRDefault="008A1A57" w:rsidP="00E62BC4">
      <w:pPr>
        <w:tabs>
          <w:tab w:val="left" w:pos="1920"/>
        </w:tabs>
        <w:ind w:left="720"/>
        <w:rPr>
          <w:lang w:val="pt-BR"/>
        </w:rPr>
      </w:pPr>
      <w:r w:rsidRPr="006301EB">
        <w:rPr>
          <w:rFonts w:eastAsia="Calibri" w:cs="Tahoma"/>
          <w:szCs w:val="18"/>
          <w:lang w:val="pt-BR"/>
        </w:rPr>
        <w:t xml:space="preserve">Os usuários com assinaturas do Forefront Endpoint Protection </w:t>
      </w:r>
      <w:r w:rsidRPr="006301EB">
        <w:rPr>
          <w:lang w:val="pt-BR"/>
        </w:rPr>
        <w:t>e que ajudam o serviço a proteger os dispositivos do cliente, podem fazer atualização para o System Center 2012 Endpoint Protection para a</w:t>
      </w:r>
      <w:r w:rsidR="004A1891" w:rsidRPr="006301EB">
        <w:rPr>
          <w:lang w:val="pt-BR"/>
        </w:rPr>
        <w:t> </w:t>
      </w:r>
      <w:r w:rsidRPr="006301EB">
        <w:rPr>
          <w:lang w:val="pt-BR"/>
        </w:rPr>
        <w:t>mesma finalidade.</w:t>
      </w:r>
    </w:p>
    <w:p w:rsidR="008A1A57" w:rsidRPr="006301EB" w:rsidRDefault="008A1A57" w:rsidP="00E62BC4">
      <w:pPr>
        <w:tabs>
          <w:tab w:val="left" w:pos="1920"/>
        </w:tabs>
        <w:ind w:left="720"/>
        <w:rPr>
          <w:lang w:val="pt-BR"/>
        </w:rPr>
      </w:pPr>
    </w:p>
    <w:p w:rsidR="008A1A57" w:rsidRPr="006301EB" w:rsidRDefault="008A1A57" w:rsidP="00E62BC4">
      <w:pPr>
        <w:tabs>
          <w:tab w:val="left" w:pos="1920"/>
        </w:tabs>
        <w:ind w:left="720"/>
        <w:rPr>
          <w:lang w:val="pt-BR"/>
        </w:rPr>
      </w:pPr>
      <w:r w:rsidRPr="006301EB">
        <w:rPr>
          <w:rFonts w:eastAsia="Calibri" w:cs="Tahoma"/>
          <w:szCs w:val="18"/>
          <w:lang w:val="pt-BR"/>
        </w:rPr>
        <w:t>Os usuários com assinaturas ativas do Forefront Endpoint Protection</w:t>
      </w:r>
      <w:r w:rsidRPr="006301EB">
        <w:rPr>
          <w:lang w:val="pt-BR"/>
        </w:rPr>
        <w:t xml:space="preserve"> e que ajudam o serviço a proteger os</w:t>
      </w:r>
      <w:r w:rsidR="004A1891" w:rsidRPr="006301EB">
        <w:rPr>
          <w:lang w:val="pt-BR"/>
        </w:rPr>
        <w:t> </w:t>
      </w:r>
      <w:r w:rsidRPr="006301EB">
        <w:rPr>
          <w:lang w:val="pt-BR"/>
        </w:rPr>
        <w:t>dispositivos do servidor, podem continuar usando o serviço Forefront Endpoint Protection.</w:t>
      </w:r>
    </w:p>
    <w:p w:rsidR="008A1A57" w:rsidRPr="006301EB" w:rsidRDefault="008A1A57" w:rsidP="00E62BC4">
      <w:pPr>
        <w:ind w:left="720"/>
        <w:rPr>
          <w:lang w:val="pt-BR"/>
        </w:rPr>
      </w:pPr>
    </w:p>
    <w:p w:rsidR="008A1A57" w:rsidRPr="006301EB" w:rsidRDefault="008A1A57" w:rsidP="00E62BC4">
      <w:pPr>
        <w:ind w:left="720"/>
        <w:rPr>
          <w:lang w:val="pt-BR"/>
        </w:rPr>
      </w:pPr>
      <w:r w:rsidRPr="006301EB">
        <w:rPr>
          <w:rFonts w:eastAsia="Calibri" w:cs="Tahoma"/>
          <w:szCs w:val="18"/>
          <w:lang w:val="pt-BR"/>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p>
    <w:p w:rsidR="008A1A57" w:rsidRPr="006301EB" w:rsidRDefault="008A1A57" w:rsidP="00E62BC4">
      <w:pPr>
        <w:ind w:left="720"/>
        <w:rPr>
          <w:lang w:val="pt-BR"/>
        </w:rPr>
      </w:pPr>
    </w:p>
    <w:p w:rsidR="008A1A57" w:rsidRPr="006301EB" w:rsidRDefault="005427B6" w:rsidP="005427B6">
      <w:pPr>
        <w:spacing w:after="60"/>
        <w:ind w:left="720"/>
        <w:rPr>
          <w:lang w:val="pt-BR"/>
        </w:rPr>
      </w:pPr>
      <w:r w:rsidRPr="006301EB">
        <w:rPr>
          <w:rFonts w:eastAsia="Calibri" w:cs="Tahoma"/>
          <w:b/>
          <w:szCs w:val="18"/>
          <w:lang w:val="pt-BR"/>
        </w:rPr>
        <w:t>Uso Doméstico</w:t>
      </w:r>
    </w:p>
    <w:p w:rsidR="008A1A57" w:rsidRPr="006301EB" w:rsidRDefault="008A1A57" w:rsidP="00E62BC4">
      <w:pPr>
        <w:ind w:left="720"/>
        <w:rPr>
          <w:lang w:val="pt-BR"/>
        </w:rPr>
      </w:pPr>
      <w:r w:rsidRPr="006301EB">
        <w:rPr>
          <w:rFonts w:eastAsia="Calibri" w:cs="Tahoma"/>
          <w:szCs w:val="18"/>
          <w:lang w:val="pt-BR"/>
        </w:rPr>
        <w:t>Os clientes com as Licenças de Assinatura do Usuário atuais para qualificação do Forefront Endpoint Protection 2010 como programa de Uso Doméstico.</w:t>
      </w:r>
    </w:p>
    <w:p w:rsidR="00BA1490" w:rsidRPr="006301EB" w:rsidRDefault="00BA1490" w:rsidP="00BA1490">
      <w:pPr>
        <w:rPr>
          <w:lang w:val="pt-BR"/>
        </w:rPr>
      </w:pPr>
      <w:bookmarkStart w:id="1259" w:name="_Toc254758297"/>
      <w:bookmarkStart w:id="1260" w:name="Srv_44ForefrontOnSecforExch"/>
      <w:bookmarkStart w:id="1261" w:name="Srv_43ForefrontOnSecforExch"/>
      <w:bookmarkEnd w:id="1251"/>
      <w:bookmarkEnd w:id="1252"/>
      <w:bookmarkEnd w:id="1258"/>
    </w:p>
    <w:p w:rsidR="00BA1490" w:rsidRPr="006301EB" w:rsidRDefault="00BA1490" w:rsidP="00BA1490">
      <w:pPr>
        <w:rPr>
          <w:lang w:val="pt-BR"/>
        </w:rPr>
      </w:pPr>
    </w:p>
    <w:p w:rsidR="009E4FDD" w:rsidRPr="00416070" w:rsidRDefault="00B26237" w:rsidP="009E4FDD">
      <w:pPr>
        <w:pStyle w:val="Heading3"/>
      </w:pPr>
      <w:bookmarkStart w:id="1262" w:name="_54_Forefront_Identity"/>
      <w:bookmarkStart w:id="1263" w:name="_Toc336338315"/>
      <w:bookmarkStart w:id="1264" w:name="_Toc352234380"/>
      <w:bookmarkStart w:id="1265" w:name="Srv_43ForefrontIdMgr2010"/>
      <w:bookmarkStart w:id="1266" w:name="Srv_48ForefrontIdMgr2010"/>
      <w:bookmarkStart w:id="1267" w:name="Srv_45ForefrontIdMgr2010"/>
      <w:bookmarkEnd w:id="1262"/>
      <w:r w:rsidRPr="00416070">
        <w:rPr>
          <w:rFonts w:ascii="Tahoma" w:hAnsi="Tahoma"/>
          <w:caps/>
          <w:color w:val="F66400"/>
          <w:sz w:val="22"/>
          <w:vertAlign w:val="superscript"/>
        </w:rPr>
        <w:t>54</w:t>
      </w:r>
      <w:r w:rsidRPr="00615CB9">
        <w:rPr>
          <w:rFonts w:ascii="Tahoma" w:hAnsi="Tahoma"/>
          <w:caps/>
          <w:color w:val="F66400"/>
          <w:sz w:val="22"/>
        </w:rPr>
        <w:t xml:space="preserve"> </w:t>
      </w:r>
      <w:r w:rsidRPr="00416070">
        <w:rPr>
          <w:rFonts w:ascii="Tahoma" w:hAnsi="Tahoma"/>
          <w:color w:val="F66400"/>
          <w:sz w:val="22"/>
        </w:rPr>
        <w:t>Forefront Identity Manager 2010</w:t>
      </w:r>
      <w:bookmarkEnd w:id="1259"/>
      <w:r w:rsidRPr="00416070">
        <w:rPr>
          <w:rFonts w:ascii="Tahoma" w:hAnsi="Tahoma"/>
          <w:color w:val="F66400"/>
          <w:sz w:val="22"/>
        </w:rPr>
        <w:t xml:space="preserve"> R2</w:t>
      </w:r>
      <w:bookmarkEnd w:id="1263"/>
      <w:bookmarkEnd w:id="1264"/>
    </w:p>
    <w:bookmarkEnd w:id="1265"/>
    <w:bookmarkEnd w:id="1266"/>
    <w:bookmarkEnd w:id="1267"/>
    <w:p w:rsidR="009E4FDD" w:rsidRPr="006301EB" w:rsidRDefault="009E4FDD" w:rsidP="009E4FDD">
      <w:pPr>
        <w:ind w:left="720"/>
        <w:rPr>
          <w:lang w:val="pt-BR"/>
        </w:rPr>
      </w:pPr>
    </w:p>
    <w:p w:rsidR="009E4FDD" w:rsidRPr="006301EB" w:rsidRDefault="009E4FDD" w:rsidP="005427B6">
      <w:pPr>
        <w:spacing w:after="60"/>
        <w:ind w:left="720"/>
        <w:rPr>
          <w:lang w:val="pt-BR"/>
        </w:rPr>
      </w:pPr>
      <w:r w:rsidRPr="006301EB">
        <w:rPr>
          <w:rFonts w:cs="Tahoma"/>
          <w:b/>
          <w:color w:val="000000"/>
          <w:szCs w:val="18"/>
          <w:lang w:val="pt-BR"/>
        </w:rPr>
        <w:t>Versão</w:t>
      </w:r>
    </w:p>
    <w:p w:rsidR="009E4FDD" w:rsidRPr="006301EB" w:rsidRDefault="009E4FDD" w:rsidP="005427B6">
      <w:pPr>
        <w:ind w:left="720"/>
        <w:rPr>
          <w:lang w:val="pt-BR"/>
        </w:rPr>
      </w:pPr>
      <w:r w:rsidRPr="006301EB">
        <w:rPr>
          <w:rFonts w:cs="Tahoma"/>
          <w:color w:val="000000"/>
          <w:szCs w:val="18"/>
          <w:lang w:val="pt-BR"/>
        </w:rPr>
        <w:t>O Forefront Identity Manager 2010 R2 é a próxima versão do Forefront Identity Manager 2010.</w:t>
      </w:r>
    </w:p>
    <w:p w:rsidR="005427B6" w:rsidRPr="006301EB" w:rsidRDefault="005427B6" w:rsidP="005427B6">
      <w:pPr>
        <w:rPr>
          <w:lang w:val="pt-BR"/>
        </w:rPr>
      </w:pPr>
    </w:p>
    <w:p w:rsidR="005427B6" w:rsidRPr="006301EB" w:rsidRDefault="005427B6" w:rsidP="005427B6">
      <w:pPr>
        <w:rPr>
          <w:lang w:val="pt-BR"/>
        </w:rPr>
      </w:pPr>
    </w:p>
    <w:p w:rsidR="00936C19" w:rsidRPr="00416070" w:rsidRDefault="00B26237" w:rsidP="005427B6">
      <w:pPr>
        <w:pStyle w:val="Heading2"/>
        <w:ind w:left="0"/>
      </w:pPr>
      <w:bookmarkStart w:id="1268" w:name="_55_Forefront_Identity"/>
      <w:bookmarkStart w:id="1269" w:name="_Toc336338316"/>
      <w:bookmarkStart w:id="1270" w:name="Srv_54ForefrontIDMgrWinLiveEd"/>
      <w:bookmarkStart w:id="1271" w:name="_Toc352234381"/>
      <w:bookmarkStart w:id="1272" w:name="Srv_46ForefrontOnlineProforExch"/>
      <w:bookmarkEnd w:id="1268"/>
      <w:r w:rsidRPr="00416070">
        <w:rPr>
          <w:rFonts w:ascii="Tahoma" w:hAnsi="Tahoma" w:cs="Tahoma"/>
          <w:caps/>
          <w:color w:val="F26200"/>
          <w:sz w:val="20"/>
          <w:vertAlign w:val="superscript"/>
        </w:rPr>
        <w:t>55</w:t>
      </w:r>
      <w:r w:rsidRPr="00416070">
        <w:rPr>
          <w:rFonts w:ascii="Tahoma" w:hAnsi="Tahoma" w:cs="Tahoma"/>
          <w:color w:val="F26200"/>
        </w:rPr>
        <w:t xml:space="preserve"> </w:t>
      </w:r>
      <w:r w:rsidRPr="00416070">
        <w:rPr>
          <w:rFonts w:ascii="Tahoma" w:hAnsi="Tahoma" w:cs="Tahoma"/>
          <w:color w:val="F26200"/>
          <w:sz w:val="22"/>
        </w:rPr>
        <w:t>Forefront Identity Manager 2010 – Windows Live Edition</w:t>
      </w:r>
      <w:bookmarkEnd w:id="1269"/>
      <w:bookmarkEnd w:id="1270"/>
      <w:bookmarkEnd w:id="1271"/>
    </w:p>
    <w:p w:rsidR="005427B6" w:rsidRPr="00416070" w:rsidRDefault="005427B6" w:rsidP="005427B6"/>
    <w:p w:rsidR="005D346C" w:rsidRPr="00416070" w:rsidRDefault="005D346C" w:rsidP="005427B6">
      <w:pPr>
        <w:spacing w:after="60"/>
        <w:ind w:left="720"/>
      </w:pPr>
      <w:r w:rsidRPr="00416070">
        <w:rPr>
          <w:rFonts w:cs="Tahoma"/>
          <w:b/>
          <w:color w:val="000000"/>
          <w:szCs w:val="18"/>
        </w:rPr>
        <w:t>Versão</w:t>
      </w:r>
    </w:p>
    <w:p w:rsidR="005D346C" w:rsidRPr="00416070" w:rsidRDefault="005D346C" w:rsidP="00E62BC4">
      <w:pPr>
        <w:ind w:left="720"/>
      </w:pPr>
      <w:r w:rsidRPr="00416070">
        <w:rPr>
          <w:color w:val="000000"/>
        </w:rPr>
        <w:t>O Forefront Identity Manager 2010 – Windows Live Edition é a próxima versão do Identity Lifecycle Manager 2007 – Windows Live Edition</w:t>
      </w:r>
    </w:p>
    <w:p w:rsidR="00273685" w:rsidRPr="00416070" w:rsidRDefault="00273685" w:rsidP="00273685">
      <w:pPr>
        <w:pStyle w:val="Heading3"/>
        <w:ind w:left="270" w:hanging="270"/>
      </w:pPr>
      <w:bookmarkStart w:id="1273" w:name="_54_Forefront_Protection"/>
      <w:bookmarkStart w:id="1274" w:name="_55_Forefront_Protection"/>
      <w:bookmarkStart w:id="1275" w:name="_56_Forefront_Protection"/>
      <w:bookmarkStart w:id="1276" w:name="_Toc336338318"/>
      <w:bookmarkStart w:id="1277" w:name="_Toc352234382"/>
      <w:bookmarkStart w:id="1278" w:name="Srv_44ForefrontSecforExcSharep"/>
      <w:bookmarkStart w:id="1279" w:name="Srv_45ForefrontSecforExcSharep"/>
      <w:bookmarkStart w:id="1280" w:name="Srv_48ForefrontProtectionSuite"/>
      <w:bookmarkEnd w:id="1260"/>
      <w:bookmarkEnd w:id="1261"/>
      <w:bookmarkEnd w:id="1272"/>
      <w:bookmarkEnd w:id="1273"/>
      <w:bookmarkEnd w:id="1274"/>
      <w:bookmarkEnd w:id="1275"/>
      <w:r w:rsidRPr="00416070">
        <w:rPr>
          <w:rFonts w:ascii="Tahoma" w:hAnsi="Tahoma"/>
          <w:caps/>
          <w:color w:val="F66400"/>
          <w:sz w:val="22"/>
          <w:vertAlign w:val="superscript"/>
        </w:rPr>
        <w:t>56</w:t>
      </w:r>
      <w:r w:rsidRPr="00416070">
        <w:rPr>
          <w:rFonts w:ascii="Tahoma" w:hAnsi="Tahoma"/>
          <w:color w:val="F66400"/>
          <w:sz w:val="22"/>
        </w:rPr>
        <w:t xml:space="preserve"> Forefront Protection 2010 para Exchange Server (SL de Usuário e Dispositivo)</w:t>
      </w:r>
      <w:bookmarkEnd w:id="1276"/>
      <w:r w:rsidRPr="00416070">
        <w:rPr>
          <w:rFonts w:ascii="Tahoma" w:hAnsi="Tahoma"/>
          <w:color w:val="F66400"/>
          <w:sz w:val="22"/>
        </w:rPr>
        <w:t>, Forefront Protection 2010 para SharePoint (SL de Usuário e Dispositivo) e Forefront Protection 2010 para Sites de Internet (SL Complementar)</w:t>
      </w:r>
      <w:bookmarkEnd w:id="1277"/>
    </w:p>
    <w:bookmarkEnd w:id="1278"/>
    <w:bookmarkEnd w:id="1279"/>
    <w:p w:rsidR="00273685" w:rsidRPr="004D27F8" w:rsidRDefault="00273685" w:rsidP="00273685">
      <w:pPr>
        <w:ind w:left="720"/>
        <w:rPr>
          <w:sz w:val="16"/>
          <w:szCs w:val="16"/>
        </w:rPr>
      </w:pPr>
    </w:p>
    <w:p w:rsidR="00273685" w:rsidRPr="006301EB" w:rsidRDefault="00273685" w:rsidP="00273685">
      <w:pPr>
        <w:ind w:left="720"/>
        <w:rPr>
          <w:lang w:val="pt-BR"/>
        </w:rPr>
      </w:pPr>
      <w:r w:rsidRPr="006301EB">
        <w:rPr>
          <w:rFonts w:cs="Tahoma"/>
          <w:bCs/>
          <w:color w:val="000000"/>
          <w:szCs w:val="18"/>
          <w:lang w:val="pt-BR"/>
        </w:rPr>
        <w:t>Forefront Protection 2010 para SharePoint, Forefront Protection 2010 para Exchange Server e Forefront Protection 2010 para Sites de Internet não estarão mais disponíveis a partir de 1</w:t>
      </w:r>
      <w:r w:rsidRPr="006301EB">
        <w:rPr>
          <w:rFonts w:cs="Tahoma"/>
          <w:bCs/>
          <w:color w:val="000000"/>
          <w:szCs w:val="18"/>
          <w:vertAlign w:val="superscript"/>
          <w:lang w:val="pt-BR"/>
        </w:rPr>
        <w:t>º</w:t>
      </w:r>
      <w:r w:rsidRPr="006301EB">
        <w:rPr>
          <w:rFonts w:cs="Tahoma"/>
          <w:bCs/>
          <w:color w:val="000000"/>
          <w:szCs w:val="18"/>
          <w:lang w:val="pt-BR"/>
        </w:rPr>
        <w:t xml:space="preserve"> de dezembro de 2012. Os</w:t>
      </w:r>
      <w:r w:rsidR="00397ADC" w:rsidRPr="006301EB">
        <w:rPr>
          <w:rFonts w:cs="Tahoma"/>
          <w:bCs/>
          <w:color w:val="000000"/>
          <w:szCs w:val="20"/>
          <w:lang w:val="pt-BR"/>
        </w:rPr>
        <w:t> </w:t>
      </w:r>
      <w:r w:rsidRPr="006301EB">
        <w:rPr>
          <w:rFonts w:cs="Tahoma"/>
          <w:bCs/>
          <w:color w:val="000000"/>
          <w:szCs w:val="18"/>
          <w:lang w:val="pt-BR"/>
        </w:rPr>
        <w:t xml:space="preserve">clientes existentes com assinaturas ativas para os serviços online a partir de 30 de novembro de 2012 poderão continuar a usar os serviços online até 31 de dezembro de 2015. </w:t>
      </w:r>
      <w:r w:rsidRPr="006301EB">
        <w:rPr>
          <w:lang w:val="pt-BR"/>
        </w:rPr>
        <w:t>Os clientes existentes também poderão adicionar novos usuários, conforme necessário, sem qualquer exigência de pedidos de Licenças adicionais de Assinaturas do Usuário.</w:t>
      </w:r>
      <w:r w:rsidR="00FB5496" w:rsidRPr="006301EB">
        <w:rPr>
          <w:lang w:val="pt-BR"/>
        </w:rPr>
        <w:t xml:space="preserve"> </w:t>
      </w:r>
      <w:r w:rsidRPr="006301EB">
        <w:rPr>
          <w:rFonts w:cs="Tahoma"/>
          <w:bCs/>
          <w:color w:val="000000"/>
          <w:szCs w:val="18"/>
          <w:lang w:val="pt-BR"/>
        </w:rPr>
        <w:t>O uso contínuo dos serviços online permanece sujeito aos termos e às</w:t>
      </w:r>
      <w:r w:rsidR="00397ADC" w:rsidRPr="006301EB">
        <w:rPr>
          <w:rFonts w:cs="Tahoma"/>
          <w:bCs/>
          <w:color w:val="000000"/>
          <w:szCs w:val="20"/>
          <w:lang w:val="pt-BR"/>
        </w:rPr>
        <w:t> </w:t>
      </w:r>
      <w:r w:rsidRPr="006301EB">
        <w:rPr>
          <w:rFonts w:cs="Tahoma"/>
          <w:bCs/>
          <w:color w:val="000000"/>
          <w:szCs w:val="18"/>
          <w:lang w:val="pt-BR"/>
        </w:rPr>
        <w:t>condições do Contrato de Licenciamento por Volume do cliente, dos direitos de uso do produto do serviço</w:t>
      </w:r>
      <w:r w:rsidR="00397ADC" w:rsidRPr="006301EB">
        <w:rPr>
          <w:rFonts w:cs="Tahoma"/>
          <w:bCs/>
          <w:color w:val="000000"/>
          <w:szCs w:val="20"/>
          <w:lang w:val="pt-BR"/>
        </w:rPr>
        <w:t> </w:t>
      </w:r>
      <w:r w:rsidRPr="006301EB">
        <w:rPr>
          <w:rFonts w:cs="Tahoma"/>
          <w:bCs/>
          <w:color w:val="000000"/>
          <w:szCs w:val="18"/>
          <w:lang w:val="pt-BR"/>
        </w:rPr>
        <w:t>online e d</w:t>
      </w:r>
      <w:r w:rsidR="009D57D2" w:rsidRPr="006301EB">
        <w:rPr>
          <w:rFonts w:cs="Tahoma"/>
          <w:bCs/>
          <w:color w:val="000000"/>
          <w:szCs w:val="18"/>
          <w:lang w:val="pt-BR"/>
        </w:rPr>
        <w:t>os termos e das condições aqui.</w:t>
      </w:r>
    </w:p>
    <w:p w:rsidR="00273685" w:rsidRPr="006301EB" w:rsidRDefault="00273685" w:rsidP="00273685">
      <w:pPr>
        <w:ind w:left="720"/>
        <w:rPr>
          <w:sz w:val="16"/>
          <w:szCs w:val="16"/>
          <w:lang w:val="pt-BR"/>
        </w:rPr>
      </w:pPr>
    </w:p>
    <w:p w:rsidR="00273685" w:rsidRPr="006301EB" w:rsidRDefault="00273685" w:rsidP="00221A57">
      <w:pPr>
        <w:spacing w:after="60"/>
        <w:ind w:left="720"/>
        <w:rPr>
          <w:lang w:val="pt-BR"/>
        </w:rPr>
      </w:pPr>
      <w:r w:rsidRPr="006301EB">
        <w:rPr>
          <w:rFonts w:cs="Tahoma"/>
          <w:b/>
          <w:szCs w:val="20"/>
          <w:lang w:val="pt-BR"/>
        </w:rPr>
        <w:t>Direito de migração para o Forefront Protection 2010 for Exchange Server</w:t>
      </w:r>
    </w:p>
    <w:p w:rsidR="00273685" w:rsidRPr="006301EB" w:rsidRDefault="00273685" w:rsidP="00221A57">
      <w:pPr>
        <w:ind w:left="720"/>
        <w:rPr>
          <w:lang w:val="pt-BR"/>
        </w:rPr>
      </w:pPr>
      <w:r w:rsidRPr="006301EB">
        <w:rPr>
          <w:rFonts w:cs="Tahoma"/>
          <w:color w:val="000000"/>
          <w:szCs w:val="20"/>
          <w:lang w:val="pt-BR"/>
        </w:rPr>
        <w:t>Os clientes de licenças por volume que adquiriram uma licença para o Forefront Protection 2010 for Exchange Server estão qualificados para usar o Antigen para Exchange, o Antigen para Gateways SMTP e</w:t>
      </w:r>
      <w:r w:rsidR="004A1891" w:rsidRPr="006301EB">
        <w:rPr>
          <w:rFonts w:cs="Tahoma"/>
          <w:color w:val="000000"/>
          <w:szCs w:val="20"/>
          <w:lang w:val="pt-BR"/>
        </w:rPr>
        <w:t> </w:t>
      </w:r>
      <w:r w:rsidRPr="006301EB">
        <w:rPr>
          <w:rFonts w:cs="Tahoma"/>
          <w:color w:val="000000"/>
          <w:szCs w:val="20"/>
          <w:lang w:val="pt-BR"/>
        </w:rPr>
        <w:t>o</w:t>
      </w:r>
      <w:r w:rsidR="00397ADC" w:rsidRPr="006301EB">
        <w:rPr>
          <w:rFonts w:cs="Tahoma"/>
          <w:bCs/>
          <w:color w:val="000000"/>
          <w:szCs w:val="20"/>
          <w:lang w:val="pt-BR"/>
        </w:rPr>
        <w:t> </w:t>
      </w:r>
      <w:r w:rsidRPr="006301EB">
        <w:rPr>
          <w:rFonts w:cs="Tahoma"/>
          <w:color w:val="000000"/>
          <w:szCs w:val="20"/>
          <w:lang w:val="pt-BR"/>
        </w:rPr>
        <w:t>Antigen Spam Manager no lugar do Forefront Protection 2010 for Exchange Server.</w:t>
      </w:r>
      <w:r w:rsidR="00FB5496" w:rsidRPr="006301EB">
        <w:rPr>
          <w:rFonts w:cs="Tahoma"/>
          <w:color w:val="000000"/>
          <w:szCs w:val="20"/>
          <w:lang w:val="pt-BR"/>
        </w:rPr>
        <w:t xml:space="preserve"> </w:t>
      </w:r>
      <w:r w:rsidRPr="006301EB">
        <w:rPr>
          <w:rFonts w:cs="Tahoma"/>
          <w:color w:val="000000"/>
          <w:szCs w:val="20"/>
          <w:lang w:val="pt-BR"/>
        </w:rPr>
        <w:t>O uso do Antigen para</w:t>
      </w:r>
      <w:r w:rsidR="00397ADC" w:rsidRPr="006301EB">
        <w:rPr>
          <w:rFonts w:cs="Tahoma"/>
          <w:bCs/>
          <w:color w:val="000000"/>
          <w:szCs w:val="20"/>
          <w:lang w:val="pt-BR"/>
        </w:rPr>
        <w:t> </w:t>
      </w:r>
      <w:r w:rsidRPr="006301EB">
        <w:rPr>
          <w:rFonts w:cs="Tahoma"/>
          <w:color w:val="000000"/>
          <w:szCs w:val="20"/>
          <w:lang w:val="pt-BR"/>
        </w:rPr>
        <w:t>Exchange, do Antigen para Gateways SMTP e do Antigen Spam Manager está sujeito ao respectivo contrato de licença e aos direitos de uso do Forefront Protection 2010 for Exchange Server.* Os direitos dos</w:t>
      </w:r>
      <w:r w:rsidR="00397ADC" w:rsidRPr="006301EB">
        <w:rPr>
          <w:rFonts w:cs="Tahoma"/>
          <w:bCs/>
          <w:color w:val="000000"/>
          <w:szCs w:val="20"/>
          <w:lang w:val="pt-BR"/>
        </w:rPr>
        <w:t> </w:t>
      </w:r>
      <w:r w:rsidRPr="006301EB">
        <w:rPr>
          <w:rFonts w:cs="Tahoma"/>
          <w:color w:val="000000"/>
          <w:szCs w:val="20"/>
          <w:lang w:val="pt-BR"/>
        </w:rPr>
        <w:t>clientes de usar o Antigen para Exchange, o Antigen para Gateways SMTP e o Antigen Spam Manager expirarão quando os direitos sob a licença do Forefront Protection 2010 for Exchange Server expirarem.</w:t>
      </w:r>
    </w:p>
    <w:p w:rsidR="00273685" w:rsidRPr="006301EB" w:rsidRDefault="00273685" w:rsidP="00221A57">
      <w:pPr>
        <w:ind w:left="720"/>
        <w:rPr>
          <w:sz w:val="16"/>
          <w:szCs w:val="16"/>
          <w:lang w:val="pt-BR"/>
        </w:rPr>
      </w:pPr>
    </w:p>
    <w:p w:rsidR="00273685" w:rsidRPr="006301EB" w:rsidRDefault="00273685" w:rsidP="00221A57">
      <w:pPr>
        <w:ind w:left="720"/>
        <w:rPr>
          <w:lang w:val="pt-BR"/>
        </w:rPr>
      </w:pPr>
      <w:r w:rsidRPr="006301EB">
        <w:rPr>
          <w:rFonts w:cs="Tahoma"/>
          <w:color w:val="000000"/>
          <w:szCs w:val="20"/>
          <w:lang w:val="pt-BR"/>
        </w:rPr>
        <w:t>*O direito de usar o Antigen no lugar do Forefront Security não se aplica aos clientes que inicialmente adquirirem licenças para um ou mais dos serviços Antigen e migrarem para o Forefront Protection 2010 for</w:t>
      </w:r>
      <w:r w:rsidR="00397ADC" w:rsidRPr="006301EB">
        <w:rPr>
          <w:rFonts w:cs="Tahoma"/>
          <w:bCs/>
          <w:color w:val="000000"/>
          <w:szCs w:val="20"/>
          <w:lang w:val="pt-BR"/>
        </w:rPr>
        <w:t> </w:t>
      </w:r>
      <w:r w:rsidRPr="006301EB">
        <w:rPr>
          <w:rFonts w:cs="Tahoma"/>
          <w:color w:val="000000"/>
          <w:szCs w:val="20"/>
          <w:lang w:val="pt-BR"/>
        </w:rPr>
        <w:t>Exchange Server.</w:t>
      </w:r>
      <w:r w:rsidR="00FB5496" w:rsidRPr="006301EB">
        <w:rPr>
          <w:rFonts w:cs="Tahoma"/>
          <w:color w:val="000000"/>
          <w:szCs w:val="20"/>
          <w:lang w:val="pt-BR"/>
        </w:rPr>
        <w:t xml:space="preserve"> </w:t>
      </w:r>
      <w:r w:rsidRPr="006301EB">
        <w:rPr>
          <w:rFonts w:cs="Tahoma"/>
          <w:color w:val="000000"/>
          <w:szCs w:val="20"/>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p>
    <w:p w:rsidR="00973A93" w:rsidRPr="006301EB" w:rsidRDefault="00973A93">
      <w:pPr>
        <w:rPr>
          <w:sz w:val="16"/>
          <w:szCs w:val="16"/>
          <w:lang w:val="pt-BR"/>
        </w:rPr>
      </w:pPr>
    </w:p>
    <w:p w:rsidR="00273685" w:rsidRPr="006301EB" w:rsidRDefault="00273685" w:rsidP="00221A57">
      <w:pPr>
        <w:spacing w:after="60"/>
        <w:ind w:left="720"/>
        <w:rPr>
          <w:lang w:val="pt-BR"/>
        </w:rPr>
      </w:pPr>
      <w:r w:rsidRPr="006301EB">
        <w:rPr>
          <w:rFonts w:cs="Tahoma"/>
          <w:b/>
          <w:szCs w:val="20"/>
          <w:lang w:val="pt-BR"/>
        </w:rPr>
        <w:t>Direito de downgrade do Forefront Security for SharePoint</w:t>
      </w:r>
    </w:p>
    <w:p w:rsidR="00273685" w:rsidRPr="006301EB" w:rsidRDefault="00273685" w:rsidP="009D57D2">
      <w:pPr>
        <w:ind w:left="720"/>
        <w:rPr>
          <w:lang w:val="pt-BR"/>
        </w:rPr>
      </w:pPr>
      <w:r w:rsidRPr="006301EB">
        <w:rPr>
          <w:rFonts w:cs="Tahoma"/>
          <w:szCs w:val="20"/>
          <w:lang w:val="pt-BR"/>
        </w:rPr>
        <w:t>Os clientes de licenças por volume que adquiriram uma licença para o Forefront Protection 2010 for SharePoint estão qualificados para fazer downgrade para e usar o Antigen para SharePoint no lugar de suas</w:t>
      </w:r>
      <w:r w:rsidR="00397ADC" w:rsidRPr="006301EB">
        <w:rPr>
          <w:rFonts w:cs="Tahoma"/>
          <w:bCs/>
          <w:color w:val="000000"/>
          <w:szCs w:val="20"/>
          <w:lang w:val="pt-BR"/>
        </w:rPr>
        <w:t> </w:t>
      </w:r>
      <w:r w:rsidRPr="006301EB">
        <w:rPr>
          <w:rFonts w:cs="Tahoma"/>
          <w:szCs w:val="20"/>
          <w:lang w:val="pt-BR"/>
        </w:rPr>
        <w:t>licenças do Forefront Protection 2010 for SharePoint.</w:t>
      </w:r>
      <w:r w:rsidR="00FB5496" w:rsidRPr="006301EB">
        <w:rPr>
          <w:rFonts w:cs="Tahoma"/>
          <w:szCs w:val="20"/>
          <w:lang w:val="pt-BR"/>
        </w:rPr>
        <w:t xml:space="preserve"> </w:t>
      </w:r>
      <w:r w:rsidRPr="006301EB">
        <w:rPr>
          <w:rFonts w:cs="Tahoma"/>
          <w:szCs w:val="20"/>
          <w:lang w:val="pt-BR"/>
        </w:rPr>
        <w:t>O uso do Antigen para SharePoint está sujeito ao</w:t>
      </w:r>
      <w:r w:rsidR="00397ADC" w:rsidRPr="006301EB">
        <w:rPr>
          <w:rFonts w:cs="Tahoma"/>
          <w:bCs/>
          <w:color w:val="000000"/>
          <w:szCs w:val="20"/>
          <w:lang w:val="pt-BR"/>
        </w:rPr>
        <w:t> </w:t>
      </w:r>
      <w:r w:rsidRPr="006301EB">
        <w:rPr>
          <w:rFonts w:cs="Tahoma"/>
          <w:szCs w:val="20"/>
          <w:lang w:val="pt-BR"/>
        </w:rPr>
        <w:t>respectivo contrato de licença e aos direitos de uso do Forefront Protection 2010 for SharePoint. Os</w:t>
      </w:r>
      <w:r w:rsidR="00397ADC" w:rsidRPr="006301EB">
        <w:rPr>
          <w:rFonts w:cs="Tahoma"/>
          <w:bCs/>
          <w:color w:val="000000"/>
          <w:szCs w:val="20"/>
          <w:lang w:val="pt-BR"/>
        </w:rPr>
        <w:t> </w:t>
      </w:r>
      <w:r w:rsidRPr="006301EB">
        <w:rPr>
          <w:rFonts w:cs="Tahoma"/>
          <w:szCs w:val="20"/>
          <w:lang w:val="pt-BR"/>
        </w:rPr>
        <w:t>direitos dos clientes de usar o Antigen para SharePoint expirarão quando os direitos sob a licença do</w:t>
      </w:r>
      <w:r w:rsidR="009D57D2" w:rsidRPr="006301EB">
        <w:rPr>
          <w:rFonts w:cs="Tahoma"/>
          <w:szCs w:val="20"/>
          <w:lang w:val="pt-BR"/>
        </w:rPr>
        <w:t> </w:t>
      </w:r>
      <w:r w:rsidRPr="006301EB">
        <w:rPr>
          <w:rFonts w:cs="Tahoma"/>
          <w:szCs w:val="20"/>
          <w:lang w:val="pt-BR"/>
        </w:rPr>
        <w:t>Forefront Protection 2010 for SharePoint expirarem.</w:t>
      </w:r>
    </w:p>
    <w:p w:rsidR="00273685" w:rsidRPr="006301EB" w:rsidRDefault="00273685" w:rsidP="00221A57">
      <w:pPr>
        <w:ind w:left="720"/>
        <w:rPr>
          <w:sz w:val="16"/>
          <w:szCs w:val="16"/>
          <w:lang w:val="pt-BR"/>
        </w:rPr>
      </w:pPr>
    </w:p>
    <w:p w:rsidR="00273685" w:rsidRPr="006301EB" w:rsidRDefault="00273685" w:rsidP="00221A57">
      <w:pPr>
        <w:ind w:left="720"/>
        <w:rPr>
          <w:lang w:val="pt-BR"/>
        </w:rPr>
      </w:pPr>
      <w:r w:rsidRPr="006301EB">
        <w:rPr>
          <w:rFonts w:cs="Tahoma"/>
          <w:bCs/>
          <w:color w:val="000000"/>
          <w:szCs w:val="20"/>
          <w:lang w:val="pt-BR"/>
        </w:rPr>
        <w:t>Todos os usuários (ou dispositivos) que acessarem um servidor protegido precisarão de SLs de Usuário (ou</w:t>
      </w:r>
      <w:r w:rsidR="00397ADC" w:rsidRPr="006301EB">
        <w:rPr>
          <w:rFonts w:cs="Tahoma"/>
          <w:bCs/>
          <w:color w:val="000000"/>
          <w:szCs w:val="20"/>
          <w:lang w:val="pt-BR"/>
        </w:rPr>
        <w:t> </w:t>
      </w:r>
      <w:r w:rsidRPr="006301EB">
        <w:rPr>
          <w:rFonts w:cs="Tahoma"/>
          <w:bCs/>
          <w:color w:val="000000"/>
          <w:szCs w:val="20"/>
          <w:lang w:val="pt-BR"/>
        </w:rPr>
        <w:t>Dispositivo), a menos que estejam licenciados por meio do External Connector do Forefront for Exchange ou de SLs Complementares do Forefront Security para SharePoint para Internet Sites.</w:t>
      </w:r>
    </w:p>
    <w:p w:rsidR="00273685" w:rsidRPr="004D27F8" w:rsidRDefault="00273685" w:rsidP="00221A57">
      <w:pPr>
        <w:pStyle w:val="EndnoteText"/>
        <w:ind w:left="720"/>
        <w:rPr>
          <w:rFonts w:ascii="Tahoma" w:hAnsi="Tahoma" w:cs="Tahoma"/>
          <w:sz w:val="16"/>
          <w:szCs w:val="16"/>
        </w:rPr>
      </w:pPr>
    </w:p>
    <w:p w:rsidR="00023FE7" w:rsidRPr="00397ADC" w:rsidRDefault="00273685" w:rsidP="00221A57">
      <w:pPr>
        <w:pStyle w:val="EndnoteText"/>
        <w:ind w:left="720"/>
        <w:rPr>
          <w:rFonts w:ascii="Tahoma" w:hAnsi="Tahoma" w:cs="Tahoma"/>
          <w:sz w:val="18"/>
          <w:szCs w:val="18"/>
        </w:rPr>
      </w:pPr>
      <w:r w:rsidRPr="00397ADC">
        <w:rPr>
          <w:rFonts w:ascii="Tahoma" w:hAnsi="Tahoma" w:cs="Tahoma"/>
          <w:bCs/>
          <w:color w:val="000000"/>
          <w:sz w:val="18"/>
          <w:szCs w:val="18"/>
        </w:rPr>
        <w:t>Consulte a</w:t>
      </w:r>
      <w:hyperlink w:anchor="_Seção_5_–" w:history="1">
        <w:r w:rsidRPr="00397ADC">
          <w:rPr>
            <w:rFonts w:ascii="Tahoma" w:hAnsi="Tahoma" w:cs="Tahoma"/>
            <w:sz w:val="18"/>
            <w:szCs w:val="18"/>
          </w:rPr>
          <w:t xml:space="preserve"> </w:t>
        </w:r>
        <w:r w:rsidRPr="00397ADC">
          <w:rPr>
            <w:rStyle w:val="Hyperlink"/>
            <w:rFonts w:ascii="Tahoma" w:hAnsi="Tahoma" w:cs="Tahoma"/>
            <w:sz w:val="18"/>
            <w:szCs w:val="18"/>
          </w:rPr>
          <w:t>Seção 5</w:t>
        </w:r>
      </w:hyperlink>
      <w:r w:rsidRPr="00397ADC">
        <w:rPr>
          <w:rFonts w:ascii="Tahoma" w:hAnsi="Tahoma" w:cs="Tahoma"/>
          <w:bCs/>
          <w:color w:val="000000"/>
          <w:sz w:val="18"/>
          <w:szCs w:val="18"/>
        </w:rPr>
        <w:t xml:space="preserve"> para obter informações sobre os termos de pagamento e preços dos serviços online.</w:t>
      </w:r>
    </w:p>
    <w:p w:rsidR="00273685" w:rsidRPr="004D27F8" w:rsidRDefault="00273685" w:rsidP="00273685">
      <w:pPr>
        <w:pStyle w:val="EndnoteText"/>
        <w:rPr>
          <w:sz w:val="16"/>
          <w:szCs w:val="16"/>
        </w:rPr>
      </w:pPr>
    </w:p>
    <w:p w:rsidR="00586FCE" w:rsidRPr="004D27F8" w:rsidRDefault="00586FCE" w:rsidP="00273685">
      <w:pPr>
        <w:pStyle w:val="EndnoteText"/>
        <w:rPr>
          <w:sz w:val="16"/>
          <w:szCs w:val="16"/>
        </w:rPr>
      </w:pPr>
    </w:p>
    <w:p w:rsidR="00796FF5" w:rsidRPr="00416070" w:rsidRDefault="00AD4C5F" w:rsidP="00796FF5">
      <w:pPr>
        <w:pStyle w:val="Heading3"/>
      </w:pPr>
      <w:bookmarkStart w:id="1281" w:name="_57_Forefront_Protection"/>
      <w:bookmarkStart w:id="1282" w:name="_Toc336338319"/>
      <w:bookmarkStart w:id="1283" w:name="_Toc352234383"/>
      <w:bookmarkStart w:id="1284" w:name="Srv_45ForefrontSecfoOffComm"/>
      <w:bookmarkStart w:id="1285" w:name="Srv_46ForefrontSecfoOffComm"/>
      <w:bookmarkEnd w:id="1281"/>
      <w:r w:rsidRPr="00416070">
        <w:rPr>
          <w:rFonts w:ascii="Tahoma" w:hAnsi="Tahoma"/>
          <w:caps/>
          <w:color w:val="F66400"/>
          <w:sz w:val="22"/>
          <w:vertAlign w:val="superscript"/>
        </w:rPr>
        <w:t>57</w:t>
      </w:r>
      <w:r w:rsidRPr="00416070">
        <w:rPr>
          <w:rFonts w:ascii="Tahoma" w:hAnsi="Tahoma"/>
          <w:color w:val="F66400"/>
          <w:sz w:val="22"/>
        </w:rPr>
        <w:t xml:space="preserve"> Forefront Protection Suite (Dispositivo e Usuário)</w:t>
      </w:r>
      <w:bookmarkEnd w:id="1282"/>
      <w:bookmarkEnd w:id="1283"/>
    </w:p>
    <w:bookmarkEnd w:id="1280"/>
    <w:p w:rsidR="00796FF5" w:rsidRPr="006301EB" w:rsidRDefault="00796FF5" w:rsidP="00796FF5">
      <w:pPr>
        <w:rPr>
          <w:sz w:val="16"/>
          <w:szCs w:val="16"/>
          <w:lang w:val="pt-BR"/>
        </w:rPr>
      </w:pPr>
    </w:p>
    <w:p w:rsidR="009115D6" w:rsidRPr="006301EB" w:rsidRDefault="009115D6" w:rsidP="00796FF5">
      <w:pPr>
        <w:ind w:left="720"/>
        <w:rPr>
          <w:lang w:val="pt-BR"/>
        </w:rPr>
      </w:pPr>
      <w:r w:rsidRPr="006301EB">
        <w:rPr>
          <w:rFonts w:cs="Tahoma"/>
          <w:bCs/>
          <w:color w:val="000000"/>
          <w:szCs w:val="18"/>
          <w:lang w:val="pt-BR"/>
        </w:rPr>
        <w:t>O Forefront Protection Suite não estará mais disponível a partir de 1</w:t>
      </w:r>
      <w:r w:rsidRPr="006301EB">
        <w:rPr>
          <w:rFonts w:cs="Tahoma"/>
          <w:bCs/>
          <w:color w:val="000000"/>
          <w:szCs w:val="18"/>
          <w:vertAlign w:val="superscript"/>
          <w:lang w:val="pt-BR"/>
        </w:rPr>
        <w:t>º</w:t>
      </w:r>
      <w:r w:rsidRPr="006301EB">
        <w:rPr>
          <w:rFonts w:cs="Tahoma"/>
          <w:bCs/>
          <w:color w:val="000000"/>
          <w:szCs w:val="18"/>
          <w:lang w:val="pt-BR"/>
        </w:rPr>
        <w:t xml:space="preserve"> de dezembro de 2012. Os Clientes com assinaturas ativas do serviço online a partir de 30 de novembro de 2012 podem continuar usando os serviços de componentes até o término de sua assinatura.</w:t>
      </w:r>
      <w:r w:rsidR="00FB5496" w:rsidRPr="006301EB">
        <w:rPr>
          <w:rFonts w:cs="Tahoma"/>
          <w:bCs/>
          <w:color w:val="000000"/>
          <w:szCs w:val="18"/>
          <w:lang w:val="pt-BR"/>
        </w:rPr>
        <w:t xml:space="preserve"> </w:t>
      </w:r>
      <w:r w:rsidRPr="006301EB">
        <w:rPr>
          <w:rFonts w:cs="Tahoma"/>
          <w:bCs/>
          <w:color w:val="000000"/>
          <w:szCs w:val="18"/>
          <w:lang w:val="pt-BR"/>
        </w:rPr>
        <w:t xml:space="preserve">Esses clientes também podem continuar a usar os componentes do </w:t>
      </w:r>
      <w:r w:rsidRPr="006301EB">
        <w:rPr>
          <w:rFonts w:cs="Tahoma"/>
          <w:color w:val="000000"/>
          <w:szCs w:val="20"/>
          <w:lang w:val="pt-BR"/>
        </w:rPr>
        <w:t xml:space="preserve">Forefront Security para Office Communications Server, Forefront Protection 2010 para Exchange Server, Forefront Threat Management Gateway Web Protection Service e Forefront Protection 2010 para SharePoint Server </w:t>
      </w:r>
      <w:r w:rsidRPr="006301EB">
        <w:rPr>
          <w:rFonts w:cs="Tahoma"/>
          <w:bCs/>
          <w:color w:val="000000"/>
          <w:szCs w:val="18"/>
          <w:lang w:val="pt-BR"/>
        </w:rPr>
        <w:t xml:space="preserve">do pacote até 31 de dezembro de 2015. </w:t>
      </w:r>
      <w:r w:rsidRPr="006301EB">
        <w:rPr>
          <w:lang w:val="pt-BR"/>
        </w:rPr>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6301EB">
        <w:rPr>
          <w:rFonts w:cs="Tahoma"/>
          <w:bCs/>
          <w:szCs w:val="18"/>
          <w:lang w:val="pt-BR"/>
        </w:rPr>
        <w:t xml:space="preserve"> </w:t>
      </w:r>
      <w:r w:rsidRPr="006301EB">
        <w:rPr>
          <w:rFonts w:cs="Tahoma"/>
          <w:bCs/>
          <w:color w:val="000000"/>
          <w:szCs w:val="18"/>
          <w:lang w:val="pt-BR"/>
        </w:rPr>
        <w:t>O uso contínuo dos serviços online dos componentes permanece sujeito aos termos e às condições do Contrato de Licenciamento por Volume do cliente, dos direitos de uso do produto dos serviços online e dos termos e das condições aqui.</w:t>
      </w:r>
    </w:p>
    <w:p w:rsidR="009115D6" w:rsidRPr="006301EB" w:rsidRDefault="009115D6" w:rsidP="00796FF5">
      <w:pPr>
        <w:ind w:left="720"/>
        <w:rPr>
          <w:sz w:val="16"/>
          <w:szCs w:val="16"/>
          <w:lang w:val="pt-BR"/>
        </w:rPr>
      </w:pPr>
    </w:p>
    <w:p w:rsidR="00796FF5" w:rsidRPr="006301EB" w:rsidRDefault="00796FF5" w:rsidP="00796FF5">
      <w:pPr>
        <w:ind w:left="720"/>
        <w:rPr>
          <w:lang w:val="pt-BR"/>
        </w:rPr>
      </w:pPr>
      <w:r w:rsidRPr="006301EB">
        <w:rPr>
          <w:rFonts w:cs="Tahoma"/>
          <w:color w:val="000000"/>
          <w:szCs w:val="20"/>
          <w:lang w:val="pt-BR"/>
        </w:rPr>
        <w:t>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w:t>
      </w:r>
    </w:p>
    <w:p w:rsidR="00796FF5" w:rsidRPr="006301EB" w:rsidRDefault="00796FF5" w:rsidP="00796FF5">
      <w:pPr>
        <w:ind w:left="720"/>
        <w:rPr>
          <w:lang w:val="pt-BR"/>
        </w:rPr>
      </w:pPr>
    </w:p>
    <w:p w:rsidR="006E5A58" w:rsidRPr="006301EB" w:rsidRDefault="00796FF5" w:rsidP="00221A57">
      <w:pPr>
        <w:ind w:left="720"/>
        <w:rPr>
          <w:lang w:val="pt-BR"/>
        </w:rPr>
      </w:pPr>
      <w:r w:rsidRPr="006301EB">
        <w:rPr>
          <w:rFonts w:cs="Tahoma"/>
          <w:bCs/>
          <w:color w:val="000000"/>
          <w:szCs w:val="20"/>
          <w:lang w:val="pt-BR"/>
        </w:rPr>
        <w:t xml:space="preserve">Consulte a </w:t>
      </w:r>
      <w:r w:rsidRPr="006301EB">
        <w:rPr>
          <w:lang w:val="pt-BR"/>
        </w:rPr>
        <w:t>Seção 5</w:t>
      </w:r>
      <w:r w:rsidRPr="006301EB">
        <w:rPr>
          <w:rFonts w:cs="Tahoma"/>
          <w:bCs/>
          <w:color w:val="000000"/>
          <w:szCs w:val="20"/>
          <w:lang w:val="pt-BR"/>
        </w:rPr>
        <w:t xml:space="preserve"> para obter informações sobre os termos de pagamento e preços dos serviços online. </w:t>
      </w:r>
    </w:p>
    <w:p w:rsidR="00796FF5" w:rsidRPr="006301EB" w:rsidRDefault="00796FF5" w:rsidP="00221A57">
      <w:pPr>
        <w:rPr>
          <w:lang w:val="pt-BR"/>
        </w:rPr>
      </w:pPr>
    </w:p>
    <w:p w:rsidR="009C2B6B" w:rsidRPr="006301EB" w:rsidRDefault="009C2B6B" w:rsidP="00221A57">
      <w:pPr>
        <w:rPr>
          <w:lang w:val="pt-BR"/>
        </w:rPr>
      </w:pPr>
    </w:p>
    <w:p w:rsidR="00023FE7" w:rsidRPr="00416070" w:rsidRDefault="0099402E" w:rsidP="004D27F8">
      <w:pPr>
        <w:pStyle w:val="Heading3"/>
        <w:ind w:left="230" w:hanging="230"/>
      </w:pPr>
      <w:bookmarkStart w:id="1286" w:name="_58_Forefront_Security"/>
      <w:bookmarkStart w:id="1287" w:name="_Toc336338320"/>
      <w:bookmarkStart w:id="1288" w:name="_Toc352234384"/>
      <w:bookmarkStart w:id="1289" w:name="Srv_49ForefrontSecfoOffComm"/>
      <w:bookmarkEnd w:id="1286"/>
      <w:r w:rsidRPr="00416070">
        <w:rPr>
          <w:rFonts w:ascii="Tahoma" w:hAnsi="Tahoma"/>
          <w:caps/>
          <w:color w:val="F66400"/>
          <w:sz w:val="22"/>
          <w:vertAlign w:val="superscript"/>
        </w:rPr>
        <w:t>58</w:t>
      </w:r>
      <w:r w:rsidRPr="00615CB9">
        <w:rPr>
          <w:rFonts w:ascii="Tahoma" w:hAnsi="Tahoma"/>
          <w:caps/>
          <w:color w:val="F66400"/>
          <w:sz w:val="22"/>
        </w:rPr>
        <w:t xml:space="preserve"> </w:t>
      </w:r>
      <w:r w:rsidRPr="00416070">
        <w:rPr>
          <w:rFonts w:ascii="Tahoma" w:hAnsi="Tahoma"/>
          <w:color w:val="F66400"/>
          <w:sz w:val="22"/>
        </w:rPr>
        <w:t>Forefront Security para Office Communications Server (SL de Usuário e Dispositivo)</w:t>
      </w:r>
      <w:bookmarkEnd w:id="1287"/>
      <w:bookmarkEnd w:id="1288"/>
    </w:p>
    <w:bookmarkEnd w:id="1289"/>
    <w:p w:rsidR="00023FE7" w:rsidRPr="00416070" w:rsidRDefault="00023FE7">
      <w:pPr>
        <w:pStyle w:val="EndnoteText"/>
        <w:ind w:left="0"/>
      </w:pPr>
    </w:p>
    <w:bookmarkEnd w:id="1284"/>
    <w:bookmarkEnd w:id="1285"/>
    <w:p w:rsidR="009115D6" w:rsidRPr="006301EB" w:rsidRDefault="009115D6" w:rsidP="009115D6">
      <w:pPr>
        <w:ind w:left="720"/>
        <w:rPr>
          <w:lang w:val="pt-BR"/>
        </w:rPr>
      </w:pPr>
      <w:r w:rsidRPr="006301EB">
        <w:rPr>
          <w:rFonts w:cs="Tahoma"/>
          <w:bCs/>
          <w:color w:val="000000"/>
          <w:szCs w:val="18"/>
          <w:lang w:val="pt-BR"/>
        </w:rPr>
        <w:t xml:space="preserve">O Forefront Security para Office Communications Server não estará mais disponível a partir de </w:t>
      </w:r>
      <w:r w:rsidR="004A1891" w:rsidRPr="006301EB">
        <w:rPr>
          <w:rFonts w:cs="Tahoma"/>
          <w:bCs/>
          <w:color w:val="000000"/>
          <w:szCs w:val="18"/>
          <w:lang w:val="pt-BR"/>
        </w:rPr>
        <w:br/>
      </w:r>
      <w:r w:rsidRPr="006301EB">
        <w:rPr>
          <w:rFonts w:cs="Tahoma"/>
          <w:bCs/>
          <w:color w:val="000000"/>
          <w:szCs w:val="18"/>
          <w:lang w:val="pt-BR"/>
        </w:rPr>
        <w:t>1</w:t>
      </w:r>
      <w:r w:rsidRPr="006301EB">
        <w:rPr>
          <w:rFonts w:cs="Tahoma"/>
          <w:bCs/>
          <w:color w:val="000000"/>
          <w:szCs w:val="18"/>
          <w:vertAlign w:val="superscript"/>
          <w:lang w:val="pt-BR"/>
        </w:rPr>
        <w:t>º</w:t>
      </w:r>
      <w:r w:rsidRPr="006301EB">
        <w:rPr>
          <w:rFonts w:cs="Tahoma"/>
          <w:bCs/>
          <w:color w:val="000000"/>
          <w:szCs w:val="18"/>
          <w:lang w:val="pt-BR"/>
        </w:rPr>
        <w:t xml:space="preserve"> de dezembro de 2012. Os clientes com assinaturas ativas para o serviço online a partir de 30 de novembro de 2012 poderão continuar a usar o serviço online até 31 de dezembro de 2015. </w:t>
      </w:r>
      <w:r w:rsidRPr="006301EB">
        <w:rPr>
          <w:lang w:val="pt-BR"/>
        </w:rPr>
        <w:t>Os clientes existentes também poderão adicionar novos usuários, conforme necessário, sem qualquer exigência de pedidos de Licenças adicionais de Assinaturas do Usuário.</w:t>
      </w:r>
      <w:r w:rsidR="00FB5496" w:rsidRPr="006301EB">
        <w:rPr>
          <w:lang w:val="pt-BR"/>
        </w:rPr>
        <w:t xml:space="preserve"> </w:t>
      </w:r>
      <w:r w:rsidRPr="006301EB">
        <w:rPr>
          <w:rFonts w:cs="Tahoma"/>
          <w:bCs/>
          <w:color w:val="000000"/>
          <w:szCs w:val="18"/>
          <w:lang w:val="pt-BR"/>
        </w:rPr>
        <w:t>O uso contínuo do serviço online permanece sujeito aos termos e às condições do Contrato de Licenciamento por Volume do cliente, dos direitos de uso</w:t>
      </w:r>
      <w:r w:rsidR="004A1891" w:rsidRPr="006301EB">
        <w:rPr>
          <w:rFonts w:cs="Tahoma"/>
          <w:bCs/>
          <w:color w:val="000000"/>
          <w:szCs w:val="18"/>
          <w:lang w:val="pt-BR"/>
        </w:rPr>
        <w:t> </w:t>
      </w:r>
      <w:r w:rsidRPr="006301EB">
        <w:rPr>
          <w:rFonts w:cs="Tahoma"/>
          <w:bCs/>
          <w:color w:val="000000"/>
          <w:szCs w:val="18"/>
          <w:lang w:val="pt-BR"/>
        </w:rPr>
        <w:t>do produto do serviço online e d</w:t>
      </w:r>
      <w:r w:rsidR="009D57D2" w:rsidRPr="006301EB">
        <w:rPr>
          <w:rFonts w:cs="Tahoma"/>
          <w:bCs/>
          <w:color w:val="000000"/>
          <w:szCs w:val="18"/>
          <w:lang w:val="pt-BR"/>
        </w:rPr>
        <w:t>os termos e das condições aqui.</w:t>
      </w:r>
    </w:p>
    <w:p w:rsidR="009115D6" w:rsidRPr="006301EB" w:rsidRDefault="009115D6" w:rsidP="009115D6">
      <w:pPr>
        <w:ind w:left="720"/>
        <w:rPr>
          <w:lang w:val="pt-BR"/>
        </w:rPr>
      </w:pPr>
    </w:p>
    <w:p w:rsidR="00023FE7" w:rsidRPr="006301EB" w:rsidRDefault="00023FE7" w:rsidP="00E62BC4">
      <w:pPr>
        <w:pStyle w:val="EndnoteText"/>
        <w:ind w:left="720"/>
        <w:rPr>
          <w:lang w:val="pt-BR"/>
        </w:rPr>
      </w:pPr>
      <w:r w:rsidRPr="00416070">
        <w:rPr>
          <w:rFonts w:ascii="Tahoma" w:hAnsi="Tahoma" w:cs="Tahoma"/>
          <w:bCs/>
          <w:color w:val="000000"/>
          <w:sz w:val="18"/>
          <w:szCs w:val="20"/>
        </w:rPr>
        <w:t>Todos os usuários (ou dispositivos) que acessarem um servidor protegido precisarão de SLs de Usuário (ou</w:t>
      </w:r>
      <w:r w:rsidR="004D27F8" w:rsidRPr="006301EB">
        <w:rPr>
          <w:rFonts w:ascii="Tahoma" w:hAnsi="Tahoma" w:cs="Tahoma"/>
          <w:bCs/>
          <w:color w:val="000000"/>
          <w:sz w:val="18"/>
          <w:szCs w:val="20"/>
          <w:lang w:val="pt-BR"/>
        </w:rPr>
        <w:t> </w:t>
      </w:r>
      <w:r w:rsidRPr="00416070">
        <w:rPr>
          <w:rFonts w:ascii="Tahoma" w:hAnsi="Tahoma" w:cs="Tahoma"/>
          <w:bCs/>
          <w:color w:val="000000"/>
          <w:sz w:val="18"/>
          <w:szCs w:val="20"/>
        </w:rPr>
        <w:t>Dispositivo).</w:t>
      </w:r>
      <w:r w:rsidR="00FB5496" w:rsidRPr="00416070">
        <w:rPr>
          <w:rFonts w:ascii="Tahoma" w:hAnsi="Tahoma" w:cs="Tahoma"/>
          <w:bCs/>
          <w:color w:val="000000"/>
          <w:sz w:val="18"/>
          <w:szCs w:val="20"/>
        </w:rPr>
        <w:t xml:space="preserve"> </w:t>
      </w:r>
      <w:r w:rsidRPr="00416070">
        <w:rPr>
          <w:rFonts w:ascii="Tahoma" w:hAnsi="Tahoma" w:cs="Tahoma"/>
          <w:bCs/>
          <w:color w:val="000000"/>
          <w:sz w:val="18"/>
          <w:szCs w:val="20"/>
        </w:rPr>
        <w:t>Este serviço online era conhecido como Antigen para Mensagens Instantâneas.</w:t>
      </w:r>
    </w:p>
    <w:p w:rsidR="00023FE7" w:rsidRPr="006301EB" w:rsidRDefault="00023FE7" w:rsidP="00697E59">
      <w:pPr>
        <w:rPr>
          <w:lang w:val="pt-BR"/>
        </w:rPr>
      </w:pPr>
      <w:bookmarkStart w:id="1290" w:name="Srv_48ForefrontSvrSecMgmtConsole"/>
    </w:p>
    <w:p w:rsidR="00EE30F1" w:rsidRPr="006301EB" w:rsidRDefault="00EE30F1" w:rsidP="00221A57">
      <w:pPr>
        <w:rPr>
          <w:lang w:val="pt-BR"/>
        </w:rPr>
      </w:pPr>
      <w:bookmarkStart w:id="1291" w:name="_49_Forefront_Threat"/>
      <w:bookmarkStart w:id="1292" w:name="Srv_52ForefrontUnifiedAccessGtwy2010"/>
      <w:bookmarkStart w:id="1293" w:name="Srv_56ForefrontUnifiedAccessGtwy2010"/>
      <w:bookmarkEnd w:id="1290"/>
      <w:bookmarkEnd w:id="1291"/>
    </w:p>
    <w:p w:rsidR="0079439D" w:rsidRPr="00416070" w:rsidRDefault="0099402E" w:rsidP="00221A57">
      <w:pPr>
        <w:pStyle w:val="Heading3"/>
      </w:pPr>
      <w:bookmarkStart w:id="1294" w:name="_50__Forefront"/>
      <w:bookmarkStart w:id="1295" w:name="_57_Forefront_Threat"/>
      <w:bookmarkStart w:id="1296" w:name="_59_Forefront_Threat"/>
      <w:bookmarkStart w:id="1297" w:name="_Toc336338321"/>
      <w:bookmarkStart w:id="1298" w:name="Srv_51ForefrontThreatMgmtGtwy2010"/>
      <w:bookmarkStart w:id="1299" w:name="_Toc352234385"/>
      <w:bookmarkEnd w:id="1294"/>
      <w:bookmarkEnd w:id="1295"/>
      <w:bookmarkEnd w:id="1296"/>
      <w:r w:rsidRPr="00416070">
        <w:rPr>
          <w:rFonts w:ascii="Tahoma" w:hAnsi="Tahoma"/>
          <w:caps/>
          <w:color w:val="F66400"/>
          <w:sz w:val="22"/>
          <w:vertAlign w:val="superscript"/>
        </w:rPr>
        <w:t>59</w:t>
      </w:r>
      <w:r w:rsidRPr="00615CB9">
        <w:rPr>
          <w:rFonts w:ascii="Tahoma" w:hAnsi="Tahoma"/>
          <w:caps/>
          <w:color w:val="F66400"/>
          <w:sz w:val="22"/>
        </w:rPr>
        <w:t xml:space="preserve"> </w:t>
      </w:r>
      <w:r w:rsidRPr="00416070">
        <w:rPr>
          <w:rFonts w:ascii="Tahoma" w:hAnsi="Tahoma"/>
          <w:color w:val="F66400"/>
          <w:sz w:val="22"/>
        </w:rPr>
        <w:t xml:space="preserve">Forefront Threat Management Gateway </w:t>
      </w:r>
      <w:bookmarkEnd w:id="1297"/>
      <w:r w:rsidRPr="00416070">
        <w:rPr>
          <w:rFonts w:ascii="Tahoma" w:hAnsi="Tahoma"/>
          <w:color w:val="F66400"/>
          <w:sz w:val="22"/>
        </w:rPr>
        <w:t>Web Protection Service</w:t>
      </w:r>
      <w:bookmarkEnd w:id="1298"/>
      <w:bookmarkEnd w:id="1299"/>
    </w:p>
    <w:p w:rsidR="00221A57" w:rsidRPr="00416070" w:rsidRDefault="00221A57" w:rsidP="00221A57"/>
    <w:p w:rsidR="00586FCE" w:rsidRPr="006301EB" w:rsidRDefault="0079439D" w:rsidP="00221A57">
      <w:pPr>
        <w:ind w:left="720"/>
        <w:rPr>
          <w:lang w:val="pt-BR"/>
        </w:rPr>
      </w:pPr>
      <w:bookmarkStart w:id="1300" w:name="_Toc336338322"/>
      <w:r w:rsidRPr="006301EB">
        <w:rPr>
          <w:rFonts w:cs="Tahoma"/>
          <w:bCs/>
          <w:color w:val="000000"/>
          <w:szCs w:val="18"/>
          <w:lang w:val="pt-BR"/>
        </w:rPr>
        <w:t xml:space="preserve">O Forefront Threat Management Gateway Web Protection Service não estará mais disponível a partir de </w:t>
      </w:r>
      <w:r w:rsidR="004D27F8" w:rsidRPr="006301EB">
        <w:rPr>
          <w:rFonts w:cs="Tahoma"/>
          <w:bCs/>
          <w:color w:val="000000"/>
          <w:szCs w:val="18"/>
          <w:lang w:val="pt-BR"/>
        </w:rPr>
        <w:br/>
      </w:r>
      <w:r w:rsidRPr="006301EB">
        <w:rPr>
          <w:rFonts w:cs="Tahoma"/>
          <w:bCs/>
          <w:color w:val="000000"/>
          <w:szCs w:val="18"/>
          <w:lang w:val="pt-BR"/>
        </w:rPr>
        <w:t>1</w:t>
      </w:r>
      <w:r w:rsidRPr="006301EB">
        <w:rPr>
          <w:rFonts w:cs="Tahoma"/>
          <w:bCs/>
          <w:color w:val="000000"/>
          <w:szCs w:val="18"/>
          <w:vertAlign w:val="superscript"/>
          <w:lang w:val="pt-BR"/>
        </w:rPr>
        <w:t>º</w:t>
      </w:r>
      <w:r w:rsidRPr="006301EB">
        <w:rPr>
          <w:rFonts w:cs="Tahoma"/>
          <w:bCs/>
          <w:color w:val="000000"/>
          <w:szCs w:val="18"/>
          <w:lang w:val="pt-BR"/>
        </w:rPr>
        <w:t xml:space="preserve"> de dezembro de 2012. Os clientes com assinaturas ativas para o serviço online a partir de 30 de novembro de 2012 poderão continuar a usar o serviço online até 31 de dezembro de 2015. </w:t>
      </w:r>
      <w:r w:rsidRPr="006301EB">
        <w:rPr>
          <w:lang w:val="pt-BR"/>
        </w:rPr>
        <w:t>Os clientes existentes também poderão adicionar novos usuários, conforme necessário, sem qualquer exigência de pedidos de Licenças adicionais de Assinaturas do Usuário.</w:t>
      </w:r>
      <w:r w:rsidR="00FB5496" w:rsidRPr="006301EB">
        <w:rPr>
          <w:rFonts w:cs="Tahoma"/>
          <w:bCs/>
          <w:szCs w:val="18"/>
          <w:lang w:val="pt-BR"/>
        </w:rPr>
        <w:t xml:space="preserve"> </w:t>
      </w:r>
      <w:r w:rsidRPr="006301EB">
        <w:rPr>
          <w:rFonts w:cs="Tahoma"/>
          <w:bCs/>
          <w:color w:val="000000"/>
          <w:szCs w:val="18"/>
          <w:lang w:val="pt-BR"/>
        </w:rPr>
        <w:t>O uso contínuo do serviço online permanece sujeito aos termos e às condições do Contrato de Licenciamento por Volume do cliente, dos direitos de uso</w:t>
      </w:r>
      <w:r w:rsidR="004D27F8" w:rsidRPr="006301EB">
        <w:rPr>
          <w:rFonts w:cs="Tahoma"/>
          <w:bCs/>
          <w:color w:val="000000"/>
          <w:szCs w:val="18"/>
          <w:lang w:val="pt-BR"/>
        </w:rPr>
        <w:t> </w:t>
      </w:r>
      <w:r w:rsidRPr="006301EB">
        <w:rPr>
          <w:rFonts w:cs="Tahoma"/>
          <w:bCs/>
          <w:color w:val="000000"/>
          <w:szCs w:val="18"/>
          <w:lang w:val="pt-BR"/>
        </w:rPr>
        <w:t>do produto do serviço online e d</w:t>
      </w:r>
      <w:r w:rsidR="009D57D2" w:rsidRPr="006301EB">
        <w:rPr>
          <w:rFonts w:cs="Tahoma"/>
          <w:bCs/>
          <w:color w:val="000000"/>
          <w:szCs w:val="18"/>
          <w:lang w:val="pt-BR"/>
        </w:rPr>
        <w:t>os termos e das condições aqui.</w:t>
      </w:r>
    </w:p>
    <w:p w:rsidR="00221A57" w:rsidRPr="006301EB" w:rsidRDefault="00221A57" w:rsidP="00221A57">
      <w:pPr>
        <w:rPr>
          <w:lang w:val="pt-BR"/>
        </w:rPr>
      </w:pPr>
    </w:p>
    <w:p w:rsidR="00221A57" w:rsidRPr="006301EB" w:rsidRDefault="00221A57" w:rsidP="00221A57">
      <w:pPr>
        <w:rPr>
          <w:lang w:val="pt-BR"/>
        </w:rPr>
      </w:pPr>
    </w:p>
    <w:p w:rsidR="009E4FDD" w:rsidRPr="00416070" w:rsidRDefault="00A7003F" w:rsidP="009E4FDD">
      <w:pPr>
        <w:pStyle w:val="Heading3"/>
      </w:pPr>
      <w:bookmarkStart w:id="1301" w:name="_60_Forefront_Unified"/>
      <w:bookmarkStart w:id="1302" w:name="_Toc352234386"/>
      <w:bookmarkEnd w:id="1301"/>
      <w:r w:rsidRPr="00416070">
        <w:rPr>
          <w:rFonts w:ascii="Tahoma" w:hAnsi="Tahoma"/>
          <w:caps/>
          <w:color w:val="F66400"/>
          <w:sz w:val="22"/>
          <w:vertAlign w:val="superscript"/>
        </w:rPr>
        <w:t>60</w:t>
      </w:r>
      <w:r w:rsidRPr="00615CB9">
        <w:rPr>
          <w:rFonts w:ascii="Tahoma" w:hAnsi="Tahoma"/>
          <w:caps/>
          <w:color w:val="F66400"/>
          <w:sz w:val="22"/>
        </w:rPr>
        <w:t xml:space="preserve"> </w:t>
      </w:r>
      <w:r w:rsidRPr="00416070">
        <w:rPr>
          <w:rFonts w:ascii="Tahoma" w:hAnsi="Tahoma"/>
          <w:color w:val="F66400"/>
          <w:sz w:val="22"/>
        </w:rPr>
        <w:t>Forefront Unified Access Gateway 2010</w:t>
      </w:r>
      <w:bookmarkEnd w:id="1300"/>
      <w:bookmarkEnd w:id="1302"/>
    </w:p>
    <w:bookmarkEnd w:id="1292"/>
    <w:bookmarkEnd w:id="1293"/>
    <w:p w:rsidR="009E4FDD" w:rsidRPr="006301EB" w:rsidRDefault="009E4FDD" w:rsidP="009E4FDD">
      <w:pPr>
        <w:rPr>
          <w:lang w:val="pt-BR"/>
        </w:rPr>
      </w:pPr>
    </w:p>
    <w:p w:rsidR="009E4FDD" w:rsidRPr="006301EB" w:rsidRDefault="009E4FDD" w:rsidP="00221A57">
      <w:pPr>
        <w:spacing w:after="60"/>
        <w:ind w:left="720"/>
        <w:rPr>
          <w:lang w:val="pt-BR"/>
        </w:rPr>
      </w:pPr>
      <w:r w:rsidRPr="006301EB">
        <w:rPr>
          <w:rFonts w:cs="Tahoma"/>
          <w:b/>
          <w:color w:val="000000"/>
          <w:szCs w:val="18"/>
          <w:lang w:val="pt-BR"/>
        </w:rPr>
        <w:t>Versão</w:t>
      </w:r>
    </w:p>
    <w:p w:rsidR="009E4FDD" w:rsidRPr="006301EB" w:rsidRDefault="009E4FDD" w:rsidP="009E4FDD">
      <w:pPr>
        <w:ind w:left="720"/>
        <w:rPr>
          <w:lang w:val="pt-BR"/>
        </w:rPr>
      </w:pPr>
      <w:r w:rsidRPr="006301EB">
        <w:rPr>
          <w:rFonts w:cs="Tahoma"/>
          <w:color w:val="000000"/>
          <w:szCs w:val="18"/>
          <w:lang w:val="pt-BR"/>
        </w:rPr>
        <w:t>O Forefront Unified Access Gateway 2010 é a próxima versão do Whale Intelligent Application Gateway</w:t>
      </w:r>
      <w:r w:rsidR="004D27F8" w:rsidRPr="006301EB">
        <w:rPr>
          <w:rFonts w:cs="Tahoma"/>
          <w:color w:val="000000"/>
          <w:szCs w:val="18"/>
          <w:lang w:val="pt-BR"/>
        </w:rPr>
        <w:t> </w:t>
      </w:r>
      <w:r w:rsidRPr="006301EB">
        <w:rPr>
          <w:rFonts w:cs="Tahoma"/>
          <w:color w:val="000000"/>
          <w:szCs w:val="18"/>
          <w:lang w:val="pt-BR"/>
        </w:rPr>
        <w:t>2007.</w:t>
      </w:r>
    </w:p>
    <w:p w:rsidR="00EE30F1" w:rsidRPr="006301EB" w:rsidRDefault="00EE30F1">
      <w:pPr>
        <w:ind w:left="720"/>
        <w:rPr>
          <w:lang w:val="pt-BR"/>
        </w:rPr>
      </w:pPr>
    </w:p>
    <w:p w:rsidR="001979E9" w:rsidRPr="006301EB" w:rsidRDefault="001979E9">
      <w:pPr>
        <w:ind w:left="720"/>
        <w:rPr>
          <w:lang w:val="pt-BR"/>
        </w:rPr>
      </w:pPr>
    </w:p>
    <w:p w:rsidR="00023FE7" w:rsidRPr="00416070" w:rsidRDefault="00A7003F" w:rsidP="00416294">
      <w:pPr>
        <w:pStyle w:val="Heading3"/>
      </w:pPr>
      <w:bookmarkStart w:id="1303" w:name="_51_High_Performance"/>
      <w:bookmarkStart w:id="1304" w:name="_63_61_HPC"/>
      <w:bookmarkStart w:id="1305" w:name="_Toc336338323"/>
      <w:bookmarkStart w:id="1306" w:name="_Toc352234387"/>
      <w:bookmarkStart w:id="1307" w:name="Srv_48HighPerfComputingPack"/>
      <w:bookmarkStart w:id="1308" w:name="Srv_54HighPerfComputingPack"/>
      <w:bookmarkStart w:id="1309" w:name="Srv_49HighPerfComputingPack"/>
      <w:bookmarkEnd w:id="1303"/>
      <w:bookmarkEnd w:id="1304"/>
      <w:r w:rsidRPr="00416070">
        <w:rPr>
          <w:rFonts w:ascii="Tahoma" w:hAnsi="Tahoma"/>
          <w:caps/>
          <w:color w:val="F66400"/>
          <w:sz w:val="22"/>
          <w:vertAlign w:val="superscript"/>
        </w:rPr>
        <w:t>61</w:t>
      </w:r>
      <w:r w:rsidRPr="00615CB9">
        <w:rPr>
          <w:rFonts w:ascii="Tahoma" w:hAnsi="Tahoma"/>
          <w:caps/>
          <w:color w:val="F66400"/>
          <w:sz w:val="22"/>
        </w:rPr>
        <w:t xml:space="preserve"> </w:t>
      </w:r>
      <w:r w:rsidRPr="00416070">
        <w:rPr>
          <w:rFonts w:ascii="Tahoma" w:hAnsi="Tahoma"/>
          <w:color w:val="F66400"/>
          <w:sz w:val="22"/>
        </w:rPr>
        <w:t>HPC Pack 2008 R2 Enterprise</w:t>
      </w:r>
      <w:bookmarkEnd w:id="1305"/>
      <w:bookmarkEnd w:id="1306"/>
    </w:p>
    <w:bookmarkEnd w:id="1307"/>
    <w:bookmarkEnd w:id="1308"/>
    <w:p w:rsidR="00023FE7" w:rsidRPr="006301EB" w:rsidRDefault="00023FE7" w:rsidP="00416294">
      <w:pPr>
        <w:ind w:left="720"/>
        <w:rPr>
          <w:lang w:val="pt-BR"/>
        </w:rPr>
      </w:pPr>
    </w:p>
    <w:bookmarkEnd w:id="1309"/>
    <w:p w:rsidR="00221A57" w:rsidRPr="006301EB" w:rsidRDefault="001978C7" w:rsidP="00221A57">
      <w:pPr>
        <w:spacing w:after="60"/>
        <w:ind w:left="720"/>
        <w:rPr>
          <w:lang w:val="pt-BR"/>
        </w:rPr>
      </w:pPr>
      <w:r w:rsidRPr="006301EB">
        <w:rPr>
          <w:b/>
          <w:color w:val="000000"/>
          <w:lang w:val="pt-BR"/>
        </w:rPr>
        <w:t>Outorgas de licença associadas ao término da validade do HPC Pack Enterprise</w:t>
      </w:r>
    </w:p>
    <w:p w:rsidR="00221A57" w:rsidRPr="006301EB" w:rsidRDefault="001978C7" w:rsidP="00221A57">
      <w:pPr>
        <w:ind w:left="720"/>
        <w:rPr>
          <w:lang w:val="pt-BR"/>
        </w:rPr>
      </w:pPr>
      <w:r w:rsidRPr="006301EB">
        <w:rPr>
          <w:color w:val="000000"/>
          <w:lang w:val="pt-BR"/>
        </w:rPr>
        <w:t>O HPC Pack 2008 R2 Enterprise será a última versão do HPC Pack Enterprise vendido em Licenciamento por</w:t>
      </w:r>
      <w:r w:rsidR="004D27F8" w:rsidRPr="006301EB">
        <w:rPr>
          <w:color w:val="000000"/>
          <w:lang w:val="pt-BR"/>
        </w:rPr>
        <w:t> </w:t>
      </w:r>
      <w:r w:rsidRPr="006301EB">
        <w:rPr>
          <w:color w:val="000000"/>
          <w:lang w:val="pt-BR"/>
        </w:rPr>
        <w:t>Volume. Versões futuras estarão disponíveis como download gratuito. Os clientes de licenciamento por volume com Software Assurance ativo para licenças HPC Pack 2008 R2 Enterprise em 1</w:t>
      </w:r>
      <w:r w:rsidRPr="006301EB">
        <w:rPr>
          <w:color w:val="000000"/>
          <w:vertAlign w:val="superscript"/>
          <w:lang w:val="pt-BR"/>
        </w:rPr>
        <w:t>º</w:t>
      </w:r>
      <w:r w:rsidRPr="006301EB">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poderão </w:t>
      </w:r>
      <w:r w:rsidRPr="006301EB">
        <w:rPr>
          <w:rFonts w:eastAsia="Calibri" w:cs="Tahoma"/>
          <w:szCs w:val="18"/>
          <w:lang w:val="pt-BR"/>
        </w:rPr>
        <w:t>usar o software Windows Server 2012 Standard. Para facilitar tal uso, para cada duas Licenças Qualificadas que o cliente possui, ele terá uma licença do processador Windows Server 2012 Standard mediante a disponibilização do Windows Server 2012.</w:t>
      </w:r>
    </w:p>
    <w:p w:rsidR="001978C7" w:rsidRPr="006301EB" w:rsidRDefault="001978C7" w:rsidP="00221A57">
      <w:pPr>
        <w:ind w:left="720"/>
        <w:rPr>
          <w:rFonts w:eastAsia="Calibri" w:cs="Tahoma"/>
          <w:szCs w:val="18"/>
          <w:lang w:val="pt-BR"/>
        </w:rPr>
      </w:pPr>
      <w:r w:rsidRPr="006301EB">
        <w:rPr>
          <w:rFonts w:eastAsia="Calibri" w:cs="Tahoma"/>
          <w:szCs w:val="18"/>
          <w:lang w:val="pt-BR"/>
        </w:rPr>
        <w:t xml:space="preserve"> </w:t>
      </w:r>
    </w:p>
    <w:p w:rsidR="004D27F8" w:rsidRPr="006301EB" w:rsidRDefault="004D27F8" w:rsidP="00221A57">
      <w:pPr>
        <w:ind w:left="720"/>
        <w:rPr>
          <w:rFonts w:eastAsia="Calibri" w:cs="Tahoma"/>
          <w:szCs w:val="18"/>
          <w:lang w:val="pt-BR"/>
        </w:rPr>
      </w:pPr>
    </w:p>
    <w:p w:rsidR="004D27F8" w:rsidRPr="006301EB" w:rsidRDefault="004D27F8" w:rsidP="00221A57">
      <w:pPr>
        <w:ind w:left="720"/>
        <w:rPr>
          <w:lang w:val="pt-BR"/>
        </w:rPr>
      </w:pPr>
    </w:p>
    <w:p w:rsidR="001978C7" w:rsidRPr="006301EB" w:rsidRDefault="001978C7" w:rsidP="00221A57">
      <w:pPr>
        <w:numPr>
          <w:ilvl w:val="0"/>
          <w:numId w:val="70"/>
        </w:numPr>
        <w:tabs>
          <w:tab w:val="clear" w:pos="360"/>
          <w:tab w:val="left" w:pos="1440"/>
        </w:tabs>
        <w:spacing w:after="60"/>
        <w:ind w:left="1440"/>
        <w:rPr>
          <w:lang w:val="pt-BR"/>
        </w:rPr>
      </w:pPr>
      <w:r w:rsidRPr="006301EB">
        <w:rPr>
          <w:color w:val="000000"/>
          <w:lang w:val="pt-BR"/>
        </w:rPr>
        <w:t>Se um cliente tiver um número ímpar de licenças do HPC Pack Enterprise, o cliente precisará arredondar para cima para o próximo número par para determinar sua concessão.</w:t>
      </w:r>
      <w:r w:rsidR="00FB5496" w:rsidRPr="006301EB">
        <w:rPr>
          <w:color w:val="000000"/>
          <w:lang w:val="pt-BR"/>
        </w:rPr>
        <w:t xml:space="preserve"> </w:t>
      </w:r>
      <w:r w:rsidRPr="006301EB">
        <w:rPr>
          <w:color w:val="000000"/>
          <w:lang w:val="pt-BR"/>
        </w:rPr>
        <w:t>Por exemplo, um cliente que tenha três licenças do HPC Pack Enterprise receberá no total duas licenças do Windows Server 2012 Standard.</w:t>
      </w:r>
    </w:p>
    <w:p w:rsidR="001978C7" w:rsidRPr="00416070" w:rsidRDefault="001978C7" w:rsidP="00221A57">
      <w:pPr>
        <w:pStyle w:val="ListParagraph"/>
        <w:numPr>
          <w:ilvl w:val="0"/>
          <w:numId w:val="70"/>
        </w:numPr>
        <w:tabs>
          <w:tab w:val="clear" w:pos="360"/>
          <w:tab w:val="left" w:pos="1440"/>
        </w:tabs>
        <w:spacing w:after="60"/>
        <w:ind w:left="1440"/>
        <w:contextualSpacing w:val="0"/>
      </w:pPr>
      <w:r w:rsidRPr="00416070">
        <w:rPr>
          <w:rFonts w:ascii="Tahoma" w:eastAsia="Calibri" w:hAnsi="Tahoma" w:cs="Tahoma"/>
          <w:sz w:val="18"/>
          <w:szCs w:val="18"/>
        </w:rPr>
        <w:t>As licenças adquiridas sob esta concessão incluirão cobertura do Software Assurance.</w:t>
      </w:r>
      <w:r w:rsidR="00FB5496" w:rsidRPr="00416070">
        <w:rPr>
          <w:rFonts w:ascii="Tahoma" w:eastAsia="Calibri" w:hAnsi="Tahoma" w:cs="Tahoma"/>
          <w:sz w:val="18"/>
          <w:szCs w:val="18"/>
        </w:rPr>
        <w:t xml:space="preserve"> </w:t>
      </w:r>
      <w:r w:rsidRPr="00416070">
        <w:rPr>
          <w:rFonts w:ascii="Tahoma" w:eastAsia="Calibri" w:hAnsi="Tahoma" w:cs="Tahoma"/>
          <w:sz w:val="18"/>
          <w:szCs w:val="18"/>
        </w:rPr>
        <w:t>Tal cobertura</w:t>
      </w:r>
      <w:r w:rsidR="00EC2258" w:rsidRPr="006301EB">
        <w:rPr>
          <w:rFonts w:ascii="Tahoma" w:eastAsia="Calibri" w:hAnsi="Tahoma" w:cs="Tahoma"/>
          <w:sz w:val="18"/>
          <w:szCs w:val="18"/>
          <w:lang w:val="pt-BR"/>
        </w:rPr>
        <w:t> </w:t>
      </w:r>
      <w:r w:rsidRPr="00416070">
        <w:rPr>
          <w:rFonts w:ascii="Tahoma" w:eastAsia="Calibri" w:hAnsi="Tahoma" w:cs="Tahoma"/>
          <w:sz w:val="18"/>
          <w:szCs w:val="18"/>
        </w:rPr>
        <w:t>expira quando a cobertura correspondente nas Licenças Qualificadas expirar.</w:t>
      </w:r>
    </w:p>
    <w:p w:rsidR="001978C7" w:rsidRPr="00416070" w:rsidRDefault="001978C7" w:rsidP="00221A57">
      <w:pPr>
        <w:pStyle w:val="ListParagraph"/>
        <w:numPr>
          <w:ilvl w:val="0"/>
          <w:numId w:val="70"/>
        </w:numPr>
        <w:tabs>
          <w:tab w:val="clear" w:pos="360"/>
          <w:tab w:val="left" w:pos="1440"/>
        </w:tabs>
        <w:spacing w:after="60"/>
        <w:ind w:left="1440"/>
        <w:contextualSpacing w:val="0"/>
      </w:pPr>
      <w:r w:rsidRPr="00416070">
        <w:rPr>
          <w:rFonts w:ascii="Tahoma" w:eastAsia="Calibri" w:hAnsi="Tahoma" w:cs="Tahoma"/>
          <w:sz w:val="18"/>
          <w:szCs w:val="18"/>
        </w:rPr>
        <w:t>Se os clientes adquiriram direitos perpétuos para usar o software sob as Licenças Qualificadas, as</w:t>
      </w:r>
      <w:r w:rsidR="00EC2258" w:rsidRPr="006301EB">
        <w:rPr>
          <w:rFonts w:ascii="Tahoma" w:eastAsia="Calibri" w:hAnsi="Tahoma" w:cs="Tahoma"/>
          <w:sz w:val="18"/>
          <w:szCs w:val="18"/>
          <w:lang w:val="pt-BR"/>
        </w:rPr>
        <w:t> </w:t>
      </w:r>
      <w:r w:rsidRPr="00416070">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1978C7" w:rsidRPr="006301EB" w:rsidRDefault="001978C7" w:rsidP="00221A57">
      <w:pPr>
        <w:numPr>
          <w:ilvl w:val="0"/>
          <w:numId w:val="70"/>
        </w:numPr>
        <w:tabs>
          <w:tab w:val="clear" w:pos="360"/>
          <w:tab w:val="left" w:pos="1440"/>
          <w:tab w:val="left" w:pos="2160"/>
        </w:tabs>
        <w:spacing w:after="60"/>
        <w:ind w:left="1440"/>
        <w:rPr>
          <w:lang w:val="pt-BR"/>
        </w:rPr>
      </w:pPr>
      <w:r w:rsidRPr="006301EB">
        <w:rPr>
          <w:rFonts w:eastAsia="Calibri" w:cs="Tahoma"/>
          <w:szCs w:val="18"/>
          <w:lang w:val="pt-BR"/>
        </w:rPr>
        <w:t xml:space="preserve">Na atualização para o Windows Server 2012 Standard sob essa concessão, as licenças existentes </w:t>
      </w:r>
      <w:r w:rsidRPr="006301EB">
        <w:rPr>
          <w:color w:val="000000"/>
          <w:lang w:val="pt-BR"/>
        </w:rPr>
        <w:t>do HPC Pack Enterprise</w:t>
      </w:r>
      <w:r w:rsidRPr="006301EB">
        <w:rPr>
          <w:rFonts w:eastAsia="Calibri" w:cs="Tahoma"/>
          <w:szCs w:val="18"/>
          <w:lang w:val="pt-BR"/>
        </w:rPr>
        <w:t xml:space="preserve"> do cliente permanecerão válidas.</w:t>
      </w:r>
    </w:p>
    <w:p w:rsidR="001978C7" w:rsidRPr="006301EB" w:rsidRDefault="001978C7" w:rsidP="00221A57">
      <w:pPr>
        <w:numPr>
          <w:ilvl w:val="0"/>
          <w:numId w:val="70"/>
        </w:numPr>
        <w:tabs>
          <w:tab w:val="clear" w:pos="360"/>
          <w:tab w:val="left" w:pos="1440"/>
          <w:tab w:val="left" w:pos="2160"/>
        </w:tabs>
        <w:spacing w:after="60"/>
        <w:ind w:left="1440"/>
        <w:rPr>
          <w:lang w:val="pt-BR"/>
        </w:rPr>
      </w:pPr>
      <w:r w:rsidRPr="006301EB">
        <w:rPr>
          <w:color w:val="000000"/>
          <w:lang w:val="pt-BR"/>
        </w:rPr>
        <w:t xml:space="preserve">As licenças do HPC Pack 2008 R2 Enterprise </w:t>
      </w:r>
      <w:r w:rsidRPr="006301EB">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os</w:t>
      </w:r>
      <w:r w:rsidR="00EC2258" w:rsidRPr="006301EB">
        <w:rPr>
          <w:rFonts w:cs="Tahoma"/>
          <w:bCs/>
          <w:color w:val="000000"/>
          <w:szCs w:val="18"/>
          <w:lang w:val="pt-BR"/>
        </w:rPr>
        <w:t> </w:t>
      </w:r>
      <w:r w:rsidRPr="006301EB">
        <w:rPr>
          <w:rFonts w:cs="Tahoma"/>
          <w:bCs/>
          <w:color w:val="000000"/>
          <w:szCs w:val="18"/>
          <w:lang w:val="pt-BR"/>
        </w:rPr>
        <w:t>propósitos da concessão supracitada.</w:t>
      </w:r>
    </w:p>
    <w:p w:rsidR="001978C7" w:rsidRPr="006301EB" w:rsidRDefault="001978C7" w:rsidP="00221A57">
      <w:pPr>
        <w:numPr>
          <w:ilvl w:val="0"/>
          <w:numId w:val="70"/>
        </w:numPr>
        <w:tabs>
          <w:tab w:val="clear" w:pos="360"/>
          <w:tab w:val="left" w:pos="1440"/>
          <w:tab w:val="left" w:pos="2160"/>
        </w:tabs>
        <w:spacing w:after="60"/>
        <w:ind w:left="1440"/>
        <w:rPr>
          <w:lang w:val="pt-BR"/>
        </w:rPr>
      </w:pPr>
      <w:r w:rsidRPr="006301EB">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221A57" w:rsidRPr="006301EB" w:rsidRDefault="00221A57" w:rsidP="00221A57">
      <w:pPr>
        <w:tabs>
          <w:tab w:val="left" w:pos="1440"/>
          <w:tab w:val="left" w:pos="2160"/>
        </w:tabs>
        <w:ind w:left="1080"/>
        <w:contextualSpacing/>
        <w:rPr>
          <w:lang w:val="pt-BR"/>
        </w:rPr>
      </w:pPr>
    </w:p>
    <w:p w:rsidR="00221A57" w:rsidRPr="006301EB" w:rsidRDefault="001978C7" w:rsidP="00221A57">
      <w:pPr>
        <w:tabs>
          <w:tab w:val="left" w:pos="1440"/>
          <w:tab w:val="left" w:pos="2160"/>
        </w:tabs>
        <w:spacing w:after="60"/>
        <w:ind w:left="1080"/>
        <w:rPr>
          <w:lang w:val="pt-BR"/>
        </w:rPr>
      </w:pPr>
      <w:r w:rsidRPr="006301EB">
        <w:rPr>
          <w:rFonts w:eastAsia="Calibri" w:cs="Tahoma"/>
          <w:b/>
          <w:szCs w:val="18"/>
          <w:lang w:val="pt-BR"/>
        </w:rPr>
        <w:t>Informações adicionais sobre o uso do Windows Server 2012 para High Performance Computing (HPC)</w:t>
      </w:r>
    </w:p>
    <w:p w:rsidR="00E62BC4" w:rsidRPr="006301EB" w:rsidRDefault="001978C7" w:rsidP="00221A57">
      <w:pPr>
        <w:tabs>
          <w:tab w:val="left" w:pos="1440"/>
          <w:tab w:val="left" w:pos="2160"/>
        </w:tabs>
        <w:ind w:left="1080"/>
        <w:contextualSpacing/>
        <w:rPr>
          <w:lang w:val="pt-BR"/>
        </w:rPr>
      </w:pPr>
      <w:r w:rsidRPr="006301EB">
        <w:rPr>
          <w:rFonts w:eastAsia="Calibri" w:cs="Tahoma"/>
          <w:szCs w:val="18"/>
          <w:lang w:val="pt-BR"/>
        </w:rPr>
        <w:t>Quando o Windows Server 2012 Standard ou Datacenter é usado para High Performance Computing, você não precisa de CALs para acessar o software. Uma “</w:t>
      </w:r>
      <w:r w:rsidRPr="006301EB">
        <w:rPr>
          <w:lang w:val="pt-BR"/>
        </w:rPr>
        <w:t xml:space="preserve">Carga de Trabalho High Performance Computing (“HPC”)” significa uma carga de trabalho na qual o software para servidores </w:t>
      </w:r>
      <w:r w:rsidRPr="006301EB">
        <w:rPr>
          <w:u w:val="single"/>
          <w:lang w:val="pt-BR"/>
        </w:rPr>
        <w:t>é usado</w:t>
      </w:r>
      <w:r w:rsidRPr="006301EB">
        <w:rPr>
          <w:lang w:val="pt-BR"/>
        </w:rPr>
        <w:t xml:space="preserve">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6301EB">
        <w:rPr>
          <w:rFonts w:eastAsia="Calibri" w:cs="Tahoma"/>
          <w:szCs w:val="18"/>
          <w:lang w:val="pt-BR"/>
        </w:rPr>
        <w:t xml:space="preserve"> Consulte os Direitos de Uso de Produto para obter detalhes adicionais.</w:t>
      </w:r>
    </w:p>
    <w:p w:rsidR="00023FE7" w:rsidRPr="006301EB" w:rsidRDefault="00023FE7" w:rsidP="00221A57">
      <w:pPr>
        <w:ind w:left="216"/>
        <w:rPr>
          <w:lang w:val="pt-BR"/>
        </w:rPr>
      </w:pPr>
    </w:p>
    <w:p w:rsidR="00586FCE" w:rsidRPr="006301EB" w:rsidRDefault="00586FCE" w:rsidP="00221A57">
      <w:pPr>
        <w:ind w:left="216"/>
        <w:rPr>
          <w:lang w:val="pt-BR"/>
        </w:rPr>
      </w:pPr>
    </w:p>
    <w:p w:rsidR="00023FE7" w:rsidRPr="00416070" w:rsidRDefault="00A7003F" w:rsidP="00416294">
      <w:pPr>
        <w:pStyle w:val="Heading3"/>
      </w:pPr>
      <w:bookmarkStart w:id="1310" w:name="_58_Learning_Solutions"/>
      <w:bookmarkStart w:id="1311" w:name="_54_Learning_Solutions"/>
      <w:bookmarkStart w:id="1312" w:name="_64_62_Learning"/>
      <w:bookmarkStart w:id="1313" w:name="Srv_60LearningSolMCP1ExamVouch"/>
      <w:bookmarkStart w:id="1314" w:name="_Toc336338324"/>
      <w:bookmarkStart w:id="1315" w:name="_Toc352234388"/>
      <w:bookmarkStart w:id="1316" w:name="Srv_55LearningSolMCP1ExamVouch"/>
      <w:bookmarkStart w:id="1317" w:name="Srv_56LearningSolMCP1ExamVouch"/>
      <w:bookmarkEnd w:id="1310"/>
      <w:bookmarkEnd w:id="1311"/>
      <w:bookmarkEnd w:id="1312"/>
      <w:r w:rsidRPr="00416070">
        <w:rPr>
          <w:rFonts w:ascii="Tahoma" w:hAnsi="Tahoma"/>
          <w:caps/>
          <w:color w:val="F66400"/>
          <w:sz w:val="22"/>
          <w:vertAlign w:val="superscript"/>
        </w:rPr>
        <w:t>62</w:t>
      </w:r>
      <w:r w:rsidRPr="00416070">
        <w:rPr>
          <w:rFonts w:ascii="Tahoma" w:hAnsi="Tahoma"/>
          <w:color w:val="F66400"/>
          <w:sz w:val="22"/>
        </w:rPr>
        <w:t xml:space="preserve"> Learning Solutions MCP Exam Vouchers</w:t>
      </w:r>
      <w:bookmarkEnd w:id="1313"/>
      <w:bookmarkEnd w:id="1314"/>
      <w:bookmarkEnd w:id="1315"/>
    </w:p>
    <w:bookmarkEnd w:id="1316"/>
    <w:p w:rsidR="00023FE7" w:rsidRPr="00416070" w:rsidRDefault="00023FE7" w:rsidP="00416294">
      <w:pPr>
        <w:pStyle w:val="EndnoteText"/>
      </w:pPr>
    </w:p>
    <w:bookmarkEnd w:id="1317"/>
    <w:p w:rsidR="002A760F" w:rsidRPr="006301EB" w:rsidRDefault="002A760F" w:rsidP="00416294">
      <w:pPr>
        <w:pStyle w:val="EndnoteText"/>
        <w:ind w:left="720"/>
        <w:rPr>
          <w:lang w:val="pt-BR"/>
        </w:rPr>
      </w:pPr>
      <w:r w:rsidRPr="00416070">
        <w:rPr>
          <w:rFonts w:ascii="Tahoma" w:hAnsi="Tahoma" w:cs="Tahoma"/>
          <w:sz w:val="18"/>
        </w:rPr>
        <w:t xml:space="preserve">Todos os cupons são fornecidos de antemão e poderão ser usados a qualquer momento antes de 12 meses contados da data de compra. </w:t>
      </w:r>
      <w:r w:rsidR="00EC2258">
        <w:rPr>
          <w:rFonts w:ascii="Tahoma" w:hAnsi="Tahoma" w:cs="Tahoma"/>
          <w:bCs/>
          <w:color w:val="000000"/>
          <w:sz w:val="18"/>
          <w:szCs w:val="20"/>
        </w:rPr>
        <w:t>Consulte a</w:t>
      </w:r>
      <w:hyperlink w:anchor="_Seção_5_–" w:history="1">
        <w:r w:rsidRPr="00416070">
          <w:rPr>
            <w:rFonts w:ascii="Tahoma" w:hAnsi="Tahoma"/>
            <w:sz w:val="18"/>
            <w:szCs w:val="22"/>
          </w:rPr>
          <w:t xml:space="preserve"> </w:t>
        </w:r>
        <w:r w:rsidRPr="00416070">
          <w:rPr>
            <w:rStyle w:val="Hyperlink"/>
            <w:rFonts w:ascii="Tahoma" w:hAnsi="Tahoma" w:cs="Tahoma"/>
            <w:sz w:val="18"/>
          </w:rPr>
          <w:t>Seção 5</w:t>
        </w:r>
      </w:hyperlink>
      <w:r w:rsidRPr="00416070">
        <w:rPr>
          <w:rFonts w:ascii="Tahoma" w:hAnsi="Tahoma" w:cs="Tahoma"/>
          <w:bCs/>
          <w:color w:val="000000"/>
          <w:sz w:val="18"/>
          <w:szCs w:val="20"/>
        </w:rPr>
        <w:t xml:space="preserve"> para obter informações sobre os termos de pagamento e</w:t>
      </w:r>
      <w:r w:rsidR="00EC2258" w:rsidRPr="006301EB">
        <w:rPr>
          <w:rFonts w:ascii="Tahoma" w:hAnsi="Tahoma" w:cs="Tahoma"/>
          <w:bCs/>
          <w:color w:val="000000"/>
          <w:sz w:val="18"/>
          <w:szCs w:val="20"/>
          <w:lang w:val="pt-BR"/>
        </w:rPr>
        <w:t> </w:t>
      </w:r>
      <w:r w:rsidR="008D0E85">
        <w:rPr>
          <w:rFonts w:ascii="Tahoma" w:hAnsi="Tahoma" w:cs="Tahoma"/>
          <w:bCs/>
          <w:color w:val="000000"/>
          <w:sz w:val="18"/>
          <w:szCs w:val="20"/>
        </w:rPr>
        <w:t>preços dos serviços online.</w:t>
      </w:r>
    </w:p>
    <w:p w:rsidR="00F42FD5" w:rsidRPr="00416070" w:rsidRDefault="00F42FD5" w:rsidP="00416294">
      <w:pPr>
        <w:pStyle w:val="EndnoteText"/>
        <w:ind w:left="720"/>
      </w:pPr>
    </w:p>
    <w:p w:rsidR="00586FCE" w:rsidRPr="00416070" w:rsidRDefault="00586FCE" w:rsidP="00416294">
      <w:pPr>
        <w:pStyle w:val="EndnoteText"/>
        <w:ind w:left="720"/>
      </w:pPr>
    </w:p>
    <w:p w:rsidR="00F42FD5" w:rsidRPr="00416070" w:rsidRDefault="0099402E" w:rsidP="00416294">
      <w:pPr>
        <w:pStyle w:val="Heading2"/>
        <w:ind w:left="0"/>
      </w:pPr>
      <w:bookmarkStart w:id="1318" w:name="_65_63_Lync"/>
      <w:bookmarkStart w:id="1319" w:name="_Toc336338325"/>
      <w:bookmarkStart w:id="1320" w:name="_Toc352234389"/>
      <w:bookmarkStart w:id="1321" w:name="Srv_65LyncOnlinePlan1and2"/>
      <w:bookmarkEnd w:id="1318"/>
      <w:r w:rsidRPr="00416070">
        <w:rPr>
          <w:rFonts w:ascii="Tahoma" w:hAnsi="Tahoma" w:cs="Tahoma"/>
          <w:caps/>
          <w:color w:val="FF6600"/>
          <w:sz w:val="22"/>
          <w:vertAlign w:val="superscript"/>
        </w:rPr>
        <w:t>63</w:t>
      </w:r>
      <w:r w:rsidRPr="00416070">
        <w:rPr>
          <w:rFonts w:ascii="Tahoma" w:hAnsi="Tahoma" w:cs="Tahoma"/>
          <w:color w:val="FF6600"/>
        </w:rPr>
        <w:t xml:space="preserve"> </w:t>
      </w:r>
      <w:r w:rsidRPr="00416070">
        <w:rPr>
          <w:rFonts w:ascii="Tahoma" w:hAnsi="Tahoma" w:cs="Tahoma"/>
          <w:color w:val="FF6600"/>
          <w:sz w:val="22"/>
        </w:rPr>
        <w:t>Lync Online Planos 1, 2 e 3</w:t>
      </w:r>
      <w:bookmarkEnd w:id="1319"/>
      <w:bookmarkEnd w:id="1320"/>
    </w:p>
    <w:bookmarkEnd w:id="1321"/>
    <w:p w:rsidR="00F42FD5" w:rsidRPr="006301EB" w:rsidRDefault="00F42FD5" w:rsidP="00F42FD5">
      <w:pPr>
        <w:rPr>
          <w:lang w:val="pt-BR"/>
        </w:rPr>
      </w:pPr>
    </w:p>
    <w:p w:rsidR="00693524" w:rsidRPr="006301EB" w:rsidRDefault="00194DAF" w:rsidP="00693524">
      <w:pPr>
        <w:ind w:left="720"/>
        <w:rPr>
          <w:lang w:val="pt-BR"/>
        </w:rPr>
      </w:pPr>
      <w:r w:rsidRPr="006301EB">
        <w:rPr>
          <w:color w:val="000000"/>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EC2258" w:rsidRPr="006301EB">
        <w:rPr>
          <w:color w:val="000000"/>
          <w:lang w:val="pt-BR"/>
        </w:rPr>
        <w:t> </w:t>
      </w:r>
      <w:r w:rsidRPr="006301EB">
        <w:rPr>
          <w:color w:val="000000"/>
          <w:lang w:val="pt-BR"/>
        </w:rPr>
        <w:t>Lync for Mac 2011 a nenhum custo com cada licença de assinatura de teste ou paga do Lync Online. O</w:t>
      </w:r>
      <w:r w:rsidR="00EC2258" w:rsidRPr="006301EB">
        <w:rPr>
          <w:color w:val="000000"/>
          <w:lang w:val="pt-BR"/>
        </w:rPr>
        <w:t> </w:t>
      </w:r>
      <w:r w:rsidRPr="006301EB">
        <w:rPr>
          <w:color w:val="000000"/>
          <w:lang w:val="pt-BR"/>
        </w:rPr>
        <w:t>software só poderá ser usado com o Lync Online, e todos os direitos de uso do software se encerrarão ao</w:t>
      </w:r>
      <w:r w:rsidR="00EC2258" w:rsidRPr="006301EB">
        <w:rPr>
          <w:color w:val="000000"/>
          <w:lang w:val="pt-BR"/>
        </w:rPr>
        <w:t> </w:t>
      </w:r>
      <w:r w:rsidRPr="006301EB">
        <w:rPr>
          <w:color w:val="000000"/>
          <w:lang w:val="pt-BR"/>
        </w:rPr>
        <w:t>término da licença de assinatura básica ou da migração para a próxima nova versão principal do Lync Online, o que ocorrer primeiro.</w:t>
      </w:r>
      <w:r w:rsidR="00FB5496" w:rsidRPr="006301EB">
        <w:rPr>
          <w:color w:val="000000"/>
          <w:lang w:val="pt-BR"/>
        </w:rPr>
        <w:t xml:space="preserve"> </w:t>
      </w:r>
      <w:r w:rsidRPr="006301EB">
        <w:rPr>
          <w:color w:val="000000"/>
          <w:lang w:val="pt-BR"/>
        </w:rPr>
        <w:t>Os clientes podem usar o cliente gratuito Lync Basic 2013 para seus usuários</w:t>
      </w:r>
      <w:r w:rsidR="00EC2258" w:rsidRPr="006301EB">
        <w:rPr>
          <w:color w:val="000000"/>
          <w:lang w:val="pt-BR"/>
        </w:rPr>
        <w:t> </w:t>
      </w:r>
      <w:r w:rsidRPr="006301EB">
        <w:rPr>
          <w:color w:val="000000"/>
          <w:lang w:val="pt-BR"/>
        </w:rPr>
        <w:t>finais com base</w:t>
      </w:r>
      <w:r w:rsidR="008D0E85" w:rsidRPr="006301EB">
        <w:rPr>
          <w:color w:val="000000"/>
          <w:lang w:val="pt-BR"/>
        </w:rPr>
        <w:t xml:space="preserve"> em Windows.</w:t>
      </w:r>
    </w:p>
    <w:p w:rsidR="006D33A5" w:rsidRPr="006301EB" w:rsidRDefault="006D33A5" w:rsidP="008A36D8">
      <w:pPr>
        <w:ind w:left="720"/>
        <w:rPr>
          <w:lang w:val="pt-BR"/>
        </w:rPr>
      </w:pPr>
    </w:p>
    <w:p w:rsidR="006D33A5" w:rsidRPr="006301EB" w:rsidRDefault="006D33A5" w:rsidP="003D0252">
      <w:pPr>
        <w:spacing w:after="60"/>
        <w:ind w:left="720"/>
        <w:rPr>
          <w:lang w:val="pt-BR"/>
        </w:rPr>
      </w:pPr>
      <w:r w:rsidRPr="006301EB">
        <w:rPr>
          <w:rFonts w:eastAsia="Calibri" w:cs="Tahoma"/>
          <w:b/>
          <w:color w:val="000000"/>
          <w:szCs w:val="18"/>
          <w:lang w:val="pt-BR"/>
        </w:rPr>
        <w:t>Nuvem da Comunidade do Governo (Apenas para os Estados Unidos)</w:t>
      </w:r>
    </w:p>
    <w:p w:rsidR="006D33A5" w:rsidRPr="006301EB" w:rsidRDefault="006D33A5" w:rsidP="006D33A5">
      <w:pPr>
        <w:ind w:left="720"/>
        <w:rPr>
          <w:lang w:val="pt-BR"/>
        </w:rPr>
      </w:pPr>
      <w:r w:rsidRPr="006301EB">
        <w:rPr>
          <w:rFonts w:eastAsia="Calibri" w:cs="Tahoma"/>
          <w:color w:val="000000"/>
          <w:szCs w:val="18"/>
          <w:lang w:val="pt-BR"/>
        </w:rPr>
        <w:t>Alguns serviços online na família de produtos do Office 365 (incluindo Lync Online Planos 1, 2 e 3) são oferecidos como serviços de nuvem da comunidade do governo e serviços de nuvem da comunidade não governamental.</w:t>
      </w:r>
      <w:r w:rsidR="00FB5496" w:rsidRPr="006301EB">
        <w:rPr>
          <w:rFonts w:eastAsia="Calibri" w:cs="Tahoma"/>
          <w:color w:val="000000"/>
          <w:szCs w:val="18"/>
          <w:lang w:val="pt-BR"/>
        </w:rPr>
        <w:t xml:space="preserve"> </w:t>
      </w:r>
      <w:r w:rsidRPr="006301EB">
        <w:rPr>
          <w:rFonts w:eastAsia="Calibri" w:cs="Tahoma"/>
          <w:color w:val="000000"/>
          <w:szCs w:val="18"/>
          <w:lang w:val="pt-BR"/>
        </w:rPr>
        <w:t>Os clientes podem ser provisionados como um ou outro, mas não com uma mistura dos dois.</w:t>
      </w:r>
      <w:r w:rsidR="00FB5496" w:rsidRPr="006301EB">
        <w:rPr>
          <w:rFonts w:eastAsia="Calibri" w:cs="Tahoma"/>
          <w:color w:val="000000"/>
          <w:szCs w:val="18"/>
          <w:lang w:val="pt-BR"/>
        </w:rPr>
        <w:t xml:space="preserve"> </w:t>
      </w:r>
      <w:r w:rsidRPr="006301EB">
        <w:rPr>
          <w:rFonts w:eastAsia="Calibri" w:cs="Tahoma"/>
          <w:color w:val="000000"/>
          <w:szCs w:val="18"/>
          <w:lang w:val="pt-BR"/>
        </w:rPr>
        <w:t>Os Serviços Online projetados como nuvem de comunidade do governo não podem ser implantados no</w:t>
      </w:r>
      <w:r w:rsidR="00EC2258" w:rsidRPr="006301EB">
        <w:rPr>
          <w:color w:val="000000"/>
          <w:lang w:val="pt-BR"/>
        </w:rPr>
        <w:t> </w:t>
      </w:r>
      <w:r w:rsidRPr="006301EB">
        <w:rPr>
          <w:rFonts w:eastAsia="Calibri" w:cs="Tahoma"/>
          <w:color w:val="000000"/>
          <w:szCs w:val="18"/>
          <w:lang w:val="pt-BR"/>
        </w:rPr>
        <w:t>mesmo domínio que os serviços de nuvem da comunidade não governamental específicos.</w:t>
      </w:r>
      <w:r w:rsidR="00FB5496" w:rsidRPr="006301EB">
        <w:rPr>
          <w:rFonts w:eastAsia="Calibri" w:cs="Tahoma"/>
          <w:color w:val="000000"/>
          <w:szCs w:val="18"/>
          <w:lang w:val="pt-BR"/>
        </w:rPr>
        <w:t xml:space="preserve"> </w:t>
      </w:r>
      <w:r w:rsidRPr="006301EB">
        <w:rPr>
          <w:rFonts w:eastAsia="Calibri" w:cs="Tahoma"/>
          <w:color w:val="000000"/>
          <w:szCs w:val="18"/>
          <w:lang w:val="pt-BR"/>
        </w:rPr>
        <w:t>Esta limitação</w:t>
      </w:r>
      <w:r w:rsidR="00EC2258" w:rsidRPr="006301EB">
        <w:rPr>
          <w:color w:val="000000"/>
          <w:lang w:val="pt-BR"/>
        </w:rPr>
        <w:t> </w:t>
      </w:r>
      <w:r w:rsidRPr="006301EB">
        <w:rPr>
          <w:rFonts w:eastAsia="Calibri" w:cs="Tahoma"/>
          <w:color w:val="000000"/>
          <w:szCs w:val="18"/>
          <w:lang w:val="pt-BR"/>
        </w:rPr>
        <w:t>se estende a qualquer serviço online que faça parte da família de produtos do Office 365, incluindo</w:t>
      </w:r>
      <w:r w:rsidR="00EC2258" w:rsidRPr="006301EB">
        <w:rPr>
          <w:color w:val="000000"/>
          <w:lang w:val="pt-BR"/>
        </w:rPr>
        <w:t> </w:t>
      </w:r>
      <w:r w:rsidRPr="006301EB">
        <w:rPr>
          <w:rFonts w:eastAsia="Calibri" w:cs="Tahoma"/>
          <w:color w:val="000000"/>
          <w:szCs w:val="18"/>
          <w:lang w:val="pt-BR"/>
        </w:rPr>
        <w:t>Exchange Online, SharePoint Online e Lync Online.</w:t>
      </w:r>
    </w:p>
    <w:p w:rsidR="006D33A5" w:rsidRPr="006301EB" w:rsidRDefault="006D33A5" w:rsidP="006D33A5">
      <w:pPr>
        <w:ind w:left="720"/>
        <w:rPr>
          <w:lang w:val="pt-BR"/>
        </w:rPr>
      </w:pPr>
      <w:r w:rsidRPr="006301EB">
        <w:rPr>
          <w:rFonts w:eastAsia="Calibri" w:cs="Tahoma"/>
          <w:color w:val="000000"/>
          <w:szCs w:val="18"/>
          <w:lang w:val="pt-BR"/>
        </w:rPr>
        <w:t>Assim que um serviço online é provisionado na nuvem de comunidade do governo, ele permanecerá lá pela duração da vigência da assinatura.</w:t>
      </w:r>
      <w:r w:rsidR="00FB5496" w:rsidRPr="006301EB">
        <w:rPr>
          <w:rFonts w:eastAsia="Calibri" w:cs="Tahoma"/>
          <w:color w:val="000000"/>
          <w:szCs w:val="18"/>
          <w:lang w:val="pt-BR"/>
        </w:rPr>
        <w:t xml:space="preserve"> </w:t>
      </w:r>
      <w:r w:rsidRPr="006301EB">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FB5496" w:rsidRPr="006301EB">
        <w:rPr>
          <w:rFonts w:eastAsia="Calibri" w:cs="Tahoma"/>
          <w:color w:val="000000"/>
          <w:szCs w:val="18"/>
          <w:lang w:val="pt-BR"/>
        </w:rPr>
        <w:t xml:space="preserve"> </w:t>
      </w:r>
      <w:r w:rsidRPr="006301EB">
        <w:rPr>
          <w:rFonts w:eastAsia="Calibri" w:cs="Tahoma"/>
          <w:color w:val="000000"/>
          <w:szCs w:val="18"/>
          <w:lang w:val="pt-BR"/>
        </w:rPr>
        <w:t>Os Direitos de Uso para serviços de nuvem da comunidade do governo</w:t>
      </w:r>
      <w:r w:rsidR="00EC2258" w:rsidRPr="006301EB">
        <w:rPr>
          <w:rFonts w:cs="Tahoma"/>
          <w:color w:val="000000"/>
          <w:szCs w:val="18"/>
          <w:lang w:val="pt-BR"/>
        </w:rPr>
        <w:t> </w:t>
      </w:r>
      <w:r w:rsidRPr="006301EB">
        <w:rPr>
          <w:rFonts w:eastAsia="Calibri" w:cs="Tahoma"/>
          <w:color w:val="000000"/>
          <w:szCs w:val="18"/>
          <w:lang w:val="pt-BR"/>
        </w:rPr>
        <w:t>são equivalentes àqueles dos seus diversos locatários padrão.</w:t>
      </w:r>
    </w:p>
    <w:p w:rsidR="00FC31B7" w:rsidRPr="006301EB" w:rsidRDefault="00FC31B7" w:rsidP="00FC31B7">
      <w:pPr>
        <w:ind w:left="720"/>
        <w:rPr>
          <w:lang w:val="pt-BR"/>
        </w:rPr>
      </w:pPr>
    </w:p>
    <w:p w:rsidR="00586FCE" w:rsidRPr="006301EB" w:rsidRDefault="00586FCE" w:rsidP="00FC31B7">
      <w:pPr>
        <w:ind w:left="720"/>
        <w:rPr>
          <w:lang w:val="pt-BR"/>
        </w:rPr>
      </w:pPr>
    </w:p>
    <w:p w:rsidR="004E0852" w:rsidRPr="00416070" w:rsidRDefault="0099402E" w:rsidP="004E0852">
      <w:pPr>
        <w:pStyle w:val="Heading2"/>
        <w:ind w:left="0"/>
      </w:pPr>
      <w:bookmarkStart w:id="1322" w:name="_62_Lync_Server"/>
      <w:bookmarkStart w:id="1323" w:name="_Toc352234390"/>
      <w:bookmarkStart w:id="1324" w:name="_Toc336338326"/>
      <w:bookmarkStart w:id="1325" w:name="Srv_62LyncServer2010StandEnt"/>
      <w:bookmarkEnd w:id="1322"/>
      <w:r w:rsidRPr="00416070">
        <w:rPr>
          <w:rFonts w:ascii="Tahoma" w:hAnsi="Tahoma" w:cs="Tahoma"/>
          <w:caps/>
          <w:color w:val="FA6500"/>
          <w:sz w:val="22"/>
          <w:vertAlign w:val="superscript"/>
        </w:rPr>
        <w:t>64</w:t>
      </w:r>
      <w:r w:rsidRPr="00615CB9">
        <w:rPr>
          <w:rFonts w:ascii="Tahoma" w:hAnsi="Tahoma" w:cs="Tahoma"/>
          <w:caps/>
          <w:color w:val="FA6500"/>
          <w:sz w:val="22"/>
        </w:rPr>
        <w:t xml:space="preserve"> </w:t>
      </w:r>
      <w:r w:rsidRPr="00416070">
        <w:rPr>
          <w:rFonts w:ascii="Tahoma" w:hAnsi="Tahoma" w:cs="Tahoma"/>
          <w:color w:val="FA6500"/>
          <w:sz w:val="22"/>
        </w:rPr>
        <w:t>Lync Server 2013</w:t>
      </w:r>
      <w:bookmarkEnd w:id="1323"/>
      <w:r w:rsidRPr="00416070">
        <w:rPr>
          <w:rFonts w:ascii="Tahoma" w:hAnsi="Tahoma" w:cs="Tahoma"/>
          <w:color w:val="FA6500"/>
          <w:sz w:val="22"/>
        </w:rPr>
        <w:t xml:space="preserve"> </w:t>
      </w:r>
    </w:p>
    <w:p w:rsidR="004E0852" w:rsidRPr="006301EB" w:rsidRDefault="004E0852" w:rsidP="004E0852">
      <w:pPr>
        <w:ind w:left="720"/>
        <w:rPr>
          <w:lang w:val="pt-BR"/>
        </w:rPr>
      </w:pPr>
    </w:p>
    <w:p w:rsidR="004E0852" w:rsidRPr="006301EB" w:rsidRDefault="004E0852" w:rsidP="004E0852">
      <w:pPr>
        <w:ind w:left="720"/>
        <w:rPr>
          <w:lang w:val="pt-BR"/>
        </w:rPr>
      </w:pPr>
      <w:r w:rsidRPr="006301EB">
        <w:rPr>
          <w:rFonts w:cs="Tahoma"/>
          <w:color w:val="000000"/>
          <w:szCs w:val="18"/>
          <w:lang w:val="pt-BR"/>
        </w:rPr>
        <w:t>O Lync Server 2013 é a versão mais recente do Lync Server.</w:t>
      </w:r>
      <w:r w:rsidR="00FB5496" w:rsidRPr="006301EB">
        <w:rPr>
          <w:rFonts w:cs="Tahoma"/>
          <w:color w:val="000000"/>
          <w:szCs w:val="18"/>
          <w:lang w:val="pt-BR"/>
        </w:rPr>
        <w:t xml:space="preserve"> </w:t>
      </w:r>
      <w:r w:rsidRPr="006301EB">
        <w:rPr>
          <w:rFonts w:cs="Tahoma"/>
          <w:color w:val="000000"/>
          <w:szCs w:val="18"/>
          <w:lang w:val="pt-BR"/>
        </w:rPr>
        <w:t>Os clientes com Software Assurance ativo para</w:t>
      </w:r>
      <w:r w:rsidR="00EC2258" w:rsidRPr="006301EB">
        <w:rPr>
          <w:rFonts w:cs="Tahoma"/>
          <w:color w:val="000000"/>
          <w:szCs w:val="18"/>
          <w:lang w:val="pt-BR"/>
        </w:rPr>
        <w:t> </w:t>
      </w:r>
      <w:r w:rsidRPr="006301EB">
        <w:rPr>
          <w:rFonts w:cs="Tahoma"/>
          <w:color w:val="000000"/>
          <w:szCs w:val="18"/>
          <w:lang w:val="pt-BR"/>
        </w:rPr>
        <w:t xml:space="preserve">Lync Server 2010 Standard ou Enterprise </w:t>
      </w:r>
      <w:bookmarkEnd w:id="1324"/>
      <w:r w:rsidRPr="006301EB">
        <w:rPr>
          <w:rFonts w:cs="Tahoma"/>
          <w:color w:val="000000"/>
          <w:szCs w:val="18"/>
          <w:lang w:val="pt-BR"/>
        </w:rPr>
        <w:t>em 1</w:t>
      </w:r>
      <w:r w:rsidRPr="006301EB">
        <w:rPr>
          <w:rFonts w:cs="Tahoma"/>
          <w:color w:val="000000"/>
          <w:szCs w:val="18"/>
          <w:vertAlign w:val="superscript"/>
          <w:lang w:val="pt-BR"/>
        </w:rPr>
        <w:t>º</w:t>
      </w:r>
      <w:r w:rsidRPr="006301EB">
        <w:rPr>
          <w:rFonts w:cs="Tahoma"/>
          <w:color w:val="000000"/>
          <w:szCs w:val="18"/>
          <w:lang w:val="pt-BR"/>
        </w:rPr>
        <w:t xml:space="preserve"> de dezembro de 2012 poderão atualizar para e usar</w:t>
      </w:r>
      <w:r w:rsidR="00EC2258" w:rsidRPr="006301EB">
        <w:rPr>
          <w:rFonts w:cs="Tahoma"/>
          <w:color w:val="000000"/>
          <w:szCs w:val="18"/>
          <w:lang w:val="pt-BR"/>
        </w:rPr>
        <w:t> </w:t>
      </w:r>
      <w:r w:rsidRPr="006301EB">
        <w:rPr>
          <w:rFonts w:cs="Tahoma"/>
          <w:color w:val="000000"/>
          <w:szCs w:val="18"/>
          <w:lang w:val="pt-BR"/>
        </w:rPr>
        <w:t>o</w:t>
      </w:r>
      <w:r w:rsidR="00EC2258" w:rsidRPr="006301EB">
        <w:rPr>
          <w:rFonts w:cs="Tahoma"/>
          <w:color w:val="000000"/>
          <w:szCs w:val="18"/>
          <w:lang w:val="pt-BR"/>
        </w:rPr>
        <w:t> </w:t>
      </w:r>
      <w:r w:rsidRPr="006301EB">
        <w:rPr>
          <w:rFonts w:cs="Tahoma"/>
          <w:color w:val="000000"/>
          <w:szCs w:val="18"/>
          <w:lang w:val="pt-BR"/>
        </w:rPr>
        <w:t>Lync Server 2013 em vez de suas cópias licenciadas correspondentes do Lync Server 2010.</w:t>
      </w:r>
    </w:p>
    <w:bookmarkEnd w:id="1325"/>
    <w:p w:rsidR="00CD0D74" w:rsidRPr="006301EB" w:rsidRDefault="00CD0D74" w:rsidP="00CD0D74">
      <w:pPr>
        <w:ind w:left="720"/>
        <w:rPr>
          <w:lang w:val="pt-BR"/>
        </w:rPr>
      </w:pPr>
    </w:p>
    <w:p w:rsidR="00CD0D74" w:rsidRPr="006301EB" w:rsidRDefault="00CD0D74" w:rsidP="00CD0D74">
      <w:pPr>
        <w:ind w:left="720"/>
        <w:rPr>
          <w:lang w:val="pt-BR"/>
        </w:rPr>
      </w:pPr>
      <w:r w:rsidRPr="006301EB">
        <w:rPr>
          <w:rFonts w:cs="Tahoma"/>
          <w:color w:val="000000"/>
          <w:szCs w:val="18"/>
          <w:lang w:val="pt-BR"/>
        </w:rPr>
        <w:t>As CALs do Lync Server 2013 são as CALs sucessoras para as CALs do Lync Server 2010.</w:t>
      </w:r>
    </w:p>
    <w:p w:rsidR="00CD0D74" w:rsidRPr="006301EB" w:rsidRDefault="00CD0D74" w:rsidP="00CD0D74">
      <w:pPr>
        <w:ind w:left="720"/>
        <w:rPr>
          <w:lang w:val="pt-BR"/>
        </w:rPr>
      </w:pPr>
      <w:r w:rsidRPr="006301EB">
        <w:rPr>
          <w:rFonts w:cs="Tahoma"/>
          <w:color w:val="000000"/>
          <w:szCs w:val="18"/>
          <w:lang w:val="pt-B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416070" w:rsidTr="0057135E">
        <w:trPr>
          <w:trHeight w:val="332"/>
        </w:trPr>
        <w:tc>
          <w:tcPr>
            <w:tcW w:w="4500" w:type="dxa"/>
            <w:shd w:val="clear" w:color="auto" w:fill="FABF8F"/>
          </w:tcPr>
          <w:p w:rsidR="00CD0D74" w:rsidRPr="00416070" w:rsidRDefault="00CD0D74" w:rsidP="0057135E">
            <w:pPr>
              <w:rPr>
                <w:rFonts w:cs="Tahoma"/>
                <w:b/>
                <w:color w:val="000000"/>
                <w:szCs w:val="18"/>
              </w:rPr>
            </w:pPr>
            <w:r w:rsidRPr="00416070">
              <w:rPr>
                <w:rFonts w:cs="Tahoma"/>
                <w:b/>
                <w:color w:val="000000"/>
                <w:szCs w:val="18"/>
              </w:rPr>
              <w:t>CAL do Lync Server 2010</w:t>
            </w:r>
          </w:p>
        </w:tc>
        <w:tc>
          <w:tcPr>
            <w:tcW w:w="3600" w:type="dxa"/>
            <w:shd w:val="clear" w:color="auto" w:fill="FABF8F"/>
          </w:tcPr>
          <w:p w:rsidR="00CD0D74" w:rsidRPr="00416070" w:rsidRDefault="00CD0D74" w:rsidP="0057135E">
            <w:pPr>
              <w:rPr>
                <w:rFonts w:cs="Tahoma"/>
                <w:b/>
                <w:color w:val="000000"/>
                <w:szCs w:val="18"/>
              </w:rPr>
            </w:pPr>
            <w:r w:rsidRPr="00416070">
              <w:rPr>
                <w:rFonts w:cs="Tahoma"/>
                <w:b/>
                <w:color w:val="000000"/>
                <w:szCs w:val="18"/>
              </w:rPr>
              <w:t>Versão Sucessora</w:t>
            </w:r>
          </w:p>
        </w:tc>
      </w:tr>
      <w:tr w:rsidR="00CD0D74" w:rsidRPr="00416070" w:rsidTr="0057135E">
        <w:trPr>
          <w:trHeight w:val="70"/>
        </w:trPr>
        <w:tc>
          <w:tcPr>
            <w:tcW w:w="4500" w:type="dxa"/>
            <w:shd w:val="clear" w:color="auto" w:fill="auto"/>
          </w:tcPr>
          <w:p w:rsidR="00CD0D74" w:rsidRPr="00416070" w:rsidRDefault="00CD0D74" w:rsidP="0057135E">
            <w:pPr>
              <w:rPr>
                <w:rFonts w:cs="Tahoma"/>
                <w:color w:val="000000"/>
                <w:szCs w:val="18"/>
              </w:rPr>
            </w:pPr>
            <w:r w:rsidRPr="00416070">
              <w:rPr>
                <w:rFonts w:cs="Tahoma"/>
                <w:color w:val="000000"/>
                <w:szCs w:val="18"/>
              </w:rPr>
              <w:t xml:space="preserve">CAL do Lync Server 2010 Plus </w:t>
            </w:r>
          </w:p>
        </w:tc>
        <w:tc>
          <w:tcPr>
            <w:tcW w:w="3600" w:type="dxa"/>
            <w:shd w:val="clear" w:color="auto" w:fill="auto"/>
          </w:tcPr>
          <w:p w:rsidR="00CD0D74" w:rsidRPr="00416070" w:rsidRDefault="00CD0D74" w:rsidP="0057135E">
            <w:pPr>
              <w:rPr>
                <w:rFonts w:cs="Tahoma"/>
                <w:color w:val="000000"/>
                <w:szCs w:val="18"/>
              </w:rPr>
            </w:pPr>
            <w:r w:rsidRPr="00416070">
              <w:rPr>
                <w:rFonts w:cs="Tahoma"/>
                <w:color w:val="000000"/>
                <w:szCs w:val="18"/>
              </w:rPr>
              <w:t>CAL do Lync Server 2013 Plus</w:t>
            </w:r>
          </w:p>
        </w:tc>
      </w:tr>
      <w:tr w:rsidR="00CD0D74" w:rsidRPr="002B5F9E" w:rsidTr="0057135E">
        <w:trPr>
          <w:trHeight w:val="70"/>
        </w:trPr>
        <w:tc>
          <w:tcPr>
            <w:tcW w:w="4500" w:type="dxa"/>
            <w:shd w:val="clear" w:color="auto" w:fill="auto"/>
          </w:tcPr>
          <w:p w:rsidR="00CD0D74" w:rsidRPr="008B3916" w:rsidRDefault="00CD0D74" w:rsidP="0057135E">
            <w:pPr>
              <w:rPr>
                <w:rFonts w:cs="Tahoma"/>
                <w:color w:val="000000"/>
                <w:szCs w:val="18"/>
                <w:lang w:val="pt-BR"/>
              </w:rPr>
            </w:pPr>
            <w:r w:rsidRPr="008B3916">
              <w:rPr>
                <w:rFonts w:cs="Tahoma"/>
                <w:color w:val="000000"/>
                <w:szCs w:val="18"/>
                <w:lang w:val="pt-BR"/>
              </w:rPr>
              <w:t xml:space="preserve">CAL Empresarial do Lync Server 2010 </w:t>
            </w:r>
          </w:p>
        </w:tc>
        <w:tc>
          <w:tcPr>
            <w:tcW w:w="3600" w:type="dxa"/>
            <w:shd w:val="clear" w:color="auto" w:fill="auto"/>
          </w:tcPr>
          <w:p w:rsidR="00CD0D74" w:rsidRPr="008B3916" w:rsidRDefault="00CD0D74" w:rsidP="0057135E">
            <w:pPr>
              <w:rPr>
                <w:rFonts w:cs="Tahoma"/>
                <w:color w:val="000000"/>
                <w:szCs w:val="18"/>
                <w:lang w:val="pt-BR"/>
              </w:rPr>
            </w:pPr>
            <w:r w:rsidRPr="008B3916">
              <w:rPr>
                <w:rFonts w:cs="Tahoma"/>
                <w:color w:val="000000"/>
                <w:szCs w:val="18"/>
                <w:lang w:val="pt-BR"/>
              </w:rPr>
              <w:t>CAL do Lync Server 2013 Enterprise</w:t>
            </w:r>
          </w:p>
        </w:tc>
      </w:tr>
      <w:tr w:rsidR="00CD0D74" w:rsidRPr="00416070" w:rsidTr="0057135E">
        <w:trPr>
          <w:trHeight w:val="70"/>
        </w:trPr>
        <w:tc>
          <w:tcPr>
            <w:tcW w:w="4500" w:type="dxa"/>
            <w:shd w:val="clear" w:color="auto" w:fill="auto"/>
          </w:tcPr>
          <w:p w:rsidR="00CD0D74" w:rsidRPr="008B3916" w:rsidRDefault="00CD0D74" w:rsidP="0057135E">
            <w:pPr>
              <w:rPr>
                <w:rFonts w:cs="Tahoma"/>
                <w:color w:val="000000"/>
                <w:szCs w:val="18"/>
                <w:lang w:val="pt-BR"/>
              </w:rPr>
            </w:pPr>
            <w:r w:rsidRPr="008B3916">
              <w:rPr>
                <w:rFonts w:cs="Tahoma"/>
                <w:color w:val="000000"/>
                <w:szCs w:val="18"/>
                <w:lang w:val="pt-BR"/>
              </w:rPr>
              <w:t xml:space="preserve">CAL Padrão do Lync Server 2010 </w:t>
            </w:r>
          </w:p>
        </w:tc>
        <w:tc>
          <w:tcPr>
            <w:tcW w:w="3600" w:type="dxa"/>
            <w:shd w:val="clear" w:color="auto" w:fill="auto"/>
          </w:tcPr>
          <w:p w:rsidR="00CD0D74" w:rsidRPr="00416070" w:rsidRDefault="00CD0D74" w:rsidP="0057135E">
            <w:pPr>
              <w:rPr>
                <w:rFonts w:cs="Tahoma"/>
                <w:color w:val="000000"/>
                <w:szCs w:val="18"/>
              </w:rPr>
            </w:pPr>
            <w:r w:rsidRPr="00416070">
              <w:rPr>
                <w:rFonts w:cs="Tahoma"/>
                <w:color w:val="000000"/>
                <w:szCs w:val="18"/>
              </w:rPr>
              <w:t>CAL do Lync Server 2013 Standard</w:t>
            </w:r>
          </w:p>
        </w:tc>
      </w:tr>
    </w:tbl>
    <w:p w:rsidR="004E0852" w:rsidRPr="00416070" w:rsidRDefault="004E0852" w:rsidP="003D0252"/>
    <w:p w:rsidR="004E0852" w:rsidRPr="008B3916" w:rsidRDefault="004E0852" w:rsidP="0080323A">
      <w:pPr>
        <w:spacing w:after="60"/>
        <w:ind w:left="720"/>
        <w:rPr>
          <w:lang w:val="pt-BR"/>
        </w:rPr>
      </w:pPr>
      <w:r w:rsidRPr="008B3916">
        <w:rPr>
          <w:rFonts w:cs="Tahoma"/>
          <w:b/>
          <w:color w:val="000000"/>
          <w:szCs w:val="18"/>
          <w:lang w:val="pt-BR"/>
        </w:rPr>
        <w:t xml:space="preserve">Outorga de Licença para Clientes do Conector Externo do Lync Server 2010 Enterprise, Conector Externo do Lync Server 2010 Plus e Clientes do Conector Externo do </w:t>
      </w:r>
      <w:r w:rsidR="004D27F8" w:rsidRPr="008B3916">
        <w:rPr>
          <w:rFonts w:cs="Tahoma"/>
          <w:b/>
          <w:color w:val="000000"/>
          <w:szCs w:val="18"/>
          <w:lang w:val="pt-BR"/>
        </w:rPr>
        <w:br/>
      </w:r>
      <w:r w:rsidRPr="008B3916">
        <w:rPr>
          <w:rFonts w:cs="Tahoma"/>
          <w:b/>
          <w:color w:val="000000"/>
          <w:szCs w:val="18"/>
          <w:lang w:val="pt-BR"/>
        </w:rPr>
        <w:t>Lync Server 2010 Standard</w:t>
      </w:r>
    </w:p>
    <w:p w:rsidR="004E0852" w:rsidRPr="008B3916" w:rsidRDefault="004E0852" w:rsidP="003D0252">
      <w:pPr>
        <w:ind w:left="720"/>
        <w:rPr>
          <w:lang w:val="pt-BR"/>
        </w:rPr>
      </w:pPr>
      <w:r w:rsidRPr="008B3916">
        <w:rPr>
          <w:rFonts w:cs="Tahoma"/>
          <w:color w:val="000000"/>
          <w:szCs w:val="18"/>
          <w:lang w:val="pt-BR"/>
        </w:rPr>
        <w:t>A versão 2010 do Conector Externo do Lync Server 2010 Enterprise, Conector Externo do Lync Server 2010 Plus e Clientes do Conector Externo do Lync Server 2010 Standard é a versão final destas licenças.</w:t>
      </w:r>
      <w:r w:rsidR="00FB5496" w:rsidRPr="008B3916">
        <w:rPr>
          <w:rFonts w:cs="Tahoma"/>
          <w:color w:val="000000"/>
          <w:szCs w:val="18"/>
          <w:lang w:val="pt-BR"/>
        </w:rPr>
        <w:t xml:space="preserve"> </w:t>
      </w:r>
      <w:r w:rsidRPr="008B3916">
        <w:rPr>
          <w:rFonts w:cs="Tahoma"/>
          <w:color w:val="000000"/>
          <w:szCs w:val="18"/>
          <w:lang w:val="pt-BR"/>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w:t>
      </w:r>
      <w:r w:rsidRPr="008B3916">
        <w:rPr>
          <w:rFonts w:cs="Tahoma"/>
          <w:color w:val="000000"/>
          <w:szCs w:val="18"/>
          <w:vertAlign w:val="superscript"/>
          <w:lang w:val="pt-BR"/>
        </w:rPr>
        <w:t>º</w:t>
      </w:r>
      <w:r w:rsidRPr="008B3916">
        <w:rPr>
          <w:rFonts w:cs="Tahoma"/>
          <w:color w:val="000000"/>
          <w:szCs w:val="18"/>
          <w:lang w:val="pt-BR"/>
        </w:rPr>
        <w:t xml:space="preserve"> de dezembro de 2012 estarão qualificados para a outorga de licença a seguir.</w:t>
      </w:r>
    </w:p>
    <w:p w:rsidR="004E0852" w:rsidRPr="008B3916" w:rsidRDefault="004E0852" w:rsidP="004E0852">
      <w:pPr>
        <w:ind w:left="90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70"/>
        <w:gridCol w:w="3510"/>
      </w:tblGrid>
      <w:tr w:rsidR="00BD1A6A" w:rsidRPr="00416070" w:rsidTr="004D27F8">
        <w:trPr>
          <w:trHeight w:val="332"/>
        </w:trPr>
        <w:tc>
          <w:tcPr>
            <w:tcW w:w="4770" w:type="dxa"/>
            <w:shd w:val="clear" w:color="auto" w:fill="FABF8F"/>
          </w:tcPr>
          <w:p w:rsidR="00BD1A6A" w:rsidRPr="00416070" w:rsidRDefault="00BD1A6A" w:rsidP="002C3AB1">
            <w:pPr>
              <w:rPr>
                <w:rFonts w:cs="Tahoma"/>
                <w:b/>
                <w:color w:val="000000"/>
                <w:szCs w:val="18"/>
              </w:rPr>
            </w:pPr>
            <w:r w:rsidRPr="00416070">
              <w:rPr>
                <w:rFonts w:cs="Tahoma"/>
                <w:b/>
                <w:color w:val="000000"/>
                <w:szCs w:val="18"/>
              </w:rPr>
              <w:t>Licença Qualificada</w:t>
            </w:r>
          </w:p>
        </w:tc>
        <w:tc>
          <w:tcPr>
            <w:tcW w:w="3510" w:type="dxa"/>
            <w:shd w:val="clear" w:color="auto" w:fill="FABF8F"/>
          </w:tcPr>
          <w:p w:rsidR="00BD1A6A" w:rsidRPr="00416070" w:rsidRDefault="00BD1A6A" w:rsidP="002C3AB1">
            <w:pPr>
              <w:rPr>
                <w:rFonts w:cs="Tahoma"/>
                <w:b/>
                <w:color w:val="000000"/>
                <w:szCs w:val="18"/>
              </w:rPr>
            </w:pPr>
            <w:r w:rsidRPr="00416070">
              <w:rPr>
                <w:rFonts w:cs="Tahoma"/>
                <w:b/>
                <w:color w:val="000000"/>
                <w:szCs w:val="18"/>
              </w:rPr>
              <w:t>Licença Complementar e Benefícios</w:t>
            </w:r>
          </w:p>
        </w:tc>
      </w:tr>
      <w:tr w:rsidR="00BD1A6A" w:rsidRPr="00416070" w:rsidTr="004D27F8">
        <w:trPr>
          <w:trHeight w:val="70"/>
        </w:trPr>
        <w:tc>
          <w:tcPr>
            <w:tcW w:w="4770" w:type="dxa"/>
            <w:shd w:val="clear" w:color="auto" w:fill="auto"/>
          </w:tcPr>
          <w:p w:rsidR="00BD1A6A" w:rsidRPr="008B3916" w:rsidRDefault="00BD1A6A" w:rsidP="002C3AB1">
            <w:pPr>
              <w:rPr>
                <w:rFonts w:cs="Tahoma"/>
                <w:color w:val="000000"/>
                <w:szCs w:val="18"/>
                <w:lang w:val="pt-BR"/>
              </w:rPr>
            </w:pPr>
            <w:r w:rsidRPr="008B3916">
              <w:rPr>
                <w:rFonts w:cs="Tahoma"/>
                <w:color w:val="000000"/>
                <w:szCs w:val="18"/>
                <w:lang w:val="pt-BR"/>
              </w:rPr>
              <w:t>Conector Externo do Lync Server 2010 Enterprise com Software Assurance ativo em 1</w:t>
            </w:r>
            <w:r w:rsidRPr="008B3916">
              <w:rPr>
                <w:rFonts w:cs="Tahoma"/>
                <w:color w:val="000000"/>
                <w:szCs w:val="18"/>
                <w:vertAlign w:val="superscript"/>
                <w:lang w:val="pt-BR"/>
              </w:rPr>
              <w:t>º</w:t>
            </w:r>
            <w:r w:rsidRPr="008B3916">
              <w:rPr>
                <w:rFonts w:cs="Tahoma"/>
                <w:color w:val="000000"/>
                <w:szCs w:val="18"/>
                <w:lang w:val="pt-BR"/>
              </w:rPr>
              <w:t xml:space="preserve"> de dezembro de 2012</w:t>
            </w:r>
          </w:p>
        </w:tc>
        <w:tc>
          <w:tcPr>
            <w:tcW w:w="3510" w:type="dxa"/>
            <w:shd w:val="clear" w:color="auto" w:fill="auto"/>
          </w:tcPr>
          <w:p w:rsidR="00BD1A6A" w:rsidRPr="00416070" w:rsidRDefault="00BD1A6A" w:rsidP="002C3AB1">
            <w:pPr>
              <w:rPr>
                <w:rFonts w:cs="Tahoma"/>
                <w:color w:val="000000"/>
                <w:szCs w:val="18"/>
              </w:rPr>
            </w:pPr>
            <w:r w:rsidRPr="00416070">
              <w:rPr>
                <w:rFonts w:cs="Tahoma"/>
                <w:color w:val="000000"/>
                <w:szCs w:val="18"/>
              </w:rPr>
              <w:t>Licença do Lync Server 2013</w:t>
            </w:r>
          </w:p>
        </w:tc>
      </w:tr>
      <w:tr w:rsidR="00BD1A6A" w:rsidRPr="00416070" w:rsidTr="004D27F8">
        <w:trPr>
          <w:trHeight w:val="70"/>
        </w:trPr>
        <w:tc>
          <w:tcPr>
            <w:tcW w:w="4770" w:type="dxa"/>
            <w:shd w:val="clear" w:color="auto" w:fill="auto"/>
          </w:tcPr>
          <w:p w:rsidR="00BD1A6A" w:rsidRPr="008B3916" w:rsidRDefault="00BD1A6A" w:rsidP="002C3AB1">
            <w:pPr>
              <w:rPr>
                <w:rFonts w:cs="Tahoma"/>
                <w:color w:val="000000"/>
                <w:szCs w:val="18"/>
                <w:lang w:val="pt-BR"/>
              </w:rPr>
            </w:pPr>
            <w:r w:rsidRPr="008B3916">
              <w:rPr>
                <w:rFonts w:cs="Tahoma"/>
                <w:color w:val="000000"/>
                <w:szCs w:val="18"/>
                <w:lang w:val="pt-BR"/>
              </w:rPr>
              <w:t>Conector Externo do Lync Server 2010 Plus com Software Assurance ativo em 1</w:t>
            </w:r>
            <w:r w:rsidRPr="008B3916">
              <w:rPr>
                <w:rFonts w:cs="Tahoma"/>
                <w:color w:val="000000"/>
                <w:szCs w:val="18"/>
                <w:vertAlign w:val="superscript"/>
                <w:lang w:val="pt-BR"/>
              </w:rPr>
              <w:t>º</w:t>
            </w:r>
            <w:r w:rsidRPr="008B3916">
              <w:rPr>
                <w:rFonts w:cs="Tahoma"/>
                <w:color w:val="000000"/>
                <w:szCs w:val="18"/>
                <w:lang w:val="pt-BR"/>
              </w:rPr>
              <w:t xml:space="preserve"> de dezembro de 2012</w:t>
            </w:r>
          </w:p>
        </w:tc>
        <w:tc>
          <w:tcPr>
            <w:tcW w:w="3510" w:type="dxa"/>
            <w:shd w:val="clear" w:color="auto" w:fill="auto"/>
          </w:tcPr>
          <w:p w:rsidR="00BD1A6A" w:rsidRPr="00416070" w:rsidRDefault="00BD1A6A" w:rsidP="002C3AB1">
            <w:pPr>
              <w:rPr>
                <w:rFonts w:cs="Tahoma"/>
                <w:color w:val="000000"/>
                <w:szCs w:val="18"/>
              </w:rPr>
            </w:pPr>
            <w:r w:rsidRPr="00416070">
              <w:rPr>
                <w:rFonts w:cs="Tahoma"/>
                <w:color w:val="000000"/>
                <w:szCs w:val="18"/>
              </w:rPr>
              <w:t>Licença do Lync Server 2013</w:t>
            </w:r>
          </w:p>
        </w:tc>
      </w:tr>
      <w:tr w:rsidR="00BD1A6A" w:rsidRPr="00416070" w:rsidTr="004D27F8">
        <w:trPr>
          <w:trHeight w:val="70"/>
        </w:trPr>
        <w:tc>
          <w:tcPr>
            <w:tcW w:w="4770" w:type="dxa"/>
            <w:shd w:val="clear" w:color="auto" w:fill="auto"/>
          </w:tcPr>
          <w:p w:rsidR="00BD1A6A" w:rsidRPr="008B3916" w:rsidRDefault="00BD1A6A" w:rsidP="002C3AB1">
            <w:pPr>
              <w:rPr>
                <w:rFonts w:cs="Tahoma"/>
                <w:color w:val="000000"/>
                <w:szCs w:val="18"/>
                <w:lang w:val="pt-BR"/>
              </w:rPr>
            </w:pPr>
            <w:r w:rsidRPr="008B3916">
              <w:rPr>
                <w:rFonts w:cs="Tahoma"/>
                <w:color w:val="000000"/>
                <w:szCs w:val="18"/>
                <w:lang w:val="pt-BR"/>
              </w:rPr>
              <w:t>Conector Externo do Lync Server 2010 Standard com Software Assurance ativo em 1</w:t>
            </w:r>
            <w:r w:rsidRPr="008B3916">
              <w:rPr>
                <w:rFonts w:cs="Tahoma"/>
                <w:color w:val="000000"/>
                <w:szCs w:val="18"/>
                <w:vertAlign w:val="superscript"/>
                <w:lang w:val="pt-BR"/>
              </w:rPr>
              <w:t>º</w:t>
            </w:r>
            <w:r w:rsidRPr="008B3916">
              <w:rPr>
                <w:rFonts w:cs="Tahoma"/>
                <w:color w:val="000000"/>
                <w:szCs w:val="18"/>
                <w:lang w:val="pt-BR"/>
              </w:rPr>
              <w:t xml:space="preserve"> de dezembro de 2012</w:t>
            </w:r>
          </w:p>
        </w:tc>
        <w:tc>
          <w:tcPr>
            <w:tcW w:w="3510" w:type="dxa"/>
            <w:shd w:val="clear" w:color="auto" w:fill="auto"/>
          </w:tcPr>
          <w:p w:rsidR="00BD1A6A" w:rsidRPr="00416070" w:rsidRDefault="00BD1A6A" w:rsidP="002C3AB1">
            <w:pPr>
              <w:rPr>
                <w:rFonts w:cs="Tahoma"/>
                <w:color w:val="000000"/>
                <w:szCs w:val="18"/>
              </w:rPr>
            </w:pPr>
            <w:r w:rsidRPr="00416070">
              <w:rPr>
                <w:rFonts w:cs="Tahoma"/>
                <w:color w:val="000000"/>
                <w:szCs w:val="18"/>
              </w:rPr>
              <w:t>Licença do Lync Server 2013</w:t>
            </w:r>
          </w:p>
        </w:tc>
      </w:tr>
    </w:tbl>
    <w:p w:rsidR="004E0852" w:rsidRPr="00416070" w:rsidRDefault="004E0852" w:rsidP="004E0852">
      <w:pPr>
        <w:ind w:left="720"/>
        <w:jc w:val="both"/>
      </w:pPr>
    </w:p>
    <w:p w:rsidR="004E0852" w:rsidRPr="008B3916" w:rsidRDefault="004E0852" w:rsidP="004E0852">
      <w:pPr>
        <w:ind w:left="720"/>
        <w:rPr>
          <w:lang w:val="pt-BR"/>
        </w:rPr>
      </w:pPr>
      <w:r w:rsidRPr="008B3916">
        <w:rPr>
          <w:rFonts w:cs="Tahoma"/>
          <w:color w:val="000000"/>
          <w:szCs w:val="18"/>
          <w:lang w:val="pt-BR"/>
        </w:rPr>
        <w:t>Os termos e as condições a seguir se aplicam às outorgas de licença acima.</w:t>
      </w:r>
    </w:p>
    <w:p w:rsidR="004E0852" w:rsidRPr="008B3916" w:rsidRDefault="004E0852" w:rsidP="004E0852">
      <w:pPr>
        <w:ind w:left="720"/>
        <w:rPr>
          <w:lang w:val="pt-BR"/>
        </w:rPr>
      </w:pPr>
    </w:p>
    <w:p w:rsidR="004E0852" w:rsidRPr="008B3916" w:rsidRDefault="004E0852" w:rsidP="003D0252">
      <w:pPr>
        <w:numPr>
          <w:ilvl w:val="0"/>
          <w:numId w:val="124"/>
        </w:numPr>
        <w:spacing w:after="60"/>
        <w:ind w:left="1440"/>
        <w:rPr>
          <w:lang w:val="pt-BR"/>
        </w:rPr>
      </w:pPr>
      <w:r w:rsidRPr="008B3916">
        <w:rPr>
          <w:rFonts w:cs="Tahoma"/>
          <w:bCs/>
          <w:color w:val="000000"/>
          <w:szCs w:val="18"/>
          <w:u w:val="single"/>
          <w:lang w:val="pt-BR"/>
        </w:rPr>
        <w:t>Caminho de Migração</w:t>
      </w:r>
      <w:r w:rsidRPr="008B3916">
        <w:rPr>
          <w:rFonts w:cs="Tahoma"/>
          <w:color w:val="000000"/>
          <w:szCs w:val="18"/>
          <w:lang w:val="pt-BR"/>
        </w:rPr>
        <w:t>: os clientes com cobertura do Software Assurance ativa para uma determinada Licença Qualificada a partir de 1</w:t>
      </w:r>
      <w:r w:rsidRPr="008B3916">
        <w:rPr>
          <w:rFonts w:cs="Tahoma"/>
          <w:color w:val="000000"/>
          <w:szCs w:val="18"/>
          <w:vertAlign w:val="superscript"/>
          <w:lang w:val="pt-BR"/>
        </w:rPr>
        <w:t>º</w:t>
      </w:r>
      <w:r w:rsidRPr="008B3916">
        <w:rPr>
          <w:rFonts w:cs="Tahoma"/>
          <w:color w:val="000000"/>
          <w:szCs w:val="18"/>
          <w:lang w:val="pt-BR"/>
        </w:rPr>
        <w:t xml:space="preserve"> de dezembro de 2012 e mediante o lançamento do</w:t>
      </w:r>
      <w:r w:rsidR="004D27F8" w:rsidRPr="008B3916">
        <w:rPr>
          <w:rFonts w:cs="Tahoma"/>
          <w:color w:val="000000"/>
          <w:szCs w:val="18"/>
          <w:lang w:val="pt-BR"/>
        </w:rPr>
        <w:t> </w:t>
      </w:r>
      <w:r w:rsidRPr="008B3916">
        <w:rPr>
          <w:rFonts w:cs="Tahoma"/>
          <w:color w:val="000000"/>
          <w:szCs w:val="18"/>
          <w:lang w:val="pt-BR"/>
        </w:rPr>
        <w:t>Lync Server 2013 estão qualificados para atualizar e usar o software Lync Server 2013 sob a</w:t>
      </w:r>
      <w:r w:rsidR="004D27F8" w:rsidRPr="008B3916">
        <w:rPr>
          <w:rFonts w:cs="Tahoma"/>
          <w:color w:val="000000"/>
          <w:szCs w:val="18"/>
          <w:lang w:val="pt-BR"/>
        </w:rPr>
        <w:t> </w:t>
      </w:r>
      <w:r w:rsidRPr="008B3916">
        <w:rPr>
          <w:rFonts w:cs="Tahoma"/>
          <w:color w:val="000000"/>
          <w:szCs w:val="18"/>
          <w:lang w:val="pt-BR"/>
        </w:rPr>
        <w:t>Licença Complementar em vez do software Lync Server 2010 sob a Licença Qualificada do Conector Externo correspondente.</w:t>
      </w:r>
    </w:p>
    <w:p w:rsidR="004E0852" w:rsidRPr="008B3916" w:rsidRDefault="004E0852" w:rsidP="003D0252">
      <w:pPr>
        <w:numPr>
          <w:ilvl w:val="0"/>
          <w:numId w:val="124"/>
        </w:numPr>
        <w:spacing w:after="60"/>
        <w:ind w:left="1440"/>
        <w:rPr>
          <w:lang w:val="pt-BR"/>
        </w:rPr>
      </w:pPr>
      <w:r w:rsidRPr="008B3916">
        <w:rPr>
          <w:rFonts w:cs="Tahoma"/>
          <w:color w:val="000000"/>
          <w:szCs w:val="18"/>
          <w:u w:val="single"/>
          <w:lang w:val="pt-BR"/>
        </w:rPr>
        <w:t>Direitos de uso</w:t>
      </w:r>
      <w:r w:rsidRPr="008B3916">
        <w:rPr>
          <w:rFonts w:cs="Tahoma"/>
          <w:color w:val="000000"/>
          <w:szCs w:val="18"/>
          <w:lang w:val="pt-BR"/>
        </w:rPr>
        <w:t>: O direito de usar o software sob as Licenças Complementares nessa oferta expirará quando o direito de usar o software sob as Licenças Qualificadas expirar.</w:t>
      </w:r>
      <w:r w:rsidR="00FB5496" w:rsidRPr="008B3916">
        <w:rPr>
          <w:rFonts w:cs="Tahoma"/>
          <w:color w:val="000000"/>
          <w:szCs w:val="18"/>
          <w:lang w:val="pt-BR"/>
        </w:rPr>
        <w:t xml:space="preserve"> </w:t>
      </w:r>
      <w:r w:rsidRPr="008B3916">
        <w:rPr>
          <w:rFonts w:cs="Tahoma"/>
          <w:color w:val="000000"/>
          <w:szCs w:val="18"/>
          <w:lang w:val="pt-BR"/>
        </w:rPr>
        <w:t>O uso desse software é regido pelos direitos de uso do software e pelos termos e condições do contrato de licenciamento por volume do cliente.</w:t>
      </w:r>
      <w:r w:rsidR="00FB5496" w:rsidRPr="008B3916">
        <w:rPr>
          <w:rFonts w:cs="Tahoma"/>
          <w:color w:val="000000"/>
          <w:szCs w:val="18"/>
          <w:lang w:val="pt-BR"/>
        </w:rPr>
        <w:t xml:space="preserve"> </w:t>
      </w:r>
      <w:r w:rsidRPr="008B3916">
        <w:rPr>
          <w:rFonts w:cs="Tahoma"/>
          <w:color w:val="000000"/>
          <w:szCs w:val="18"/>
          <w:lang w:val="pt-BR"/>
        </w:rPr>
        <w:t>Essa nota de condição do produto e a evidência do cliente da</w:t>
      </w:r>
      <w:r w:rsidR="004D27F8" w:rsidRPr="008B3916">
        <w:rPr>
          <w:rFonts w:cs="Tahoma"/>
          <w:color w:val="000000"/>
          <w:szCs w:val="18"/>
          <w:lang w:val="pt-BR"/>
        </w:rPr>
        <w:t> </w:t>
      </w:r>
      <w:r w:rsidRPr="008B3916">
        <w:rPr>
          <w:rFonts w:cs="Tahoma"/>
          <w:color w:val="000000"/>
          <w:szCs w:val="18"/>
          <w:lang w:val="pt-BR"/>
        </w:rPr>
        <w:t>Licença Qualificada e do Software Assurance do cliente juntas comprovam o direito de usar o</w:t>
      </w:r>
      <w:r w:rsidR="004D27F8" w:rsidRPr="008B3916">
        <w:rPr>
          <w:rFonts w:cs="Tahoma"/>
          <w:color w:val="000000"/>
          <w:szCs w:val="18"/>
          <w:lang w:val="pt-BR"/>
        </w:rPr>
        <w:t> </w:t>
      </w:r>
      <w:r w:rsidRPr="008B3916">
        <w:rPr>
          <w:rFonts w:cs="Tahoma"/>
          <w:color w:val="000000"/>
          <w:szCs w:val="18"/>
          <w:lang w:val="pt-BR"/>
        </w:rPr>
        <w:t>software sob a Lic</w:t>
      </w:r>
      <w:r w:rsidR="008D0E85" w:rsidRPr="008B3916">
        <w:rPr>
          <w:rFonts w:cs="Tahoma"/>
          <w:color w:val="000000"/>
          <w:szCs w:val="18"/>
          <w:lang w:val="pt-BR"/>
        </w:rPr>
        <w:t>ença Complementar nessa oferta.</w:t>
      </w:r>
    </w:p>
    <w:p w:rsidR="003E651C" w:rsidRPr="008B3916" w:rsidRDefault="003E651C" w:rsidP="003E651C">
      <w:pPr>
        <w:spacing w:after="60"/>
        <w:rPr>
          <w:lang w:val="pt-BR"/>
        </w:rPr>
      </w:pPr>
    </w:p>
    <w:p w:rsidR="003E651C" w:rsidRPr="008B3916" w:rsidRDefault="003E651C" w:rsidP="003E651C">
      <w:pPr>
        <w:spacing w:after="60"/>
        <w:rPr>
          <w:lang w:val="pt-BR"/>
        </w:rPr>
      </w:pPr>
    </w:p>
    <w:p w:rsidR="003E651C" w:rsidRPr="008B3916" w:rsidRDefault="003E651C" w:rsidP="003E651C">
      <w:pPr>
        <w:spacing w:after="60"/>
        <w:rPr>
          <w:lang w:val="pt-BR"/>
        </w:rPr>
      </w:pPr>
    </w:p>
    <w:p w:rsidR="004E0852" w:rsidRPr="008B3916" w:rsidRDefault="004E0852" w:rsidP="003D0252">
      <w:pPr>
        <w:numPr>
          <w:ilvl w:val="0"/>
          <w:numId w:val="8"/>
        </w:numPr>
        <w:spacing w:after="60"/>
        <w:ind w:left="1440"/>
        <w:rPr>
          <w:lang w:val="pt-BR"/>
        </w:rPr>
      </w:pPr>
      <w:r w:rsidRPr="008B3916">
        <w:rPr>
          <w:rFonts w:cs="Tahoma"/>
          <w:color w:val="000000"/>
          <w:szCs w:val="18"/>
          <w:u w:val="single"/>
          <w:lang w:val="pt-BR"/>
        </w:rPr>
        <w:t>Licença e Software Assurance (L&amp;SA)</w:t>
      </w:r>
      <w:r w:rsidRPr="008B3916">
        <w:rPr>
          <w:rFonts w:cs="Tahoma"/>
          <w:color w:val="000000"/>
          <w:szCs w:val="18"/>
          <w:lang w:val="pt-BR"/>
        </w:rPr>
        <w:t>: A Licença Complementar inclui a cobertura do Software Assurance.</w:t>
      </w:r>
      <w:r w:rsidR="00FB5496" w:rsidRPr="008B3916">
        <w:rPr>
          <w:rFonts w:cs="Tahoma"/>
          <w:color w:val="000000"/>
          <w:szCs w:val="18"/>
          <w:lang w:val="pt-BR"/>
        </w:rPr>
        <w:t xml:space="preserve"> </w:t>
      </w:r>
      <w:r w:rsidRPr="008B3916">
        <w:rPr>
          <w:rFonts w:cs="Tahoma"/>
          <w:color w:val="000000"/>
          <w:szCs w:val="18"/>
          <w:lang w:val="pt-BR"/>
        </w:rPr>
        <w:t>A cobertura do Software Assurance sobre a Licença Complementar expirará quando a cobertura da Licença Qualificada expirar.</w:t>
      </w:r>
      <w:r w:rsidR="00FB5496" w:rsidRPr="008B3916">
        <w:rPr>
          <w:rFonts w:cs="Tahoma"/>
          <w:color w:val="000000"/>
          <w:szCs w:val="18"/>
          <w:lang w:val="pt-BR"/>
        </w:rPr>
        <w:t xml:space="preserve"> </w:t>
      </w:r>
      <w:r w:rsidRPr="008B3916">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p>
    <w:p w:rsidR="004E0852" w:rsidRPr="008B3916" w:rsidRDefault="004E0852" w:rsidP="003D0252">
      <w:pPr>
        <w:numPr>
          <w:ilvl w:val="0"/>
          <w:numId w:val="125"/>
        </w:numPr>
        <w:spacing w:after="60"/>
        <w:ind w:left="1440"/>
        <w:rPr>
          <w:lang w:val="pt-BR"/>
        </w:rPr>
      </w:pPr>
      <w:r w:rsidRPr="008B3916">
        <w:rPr>
          <w:rFonts w:eastAsia="Calibri" w:cs="Tahoma"/>
          <w:color w:val="000000"/>
          <w:szCs w:val="18"/>
          <w:u w:val="single"/>
          <w:lang w:val="pt-BR"/>
        </w:rPr>
        <w:t>Adequações (“true-ups”)</w:t>
      </w:r>
      <w:r w:rsidRPr="008B3916">
        <w:rPr>
          <w:rFonts w:eastAsia="Calibri" w:cs="Tahoma"/>
          <w:color w:val="000000"/>
          <w:szCs w:val="18"/>
          <w:lang w:val="pt-BR"/>
        </w:rPr>
        <w:t>:</w:t>
      </w:r>
      <w:r w:rsidR="00FB5496" w:rsidRPr="008B3916">
        <w:rPr>
          <w:rFonts w:eastAsia="Calibri" w:cs="Tahoma"/>
          <w:color w:val="000000"/>
          <w:szCs w:val="18"/>
          <w:lang w:val="pt-BR"/>
        </w:rPr>
        <w:t xml:space="preserve"> </w:t>
      </w:r>
      <w:r w:rsidRPr="008B3916">
        <w:rPr>
          <w:rFonts w:eastAsia="Calibri" w:cs="Tahoma"/>
          <w:color w:val="000000"/>
          <w:szCs w:val="18"/>
          <w:lang w:val="pt-BR"/>
        </w:rPr>
        <w:t xml:space="preserve">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(“true-ups”) </w:t>
      </w:r>
      <w:r w:rsidRPr="008B3916">
        <w:rPr>
          <w:rFonts w:cs="Tahoma"/>
          <w:color w:val="000000"/>
          <w:szCs w:val="18"/>
          <w:lang w:val="pt-BR"/>
        </w:rPr>
        <w:t>anuais do cliente ta</w:t>
      </w:r>
      <w:r w:rsidR="008D0E85" w:rsidRPr="008B3916">
        <w:rPr>
          <w:rFonts w:cs="Tahoma"/>
          <w:color w:val="000000"/>
          <w:szCs w:val="18"/>
          <w:lang w:val="pt-BR"/>
        </w:rPr>
        <w:t>mbém são Licenças Qualificadas.</w:t>
      </w:r>
    </w:p>
    <w:p w:rsidR="004E0852" w:rsidRPr="008B3916" w:rsidRDefault="003D0252" w:rsidP="003D0252">
      <w:pPr>
        <w:numPr>
          <w:ilvl w:val="0"/>
          <w:numId w:val="125"/>
        </w:numPr>
        <w:spacing w:after="60"/>
        <w:ind w:left="1440"/>
        <w:rPr>
          <w:lang w:val="pt-BR"/>
        </w:rPr>
      </w:pPr>
      <w:r w:rsidRPr="008B3916">
        <w:rPr>
          <w:rFonts w:cs="Tahoma"/>
          <w:color w:val="000000"/>
          <w:szCs w:val="18"/>
          <w:u w:val="single"/>
          <w:lang w:val="pt-BR"/>
        </w:rPr>
        <w:t>Contratos Subscription</w:t>
      </w:r>
      <w:r w:rsidRPr="008B3916">
        <w:rPr>
          <w:rFonts w:cs="Tahoma"/>
          <w:color w:val="000000"/>
          <w:szCs w:val="18"/>
          <w:lang w:val="pt-BR"/>
        </w:rPr>
        <w:t>:</w:t>
      </w:r>
      <w:r w:rsidR="00FB5496" w:rsidRPr="008B3916">
        <w:rPr>
          <w:rFonts w:cs="Tahoma"/>
          <w:color w:val="000000"/>
          <w:szCs w:val="18"/>
          <w:lang w:val="pt-BR"/>
        </w:rPr>
        <w:t xml:space="preserve"> </w:t>
      </w:r>
      <w:r w:rsidRPr="008B3916">
        <w:rPr>
          <w:rFonts w:cs="Tahoma"/>
          <w:color w:val="000000"/>
          <w:szCs w:val="18"/>
          <w:lang w:val="pt-BR"/>
        </w:rPr>
        <w:t xml:space="preserve">Para Enterprise Subscription, </w:t>
      </w:r>
      <w:r w:rsidRPr="008B3916">
        <w:rPr>
          <w:rFonts w:cs="Tahoma"/>
          <w:szCs w:val="18"/>
          <w:lang w:val="pt-BR"/>
        </w:rPr>
        <w:t>Open Value Subscription, Campus e School, Enrollment for Education Solutions e Open Value Subscription – Education Solutions, os mesmos direitos serão outorgados temporariamente sob as mesmas condições</w:t>
      </w:r>
      <w:r w:rsidRPr="008B3916">
        <w:rPr>
          <w:rFonts w:cs="Tahoma"/>
          <w:color w:val="000000"/>
          <w:szCs w:val="18"/>
          <w:lang w:val="pt-BR"/>
        </w:rPr>
        <w:t xml:space="preserve"> até o final do prazo do registro atual (ou prazo do contrato no caso do Open Value).</w:t>
      </w:r>
      <w:r w:rsidR="00FB5496" w:rsidRPr="008B3916">
        <w:rPr>
          <w:rFonts w:cs="Tahoma"/>
          <w:color w:val="000000"/>
          <w:szCs w:val="18"/>
          <w:lang w:val="pt-BR"/>
        </w:rPr>
        <w:t xml:space="preserve"> </w:t>
      </w:r>
      <w:r w:rsidRPr="008B3916">
        <w:rPr>
          <w:rFonts w:cs="Tahoma"/>
          <w:color w:val="000000"/>
          <w:szCs w:val="18"/>
          <w:lang w:val="pt-BR"/>
        </w:rPr>
        <w:t>O cliente deverá manter uma cobertura contínua da assinatura.</w:t>
      </w:r>
      <w:r w:rsidR="00FB5496" w:rsidRPr="008B3916">
        <w:rPr>
          <w:rFonts w:cs="Tahoma"/>
          <w:color w:val="000000"/>
          <w:szCs w:val="18"/>
          <w:lang w:val="pt-BR"/>
        </w:rPr>
        <w:t xml:space="preserve"> </w:t>
      </w:r>
      <w:r w:rsidRPr="008B3916">
        <w:rPr>
          <w:rFonts w:cs="Tahoma"/>
          <w:color w:val="000000"/>
          <w:szCs w:val="18"/>
          <w:lang w:val="pt-BR"/>
        </w:rPr>
        <w:t>Esses direitos só se tornarão permanentes se a opção de compra</w:t>
      </w:r>
      <w:r w:rsidR="004D27F8" w:rsidRPr="008B3916">
        <w:rPr>
          <w:rFonts w:cs="Tahoma"/>
          <w:color w:val="000000"/>
          <w:szCs w:val="18"/>
          <w:lang w:val="pt-BR"/>
        </w:rPr>
        <w:t> </w:t>
      </w:r>
      <w:r w:rsidRPr="008B3916">
        <w:rPr>
          <w:rFonts w:cs="Tahoma"/>
          <w:color w:val="000000"/>
          <w:szCs w:val="18"/>
          <w:lang w:val="pt-BR"/>
        </w:rPr>
        <w:t>(“buy-out”) for exercida e continuarão sujeitos a todos os termos e condições do contrato</w:t>
      </w:r>
      <w:r w:rsidR="004D27F8" w:rsidRPr="008B3916">
        <w:rPr>
          <w:rFonts w:cs="Tahoma"/>
          <w:color w:val="000000"/>
          <w:szCs w:val="18"/>
          <w:lang w:val="pt-BR"/>
        </w:rPr>
        <w:t> </w:t>
      </w:r>
      <w:r w:rsidRPr="008B3916">
        <w:rPr>
          <w:rFonts w:cs="Tahoma"/>
          <w:color w:val="000000"/>
          <w:szCs w:val="18"/>
          <w:lang w:val="pt-BR"/>
        </w:rPr>
        <w:t>de licença do cliente.</w:t>
      </w:r>
    </w:p>
    <w:p w:rsidR="004E0852" w:rsidRPr="008B3916" w:rsidRDefault="004E0852" w:rsidP="003D0252">
      <w:pPr>
        <w:numPr>
          <w:ilvl w:val="0"/>
          <w:numId w:val="126"/>
        </w:numPr>
        <w:spacing w:after="60"/>
        <w:ind w:left="1440"/>
        <w:rPr>
          <w:lang w:val="pt-BR"/>
        </w:rPr>
      </w:pPr>
      <w:r w:rsidRPr="008B3916">
        <w:rPr>
          <w:rFonts w:cs="Tahoma"/>
          <w:szCs w:val="18"/>
          <w:u w:val="single"/>
          <w:lang w:val="pt-BR"/>
        </w:rPr>
        <w:t>Transições do Contrato Campus e School</w:t>
      </w:r>
      <w:r w:rsidRPr="008B3916">
        <w:rPr>
          <w:rFonts w:cs="Tahoma"/>
          <w:szCs w:val="18"/>
          <w:lang w:val="pt-BR"/>
        </w:rPr>
        <w:t>: Para os clientes que estão fazendo transição a médio prazo dos contratos Campus e School para os contratos Enrollment for Education Solutions ou Open Value Subscription – Education Solutions enquanto mantêm a cobertura contínua de assinatura:</w:t>
      </w:r>
    </w:p>
    <w:p w:rsidR="004E0852" w:rsidRPr="004D27F8" w:rsidRDefault="004E0852" w:rsidP="003D0252">
      <w:pPr>
        <w:pStyle w:val="ListParagraph"/>
        <w:numPr>
          <w:ilvl w:val="0"/>
          <w:numId w:val="105"/>
        </w:numPr>
        <w:spacing w:after="60"/>
        <w:ind w:left="1980"/>
        <w:contextualSpacing w:val="0"/>
        <w:rPr>
          <w:rFonts w:ascii="Tahoma" w:hAnsi="Tahoma" w:cs="Tahoma"/>
          <w:sz w:val="18"/>
          <w:szCs w:val="18"/>
        </w:rPr>
      </w:pPr>
      <w:r w:rsidRPr="004D27F8">
        <w:rPr>
          <w:rFonts w:ascii="Tahoma" w:hAnsi="Tahoma" w:cs="Tahoma"/>
          <w:sz w:val="18"/>
          <w:szCs w:val="18"/>
        </w:rPr>
        <w:t>Os mesmos direitos serão concedidos temporariamente sob as mesmas condições até o final</w:t>
      </w:r>
      <w:r w:rsidR="004D27F8" w:rsidRPr="004D27F8">
        <w:rPr>
          <w:rFonts w:ascii="Tahoma" w:hAnsi="Tahoma" w:cs="Tahoma"/>
          <w:color w:val="000000"/>
          <w:sz w:val="18"/>
          <w:szCs w:val="18"/>
        </w:rPr>
        <w:t> </w:t>
      </w:r>
      <w:r w:rsidRPr="004D27F8">
        <w:rPr>
          <w:rFonts w:ascii="Tahoma" w:hAnsi="Tahoma" w:cs="Tahoma"/>
          <w:sz w:val="18"/>
          <w:szCs w:val="18"/>
        </w:rPr>
        <w:t>dos seus contratos Enrollment for Education Solutions ou Open Value Subscription – Educat</w:t>
      </w:r>
      <w:r w:rsidR="008D0E85">
        <w:rPr>
          <w:rFonts w:ascii="Tahoma" w:hAnsi="Tahoma" w:cs="Tahoma"/>
          <w:sz w:val="18"/>
          <w:szCs w:val="18"/>
        </w:rPr>
        <w:t>ion Solutions, respectivamente.</w:t>
      </w:r>
    </w:p>
    <w:p w:rsidR="00BA1490" w:rsidRPr="004D27F8" w:rsidRDefault="004E0852" w:rsidP="003D0252">
      <w:pPr>
        <w:pStyle w:val="ListParagraph"/>
        <w:numPr>
          <w:ilvl w:val="0"/>
          <w:numId w:val="105"/>
        </w:numPr>
        <w:spacing w:after="60"/>
        <w:ind w:left="1980"/>
        <w:contextualSpacing w:val="0"/>
        <w:rPr>
          <w:rFonts w:ascii="Tahoma" w:hAnsi="Tahoma" w:cs="Tahoma"/>
          <w:sz w:val="18"/>
          <w:szCs w:val="18"/>
        </w:rPr>
      </w:pPr>
      <w:r w:rsidRPr="004D27F8">
        <w:rPr>
          <w:rFonts w:ascii="Tahoma" w:hAnsi="Tahoma" w:cs="Tahoma"/>
          <w:sz w:val="18"/>
          <w:szCs w:val="18"/>
        </w:rPr>
        <w:t>Esses direitos só se tornarão permanentes se a opção de compra (“buy-out”) for exercida e</w:t>
      </w:r>
      <w:r w:rsidR="004D27F8" w:rsidRPr="004D27F8">
        <w:rPr>
          <w:rFonts w:ascii="Tahoma" w:hAnsi="Tahoma" w:cs="Tahoma"/>
          <w:color w:val="000000"/>
          <w:sz w:val="18"/>
          <w:szCs w:val="18"/>
        </w:rPr>
        <w:t> </w:t>
      </w:r>
      <w:r w:rsidRPr="004D27F8">
        <w:rPr>
          <w:rFonts w:ascii="Tahoma" w:hAnsi="Tahoma" w:cs="Tahoma"/>
          <w:sz w:val="18"/>
          <w:szCs w:val="18"/>
        </w:rPr>
        <w:t>continuarão sujeitos a todos os termos e condições do contrato de licença do cliente.</w:t>
      </w:r>
      <w:bookmarkStart w:id="1326" w:name="_66_Lync_Server"/>
      <w:bookmarkStart w:id="1327" w:name="_Toc336338327"/>
      <w:bookmarkStart w:id="1328" w:name="Srv_57OfficeCommSvrOnlineStd"/>
      <w:bookmarkEnd w:id="1326"/>
    </w:p>
    <w:p w:rsidR="00586FCE" w:rsidRPr="008B3916" w:rsidRDefault="00586FCE" w:rsidP="003D0252">
      <w:pPr>
        <w:rPr>
          <w:rFonts w:cs="Tahoma"/>
          <w:szCs w:val="18"/>
          <w:lang w:val="pt-BR"/>
        </w:rPr>
      </w:pPr>
      <w:bookmarkStart w:id="1329" w:name="Srv_56MicrosoftDynamicsCRM2011"/>
      <w:bookmarkStart w:id="1330" w:name="Srv_67MicrosoftDynamicsCRM2011"/>
    </w:p>
    <w:p w:rsidR="002512D3" w:rsidRPr="008B3916" w:rsidRDefault="002512D3">
      <w:pPr>
        <w:rPr>
          <w:lang w:val="pt-BR"/>
        </w:rPr>
      </w:pPr>
    </w:p>
    <w:p w:rsidR="00253288" w:rsidRPr="00416070" w:rsidRDefault="0099402E" w:rsidP="00D47417">
      <w:pPr>
        <w:pStyle w:val="Heading3"/>
      </w:pPr>
      <w:bookmarkStart w:id="1331" w:name="_65_Microsoft_Dynamics"/>
      <w:bookmarkStart w:id="1332" w:name="_Toc352234391"/>
      <w:bookmarkEnd w:id="1331"/>
      <w:r w:rsidRPr="00416070">
        <w:rPr>
          <w:rFonts w:ascii="Tahoma" w:hAnsi="Tahoma"/>
          <w:color w:val="F66400"/>
          <w:sz w:val="22"/>
          <w:vertAlign w:val="superscript"/>
        </w:rPr>
        <w:t>65</w:t>
      </w:r>
      <w:r w:rsidRPr="00416070">
        <w:rPr>
          <w:rFonts w:ascii="Tahoma" w:hAnsi="Tahoma"/>
          <w:color w:val="F66400"/>
          <w:sz w:val="22"/>
        </w:rPr>
        <w:t xml:space="preserve"> Microsoft Dynamics AX 2012</w:t>
      </w:r>
      <w:bookmarkEnd w:id="1327"/>
      <w:r w:rsidRPr="00416070">
        <w:rPr>
          <w:rFonts w:ascii="Tahoma" w:hAnsi="Tahoma"/>
          <w:color w:val="F66400"/>
          <w:sz w:val="22"/>
        </w:rPr>
        <w:t xml:space="preserve"> R2</w:t>
      </w:r>
      <w:bookmarkEnd w:id="1332"/>
    </w:p>
    <w:p w:rsidR="003D0252" w:rsidRPr="008B3916" w:rsidRDefault="003D0252" w:rsidP="003D0252">
      <w:pPr>
        <w:rPr>
          <w:lang w:val="pt-BR"/>
        </w:rPr>
      </w:pPr>
    </w:p>
    <w:p w:rsidR="00047874" w:rsidRPr="008B3916" w:rsidRDefault="00860CF0" w:rsidP="007B699C">
      <w:pPr>
        <w:spacing w:after="60"/>
        <w:ind w:left="734" w:hanging="14"/>
        <w:rPr>
          <w:lang w:val="pt-BR"/>
        </w:rPr>
      </w:pPr>
      <w:r w:rsidRPr="008B3916">
        <w:rPr>
          <w:rFonts w:cs="Tahoma"/>
          <w:b/>
          <w:bCs/>
          <w:szCs w:val="20"/>
          <w:lang w:val="pt-BR"/>
        </w:rPr>
        <w:t>Localizações e Traduções</w:t>
      </w:r>
    </w:p>
    <w:p w:rsidR="00253288" w:rsidRPr="008B3916" w:rsidRDefault="00047874" w:rsidP="008D0E85">
      <w:pPr>
        <w:ind w:left="734" w:hanging="14"/>
        <w:rPr>
          <w:lang w:val="pt-BR"/>
        </w:rPr>
      </w:pPr>
      <w:r w:rsidRPr="008B3916">
        <w:rPr>
          <w:rFonts w:cs="Tahoma"/>
          <w:color w:val="000000"/>
          <w:szCs w:val="20"/>
          <w:lang w:val="pt-BR"/>
        </w:rPr>
        <w:t>O Microsoft Dynamics AX está localizado, traduzido e recebe suporte da Microsoft e ele geralmente está</w:t>
      </w:r>
      <w:r w:rsidR="008D0E85" w:rsidRPr="008B3916">
        <w:rPr>
          <w:rFonts w:cs="Tahoma"/>
          <w:color w:val="000000"/>
          <w:szCs w:val="20"/>
          <w:lang w:val="pt-BR"/>
        </w:rPr>
        <w:t> </w:t>
      </w:r>
      <w:r w:rsidRPr="008B3916">
        <w:rPr>
          <w:rFonts w:cs="Tahoma"/>
          <w:color w:val="000000"/>
          <w:szCs w:val="20"/>
          <w:lang w:val="pt-BR"/>
        </w:rPr>
        <w:t xml:space="preserve">disponível em idiomas e países selecionados. Consulte a página </w:t>
      </w:r>
      <w:hyperlink r:id="rId55" w:history="1">
        <w:r w:rsidRPr="008B3916">
          <w:rPr>
            <w:rFonts w:cs="Tahoma"/>
            <w:color w:val="000000"/>
            <w:szCs w:val="20"/>
            <w:lang w:val="pt-BR"/>
          </w:rPr>
          <w:t>http://www.microsoft.com/en-us/dynamics/erp-explore-ax-capabilities.aspx</w:t>
        </w:r>
      </w:hyperlink>
      <w:r w:rsidRPr="008B3916">
        <w:rPr>
          <w:rFonts w:cs="Tahoma"/>
          <w:color w:val="000000"/>
          <w:szCs w:val="20"/>
          <w:lang w:val="pt-BR"/>
        </w:rPr>
        <w:t xml:space="preserve"> para saber sobre a disponibilidade das localizações e</w:t>
      </w:r>
      <w:r w:rsidR="008D0E85" w:rsidRPr="008B3916">
        <w:rPr>
          <w:rFonts w:cs="Tahoma"/>
          <w:color w:val="000000"/>
          <w:szCs w:val="20"/>
          <w:lang w:val="pt-BR"/>
        </w:rPr>
        <w:t> </w:t>
      </w:r>
      <w:r w:rsidRPr="008B3916">
        <w:rPr>
          <w:rFonts w:cs="Tahoma"/>
          <w:color w:val="000000"/>
          <w:szCs w:val="20"/>
          <w:lang w:val="pt-BR"/>
        </w:rPr>
        <w:t>traduções da Microsoft.</w:t>
      </w:r>
    </w:p>
    <w:p w:rsidR="00860CF0" w:rsidRPr="008B3916" w:rsidRDefault="00860CF0" w:rsidP="00737831">
      <w:pPr>
        <w:ind w:left="720"/>
        <w:rPr>
          <w:lang w:val="pt-BR"/>
        </w:rPr>
      </w:pPr>
    </w:p>
    <w:p w:rsidR="00860CF0" w:rsidRPr="008B3916" w:rsidRDefault="00860CF0" w:rsidP="00737831">
      <w:pPr>
        <w:pStyle w:val="PURBody-Indented"/>
        <w:spacing w:after="0"/>
        <w:ind w:left="720"/>
        <w:rPr>
          <w:lang w:val="pt-BR"/>
        </w:rPr>
      </w:pPr>
      <w:r w:rsidRPr="008B3916">
        <w:rPr>
          <w:rFonts w:ascii="Tahoma" w:hAnsi="Tahoma" w:cs="Tahoma"/>
          <w:color w:val="000000"/>
          <w:sz w:val="18"/>
          <w:lang w:val="pt-BR"/>
        </w:rPr>
        <w:t>A Microsoft compreende que, em algumas ocasiões, você quer usar determinados módulos ou recursos que foram localizados e/ou traduzidos para uma região específica e usá-los fora da região geográfica para a qual foram criados.</w:t>
      </w:r>
      <w:r w:rsidR="00FB5496" w:rsidRPr="008B3916">
        <w:rPr>
          <w:rFonts w:ascii="Tahoma" w:hAnsi="Tahoma" w:cs="Tahoma"/>
          <w:color w:val="000000"/>
          <w:sz w:val="18"/>
          <w:lang w:val="pt-BR"/>
        </w:rPr>
        <w:t xml:space="preserve"> </w:t>
      </w:r>
      <w:r w:rsidRPr="008B3916">
        <w:rPr>
          <w:rFonts w:ascii="Tahoma" w:hAnsi="Tahoma" w:cs="Tahoma"/>
          <w:color w:val="000000"/>
          <w:sz w:val="18"/>
          <w:lang w:val="pt-BR"/>
        </w:rPr>
        <w:t>Como as leis e os regulamentos variam de uma região para outra, as diferenças nas leis ou nos regulamentos podem afetar o uso da funcionalidade desejada nas regiões para as quais ela não foi criada.</w:t>
      </w:r>
      <w:r w:rsidR="00FB5496" w:rsidRPr="008B3916">
        <w:rPr>
          <w:rFonts w:ascii="Tahoma" w:hAnsi="Tahoma" w:cs="Tahoma"/>
          <w:color w:val="000000"/>
          <w:sz w:val="18"/>
          <w:lang w:val="pt-BR"/>
        </w:rPr>
        <w:t xml:space="preserve"> </w:t>
      </w:r>
      <w:r w:rsidRPr="008B3916">
        <w:rPr>
          <w:rFonts w:ascii="Tahoma" w:hAnsi="Tahoma" w:cs="Tahoma"/>
          <w:color w:val="000000"/>
          <w:sz w:val="18"/>
          <w:lang w:val="pt-BR"/>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FB5496" w:rsidRPr="008B3916">
        <w:rPr>
          <w:rFonts w:ascii="Tahoma" w:hAnsi="Tahoma" w:cs="Tahoma"/>
          <w:color w:val="000000"/>
          <w:sz w:val="18"/>
          <w:lang w:val="pt-BR"/>
        </w:rPr>
        <w:t xml:space="preserve"> </w:t>
      </w:r>
      <w:r w:rsidRPr="008B3916">
        <w:rPr>
          <w:rFonts w:ascii="Tahoma" w:hAnsi="Tahoma" w:cs="Tahoma"/>
          <w:color w:val="000000"/>
          <w:sz w:val="18"/>
          <w:lang w:val="pt-BR"/>
        </w:rPr>
        <w:t>Consulte um especialista em tributos da região geográfica onde você pretende usar este software a fim de determinar se os recursos são adequados ao uso nessa região.</w:t>
      </w:r>
    </w:p>
    <w:p w:rsidR="00047874" w:rsidRPr="008B3916" w:rsidRDefault="00047874" w:rsidP="00E62BC4">
      <w:pPr>
        <w:ind w:left="720" w:hanging="180"/>
        <w:rPr>
          <w:lang w:val="pt-BR"/>
        </w:rPr>
      </w:pPr>
    </w:p>
    <w:p w:rsidR="00EC2258" w:rsidRPr="008B3916" w:rsidRDefault="00EC2258" w:rsidP="00E62BC4">
      <w:pPr>
        <w:ind w:left="720" w:hanging="180"/>
        <w:rPr>
          <w:lang w:val="pt-BR"/>
        </w:rPr>
      </w:pPr>
    </w:p>
    <w:p w:rsidR="00EC2258" w:rsidRPr="008B3916" w:rsidRDefault="00EC2258" w:rsidP="00E62BC4">
      <w:pPr>
        <w:ind w:left="720" w:hanging="180"/>
        <w:rPr>
          <w:lang w:val="pt-BR"/>
        </w:rPr>
      </w:pPr>
    </w:p>
    <w:p w:rsidR="00EC2258" w:rsidRPr="008B3916" w:rsidRDefault="00EC2258" w:rsidP="00E62BC4">
      <w:pPr>
        <w:ind w:left="720" w:hanging="180"/>
        <w:rPr>
          <w:lang w:val="pt-BR"/>
        </w:rPr>
      </w:pPr>
    </w:p>
    <w:p w:rsidR="00EC2258" w:rsidRPr="008B3916" w:rsidRDefault="00EC2258" w:rsidP="00E62BC4">
      <w:pPr>
        <w:ind w:left="720" w:hanging="180"/>
        <w:rPr>
          <w:lang w:val="pt-BR"/>
        </w:rPr>
      </w:pPr>
    </w:p>
    <w:p w:rsidR="00EC2258" w:rsidRPr="008B3916" w:rsidRDefault="00EC2258" w:rsidP="00E62BC4">
      <w:pPr>
        <w:ind w:left="720" w:hanging="180"/>
        <w:rPr>
          <w:lang w:val="pt-BR"/>
        </w:rPr>
      </w:pPr>
    </w:p>
    <w:p w:rsidR="00EC2258" w:rsidRPr="008B3916" w:rsidRDefault="00EC2258" w:rsidP="00E62BC4">
      <w:pPr>
        <w:ind w:left="720" w:hanging="180"/>
        <w:rPr>
          <w:lang w:val="pt-BR"/>
        </w:rPr>
      </w:pPr>
    </w:p>
    <w:p w:rsidR="00EC2258" w:rsidRPr="008B3916" w:rsidRDefault="00EC2258" w:rsidP="00E62BC4">
      <w:pPr>
        <w:ind w:left="720" w:hanging="180"/>
        <w:rPr>
          <w:lang w:val="pt-BR"/>
        </w:rPr>
      </w:pPr>
    </w:p>
    <w:p w:rsidR="00EC2258" w:rsidRPr="008B3916" w:rsidRDefault="00EC2258" w:rsidP="00E62BC4">
      <w:pPr>
        <w:ind w:left="720" w:hanging="180"/>
        <w:rPr>
          <w:lang w:val="pt-BR"/>
        </w:rPr>
      </w:pPr>
    </w:p>
    <w:p w:rsidR="00EC2258" w:rsidRPr="008B3916" w:rsidRDefault="00EC2258" w:rsidP="00E62BC4">
      <w:pPr>
        <w:ind w:left="720" w:hanging="180"/>
        <w:rPr>
          <w:lang w:val="pt-BR"/>
        </w:rPr>
      </w:pPr>
    </w:p>
    <w:p w:rsidR="00EC2258" w:rsidRPr="008B3916" w:rsidRDefault="00EC2258" w:rsidP="00E62BC4">
      <w:pPr>
        <w:ind w:left="720" w:hanging="180"/>
        <w:rPr>
          <w:lang w:val="pt-BR"/>
        </w:rPr>
      </w:pPr>
    </w:p>
    <w:p w:rsidR="00253288" w:rsidRPr="008B3916" w:rsidRDefault="00047874" w:rsidP="007B699C">
      <w:pPr>
        <w:spacing w:after="60"/>
        <w:ind w:left="734" w:hanging="187"/>
        <w:rPr>
          <w:lang w:val="pt-BR"/>
        </w:rPr>
      </w:pPr>
      <w:r w:rsidRPr="008B3916">
        <w:rPr>
          <w:rFonts w:cs="Tahoma"/>
          <w:b/>
          <w:bCs/>
          <w:szCs w:val="20"/>
          <w:lang w:val="pt-BR"/>
        </w:rPr>
        <w:t>Direitos de Uso da CAL</w:t>
      </w:r>
    </w:p>
    <w:p w:rsidR="00047874" w:rsidRPr="008B3916" w:rsidRDefault="00047874" w:rsidP="00E62BC4">
      <w:pPr>
        <w:ind w:left="720" w:hanging="180"/>
        <w:rPr>
          <w:lang w:val="pt-BR"/>
        </w:rPr>
      </w:pPr>
      <w:r w:rsidRPr="008B3916">
        <w:rPr>
          <w:rFonts w:eastAsia="Calibri" w:cs="Tahoma"/>
          <w:szCs w:val="18"/>
          <w:lang w:val="pt-BR"/>
        </w:rPr>
        <w:t>Os usos permitidos sob as CALs diferentes do Microsoft Dynamics AX 2012 R2 estão destacados abaixo:</w:t>
      </w:r>
    </w:p>
    <w:p w:rsidR="00047874" w:rsidRPr="008B3916" w:rsidRDefault="00047874" w:rsidP="00944DAD">
      <w:pPr>
        <w:ind w:firstLine="540"/>
        <w:rPr>
          <w:lang w:val="pt-BR"/>
        </w:rPr>
      </w:pPr>
    </w:p>
    <w:p w:rsidR="00047874" w:rsidRPr="00416070" w:rsidRDefault="00047874" w:rsidP="002C1048">
      <w:pPr>
        <w:numPr>
          <w:ilvl w:val="1"/>
          <w:numId w:val="84"/>
        </w:numPr>
        <w:tabs>
          <w:tab w:val="clear" w:pos="1440"/>
          <w:tab w:val="num" w:pos="900"/>
        </w:tabs>
        <w:autoSpaceDE w:val="0"/>
        <w:autoSpaceDN w:val="0"/>
        <w:adjustRightInd w:val="0"/>
        <w:ind w:left="900" w:right="720"/>
      </w:pPr>
      <w:r w:rsidRPr="00416070">
        <w:rPr>
          <w:rFonts w:eastAsia="Calibri" w:cs="Tahoma"/>
          <w:b/>
          <w:szCs w:val="18"/>
        </w:rPr>
        <w:t>CAL de Autoatendimento (CAL Básica)</w:t>
      </w:r>
    </w:p>
    <w:p w:rsidR="00047874" w:rsidRPr="00416070" w:rsidRDefault="00047874" w:rsidP="004D27F8">
      <w:pPr>
        <w:numPr>
          <w:ilvl w:val="1"/>
          <w:numId w:val="106"/>
        </w:numPr>
        <w:autoSpaceDE w:val="0"/>
        <w:autoSpaceDN w:val="0"/>
        <w:adjustRightInd w:val="0"/>
        <w:ind w:left="1339" w:right="720"/>
      </w:pPr>
      <w:r w:rsidRPr="00416070">
        <w:rPr>
          <w:rFonts w:eastAsia="Calibri" w:cs="Tahoma"/>
          <w:szCs w:val="18"/>
        </w:rPr>
        <w:t>Criar relatórios de despesas;</w:t>
      </w:r>
    </w:p>
    <w:p w:rsidR="00047874" w:rsidRPr="008B3916" w:rsidRDefault="00047874" w:rsidP="004D27F8">
      <w:pPr>
        <w:numPr>
          <w:ilvl w:val="1"/>
          <w:numId w:val="106"/>
        </w:numPr>
        <w:autoSpaceDE w:val="0"/>
        <w:autoSpaceDN w:val="0"/>
        <w:adjustRightInd w:val="0"/>
        <w:ind w:left="1339" w:right="720"/>
        <w:rPr>
          <w:lang w:val="pt-BR"/>
        </w:rPr>
      </w:pPr>
      <w:r w:rsidRPr="008B3916">
        <w:rPr>
          <w:rFonts w:eastAsia="Calibri" w:cs="Tahoma"/>
          <w:szCs w:val="18"/>
          <w:lang w:val="pt-BR"/>
        </w:rPr>
        <w:t>Gerenciar dados pessoais como registros de benefícios;</w:t>
      </w:r>
    </w:p>
    <w:p w:rsidR="00047874" w:rsidRPr="008B3916" w:rsidRDefault="00047874" w:rsidP="004D27F8">
      <w:pPr>
        <w:numPr>
          <w:ilvl w:val="1"/>
          <w:numId w:val="106"/>
        </w:numPr>
        <w:autoSpaceDE w:val="0"/>
        <w:autoSpaceDN w:val="0"/>
        <w:adjustRightInd w:val="0"/>
        <w:ind w:left="1339" w:right="720"/>
        <w:rPr>
          <w:lang w:val="pt-BR"/>
        </w:rPr>
      </w:pPr>
      <w:r w:rsidRPr="008B3916">
        <w:rPr>
          <w:rFonts w:eastAsia="Calibri" w:cs="Tahoma"/>
          <w:szCs w:val="18"/>
          <w:lang w:val="pt-BR"/>
        </w:rPr>
        <w:t>Fazer entradas de tempo e presença como registrar horas, horário de entrada e de saída;</w:t>
      </w:r>
    </w:p>
    <w:p w:rsidR="00047874" w:rsidRPr="008B3916" w:rsidRDefault="00047874" w:rsidP="004D27F8">
      <w:pPr>
        <w:numPr>
          <w:ilvl w:val="1"/>
          <w:numId w:val="106"/>
        </w:numPr>
        <w:autoSpaceDE w:val="0"/>
        <w:autoSpaceDN w:val="0"/>
        <w:adjustRightInd w:val="0"/>
        <w:ind w:left="1339" w:right="720"/>
        <w:rPr>
          <w:lang w:val="pt-BR"/>
        </w:rPr>
      </w:pPr>
      <w:r w:rsidRPr="008B3916">
        <w:rPr>
          <w:rFonts w:eastAsia="Calibri" w:cs="Tahoma"/>
          <w:szCs w:val="18"/>
          <w:lang w:val="pt-BR"/>
        </w:rPr>
        <w:t>Inserir solicitações de serviço de funcionário;</w:t>
      </w:r>
    </w:p>
    <w:p w:rsidR="00047874" w:rsidRPr="008B3916" w:rsidRDefault="00047874" w:rsidP="004D27F8">
      <w:pPr>
        <w:numPr>
          <w:ilvl w:val="1"/>
          <w:numId w:val="106"/>
        </w:numPr>
        <w:autoSpaceDE w:val="0"/>
        <w:autoSpaceDN w:val="0"/>
        <w:adjustRightInd w:val="0"/>
        <w:ind w:left="1339" w:right="720"/>
        <w:rPr>
          <w:lang w:val="pt-BR"/>
        </w:rPr>
      </w:pPr>
      <w:r w:rsidRPr="008B3916">
        <w:rPr>
          <w:rFonts w:eastAsia="Calibri" w:cs="Tahoma"/>
          <w:szCs w:val="18"/>
          <w:lang w:val="pt-BR"/>
        </w:rPr>
        <w:t>Preparar solicitações de compra indireta pertencentes a produtos ou serviços para o funcionário como viagens, equipamento para escritório, papelaria e/ou fazer solicitações para adicionar ou registrar fornecedores.</w:t>
      </w:r>
      <w:r w:rsidRPr="008B3916">
        <w:rPr>
          <w:rFonts w:eastAsia="Calibri" w:cs="Tahoma"/>
          <w:szCs w:val="18"/>
          <w:lang w:val="pt-BR"/>
        </w:rPr>
        <w:br/>
      </w:r>
    </w:p>
    <w:p w:rsidR="00047874" w:rsidRPr="008B3916" w:rsidRDefault="00047874" w:rsidP="002C1048">
      <w:pPr>
        <w:numPr>
          <w:ilvl w:val="0"/>
          <w:numId w:val="106"/>
        </w:numPr>
        <w:autoSpaceDE w:val="0"/>
        <w:autoSpaceDN w:val="0"/>
        <w:adjustRightInd w:val="0"/>
        <w:ind w:left="900" w:right="720"/>
        <w:rPr>
          <w:lang w:val="pt-BR"/>
        </w:rPr>
      </w:pPr>
      <w:r w:rsidRPr="008B3916">
        <w:rPr>
          <w:rFonts w:eastAsia="Calibri" w:cs="Tahoma"/>
          <w:b/>
          <w:szCs w:val="18"/>
          <w:lang w:val="pt-BR"/>
        </w:rPr>
        <w:t>CAL de Tarefa (CAL de Autoatendimento + CAL Aditiva de Tarefa)</w:t>
      </w:r>
    </w:p>
    <w:p w:rsidR="00B10F79"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Incluir direitos de uso da CAL de Autoatendimento</w:t>
      </w:r>
    </w:p>
    <w:p w:rsidR="00047874" w:rsidRPr="00416070" w:rsidRDefault="00B10F79" w:rsidP="004D27F8">
      <w:pPr>
        <w:numPr>
          <w:ilvl w:val="1"/>
          <w:numId w:val="106"/>
        </w:numPr>
        <w:autoSpaceDE w:val="0"/>
        <w:autoSpaceDN w:val="0"/>
        <w:adjustRightInd w:val="0"/>
        <w:ind w:left="1339" w:right="720"/>
      </w:pPr>
      <w:r w:rsidRPr="00416070">
        <w:rPr>
          <w:rFonts w:eastAsia="Calibri" w:cs="Tahoma"/>
          <w:szCs w:val="18"/>
        </w:rPr>
        <w:t>Inserir hora faturável;</w:t>
      </w:r>
    </w:p>
    <w:p w:rsidR="00047874" w:rsidRPr="00416070" w:rsidRDefault="00B10F79" w:rsidP="004D27F8">
      <w:pPr>
        <w:numPr>
          <w:ilvl w:val="1"/>
          <w:numId w:val="106"/>
        </w:numPr>
        <w:autoSpaceDE w:val="0"/>
        <w:autoSpaceDN w:val="0"/>
        <w:adjustRightInd w:val="0"/>
        <w:ind w:left="1339" w:right="720"/>
      </w:pPr>
      <w:r w:rsidRPr="00416070">
        <w:rPr>
          <w:rFonts w:eastAsia="Calibri" w:cs="Tahoma"/>
          <w:szCs w:val="18"/>
        </w:rPr>
        <w:t>Inserir despesas faturáveis;</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Gerenciar análises de desempenho e anuais, definição de metas e competências;</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Operar um ponto de varejo do dispositivo de venda;</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Aprovar faturas de fornecedores relativas a compra indireta e</w:t>
      </w:r>
    </w:p>
    <w:p w:rsidR="00047874" w:rsidRPr="008B3916" w:rsidRDefault="00047874" w:rsidP="004D27F8">
      <w:pPr>
        <w:numPr>
          <w:ilvl w:val="1"/>
          <w:numId w:val="106"/>
        </w:numPr>
        <w:autoSpaceDE w:val="0"/>
        <w:autoSpaceDN w:val="0"/>
        <w:adjustRightInd w:val="0"/>
        <w:ind w:left="1339" w:right="720"/>
        <w:rPr>
          <w:lang w:val="pt-BR"/>
        </w:rPr>
      </w:pPr>
      <w:r w:rsidRPr="008B3916">
        <w:rPr>
          <w:rFonts w:eastAsia="Calibri" w:cs="Tahoma"/>
          <w:szCs w:val="18"/>
          <w:lang w:val="pt-BR"/>
        </w:rPr>
        <w:t>Usuários de CAL de Tarefa não podem executar aprovações do fluxo de trabalho.</w:t>
      </w:r>
    </w:p>
    <w:p w:rsidR="00047874" w:rsidRPr="008B3916" w:rsidRDefault="00047874" w:rsidP="00944DAD">
      <w:pPr>
        <w:autoSpaceDE w:val="0"/>
        <w:autoSpaceDN w:val="0"/>
        <w:adjustRightInd w:val="0"/>
        <w:ind w:left="1260" w:right="720"/>
        <w:rPr>
          <w:lang w:val="pt-BR"/>
        </w:rPr>
      </w:pPr>
    </w:p>
    <w:p w:rsidR="00047874" w:rsidRPr="008B3916" w:rsidRDefault="00047874" w:rsidP="002C1048">
      <w:pPr>
        <w:numPr>
          <w:ilvl w:val="0"/>
          <w:numId w:val="106"/>
        </w:numPr>
        <w:ind w:left="900" w:right="720"/>
        <w:rPr>
          <w:lang w:val="pt-BR"/>
        </w:rPr>
      </w:pPr>
      <w:r w:rsidRPr="008B3916">
        <w:rPr>
          <w:rFonts w:eastAsia="Calibri" w:cs="Tahoma"/>
          <w:b/>
          <w:szCs w:val="18"/>
          <w:lang w:val="pt-BR"/>
        </w:rPr>
        <w:t>CAL Funcional (CAL de Tarefa + CAL Aditiva Funcional)</w:t>
      </w:r>
    </w:p>
    <w:p w:rsidR="00B10F79"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Incluir direitos de uso da CAL de Tarefa</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Gerenciar um chão de fábrica em um ciclo de fabricação ou produção;</w:t>
      </w:r>
    </w:p>
    <w:p w:rsidR="00047874" w:rsidRPr="00416070" w:rsidRDefault="00B10F79" w:rsidP="004D27F8">
      <w:pPr>
        <w:numPr>
          <w:ilvl w:val="1"/>
          <w:numId w:val="106"/>
        </w:numPr>
        <w:autoSpaceDE w:val="0"/>
        <w:autoSpaceDN w:val="0"/>
        <w:adjustRightInd w:val="0"/>
        <w:ind w:left="1339" w:right="720"/>
      </w:pPr>
      <w:r w:rsidRPr="00416070">
        <w:rPr>
          <w:rFonts w:eastAsia="Calibri" w:cs="Tahoma"/>
          <w:szCs w:val="18"/>
        </w:rPr>
        <w:t>Gerenciar projetos e recursos;</w:t>
      </w:r>
    </w:p>
    <w:p w:rsidR="00047874" w:rsidRPr="00416070" w:rsidRDefault="00B10F79" w:rsidP="004D27F8">
      <w:pPr>
        <w:numPr>
          <w:ilvl w:val="1"/>
          <w:numId w:val="106"/>
        </w:numPr>
        <w:autoSpaceDE w:val="0"/>
        <w:autoSpaceDN w:val="0"/>
        <w:adjustRightInd w:val="0"/>
        <w:ind w:left="1339" w:right="720"/>
      </w:pPr>
      <w:r w:rsidRPr="00416070">
        <w:rPr>
          <w:rFonts w:eastAsia="Calibri" w:cs="Tahoma"/>
          <w:szCs w:val="18"/>
        </w:rPr>
        <w:t>Gerenciar ciclos de recursos humanos;</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Gerenciar transferências de orçamento e solicitações organizacionais;</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Criar registros de dados mestres de candidatos ou funcionários;</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 xml:space="preserve">Criar uma solicitação de emprego ou posição; </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 xml:space="preserve">Escalar ou solicitar aprovação de faturas relativas a seus clientes; </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Aprovar faturas de fornecedor ou vouchers para serviços prestados;</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Criar e gerenciar registros de dados mestre pertencentes a clientes, fornecedores, inventário de produtos ou catálogos e/ou</w:t>
      </w:r>
    </w:p>
    <w:p w:rsidR="00047874" w:rsidRPr="008B3916" w:rsidRDefault="00B10F79" w:rsidP="004D27F8">
      <w:pPr>
        <w:numPr>
          <w:ilvl w:val="1"/>
          <w:numId w:val="106"/>
        </w:numPr>
        <w:autoSpaceDE w:val="0"/>
        <w:autoSpaceDN w:val="0"/>
        <w:adjustRightInd w:val="0"/>
        <w:ind w:left="1339" w:right="720"/>
        <w:rPr>
          <w:lang w:val="pt-BR"/>
        </w:rPr>
      </w:pPr>
      <w:r w:rsidRPr="008B3916">
        <w:rPr>
          <w:rFonts w:eastAsia="Calibri" w:cs="Tahoma"/>
          <w:szCs w:val="18"/>
          <w:lang w:val="pt-BR"/>
        </w:rPr>
        <w:t>Aprovar solicitações de usuários da CAL de Autoatendimento ou CAL de Tarefa.</w:t>
      </w:r>
    </w:p>
    <w:p w:rsidR="00047874" w:rsidRPr="008B3916" w:rsidRDefault="00047874" w:rsidP="00B20F02">
      <w:pPr>
        <w:autoSpaceDE w:val="0"/>
        <w:autoSpaceDN w:val="0"/>
        <w:adjustRightInd w:val="0"/>
        <w:ind w:left="1260" w:right="720" w:hanging="360"/>
        <w:rPr>
          <w:lang w:val="pt-BR"/>
        </w:rPr>
      </w:pPr>
    </w:p>
    <w:p w:rsidR="00047874" w:rsidRPr="00416070" w:rsidRDefault="00047874" w:rsidP="002C1048">
      <w:pPr>
        <w:numPr>
          <w:ilvl w:val="0"/>
          <w:numId w:val="106"/>
        </w:numPr>
        <w:ind w:left="900" w:right="720"/>
      </w:pPr>
      <w:r w:rsidRPr="00416070">
        <w:rPr>
          <w:rFonts w:eastAsia="Calibri" w:cs="Tahoma"/>
          <w:b/>
          <w:szCs w:val="18"/>
        </w:rPr>
        <w:t>CAL Empresarial (CAL Funcional + CAL Aditiva Empresarial)</w:t>
      </w:r>
    </w:p>
    <w:p w:rsidR="00047874" w:rsidRPr="00416070" w:rsidRDefault="00047874" w:rsidP="004D27F8">
      <w:pPr>
        <w:numPr>
          <w:ilvl w:val="1"/>
          <w:numId w:val="106"/>
        </w:numPr>
        <w:autoSpaceDE w:val="0"/>
        <w:autoSpaceDN w:val="0"/>
        <w:adjustRightInd w:val="0"/>
        <w:ind w:left="1339" w:right="720"/>
      </w:pPr>
      <w:r w:rsidRPr="00416070">
        <w:rPr>
          <w:rFonts w:eastAsia="Calibri" w:cs="Tahoma"/>
          <w:szCs w:val="18"/>
        </w:rPr>
        <w:t>Direitos Totais de Uso</w:t>
      </w:r>
    </w:p>
    <w:p w:rsidR="00047874" w:rsidRPr="00416070" w:rsidRDefault="00047874" w:rsidP="00944DAD">
      <w:pPr>
        <w:autoSpaceDE w:val="0"/>
        <w:autoSpaceDN w:val="0"/>
        <w:adjustRightInd w:val="0"/>
        <w:ind w:left="900" w:right="720"/>
      </w:pPr>
    </w:p>
    <w:p w:rsidR="00047874" w:rsidRPr="008B3916" w:rsidRDefault="00047874" w:rsidP="00944DAD">
      <w:pPr>
        <w:autoSpaceDE w:val="0"/>
        <w:autoSpaceDN w:val="0"/>
        <w:adjustRightInd w:val="0"/>
        <w:ind w:left="720" w:right="720"/>
        <w:rPr>
          <w:lang w:val="pt-BR"/>
        </w:rPr>
      </w:pPr>
      <w:r w:rsidRPr="008B3916">
        <w:rPr>
          <w:rFonts w:eastAsia="Calibri" w:cs="Tahoma"/>
          <w:szCs w:val="18"/>
          <w:lang w:val="pt-BR"/>
        </w:rPr>
        <w:t xml:space="preserve">Para uma maior granularidade e compreensão das CALs exigidas, consulte o Guia de Licenciamento do Microsoft Dynamics AX 2012 R2 de julho de 2012 disponível na página </w:t>
      </w:r>
      <w:hyperlink r:id="rId56" w:history="1">
        <w:r w:rsidRPr="008B3916">
          <w:rPr>
            <w:rStyle w:val="Hyperlink"/>
            <w:rFonts w:eastAsia="Calibri" w:cs="Tahoma"/>
            <w:szCs w:val="18"/>
            <w:lang w:val="pt-BR"/>
          </w:rPr>
          <w:t>www.microsoft.com</w:t>
        </w:r>
      </w:hyperlink>
      <w:r w:rsidRPr="008B3916">
        <w:rPr>
          <w:rFonts w:eastAsia="Calibri" w:cs="Tahoma"/>
          <w:szCs w:val="18"/>
          <w:lang w:val="pt-BR"/>
        </w:rPr>
        <w:t>.</w:t>
      </w:r>
    </w:p>
    <w:p w:rsidR="00A6185F" w:rsidRPr="008B3916" w:rsidRDefault="00A6185F" w:rsidP="00A6185F">
      <w:pPr>
        <w:ind w:left="720" w:hanging="180"/>
        <w:rPr>
          <w:lang w:val="pt-BR"/>
        </w:rPr>
      </w:pPr>
    </w:p>
    <w:p w:rsidR="00A6185F" w:rsidRPr="008B3916" w:rsidRDefault="00A6185F" w:rsidP="00C066F9">
      <w:pPr>
        <w:spacing w:after="60"/>
        <w:ind w:left="734" w:hanging="194"/>
        <w:rPr>
          <w:lang w:val="pt-BR"/>
        </w:rPr>
      </w:pPr>
      <w:r w:rsidRPr="008B3916">
        <w:rPr>
          <w:rFonts w:cs="Tahoma"/>
          <w:b/>
          <w:bCs/>
          <w:lang w:val="pt-BR"/>
        </w:rPr>
        <w:t>Termos Complementares da Licença</w:t>
      </w:r>
    </w:p>
    <w:p w:rsidR="00A6185F" w:rsidRPr="008B3916" w:rsidRDefault="00A6185F" w:rsidP="00C066F9">
      <w:pPr>
        <w:pStyle w:val="PURBody-Indented"/>
        <w:spacing w:after="0"/>
        <w:ind w:left="547"/>
        <w:rPr>
          <w:lang w:val="pt-BR"/>
        </w:rPr>
      </w:pPr>
      <w:r w:rsidRPr="008B3916">
        <w:rPr>
          <w:rFonts w:ascii="Tahoma" w:eastAsia="Calibri" w:hAnsi="Tahoma" w:cs="Tahoma"/>
          <w:sz w:val="18"/>
          <w:szCs w:val="18"/>
          <w:lang w:val="pt-BR"/>
        </w:rPr>
        <w:t>O uso que você faz dos Componentes de Ecommerce, Componentes de Ponto de venda e de atualizações</w:t>
      </w:r>
      <w:r w:rsidR="004A1891" w:rsidRPr="008B3916">
        <w:rPr>
          <w:rFonts w:ascii="Tahoma" w:eastAsia="Calibri" w:hAnsi="Tahoma" w:cs="Tahoma"/>
          <w:sz w:val="18"/>
          <w:szCs w:val="18"/>
          <w:lang w:val="pt-BR"/>
        </w:rPr>
        <w:t> </w:t>
      </w:r>
      <w:r w:rsidRPr="008B3916">
        <w:rPr>
          <w:rFonts w:ascii="Tahoma" w:eastAsia="Calibri" w:hAnsi="Tahoma" w:cs="Tahoma"/>
          <w:sz w:val="18"/>
          <w:szCs w:val="18"/>
          <w:lang w:val="pt-BR"/>
        </w:rPr>
        <w:t>e</w:t>
      </w:r>
      <w:r w:rsidR="004D27F8" w:rsidRPr="008B3916">
        <w:rPr>
          <w:rFonts w:ascii="Tahoma" w:eastAsia="Calibri" w:hAnsi="Tahoma" w:cs="Tahoma"/>
          <w:sz w:val="18"/>
          <w:szCs w:val="18"/>
          <w:lang w:val="pt-BR"/>
        </w:rPr>
        <w:t> </w:t>
      </w:r>
      <w:r w:rsidRPr="008B3916">
        <w:rPr>
          <w:rFonts w:ascii="Tahoma" w:eastAsia="Calibri" w:hAnsi="Tahoma" w:cs="Tahoma"/>
          <w:sz w:val="18"/>
          <w:szCs w:val="18"/>
          <w:lang w:val="pt-BR"/>
        </w:rPr>
        <w:t xml:space="preserve">complementos semelhantes para o Microsoft Dynamics AX 2012 R2 são regidos </w:t>
      </w:r>
      <w:r w:rsidR="004A1891" w:rsidRPr="008B3916">
        <w:rPr>
          <w:rFonts w:ascii="Tahoma" w:eastAsia="Calibri" w:hAnsi="Tahoma" w:cs="Tahoma"/>
          <w:sz w:val="18"/>
          <w:szCs w:val="18"/>
          <w:lang w:val="pt-BR"/>
        </w:rPr>
        <w:br/>
      </w:r>
      <w:r w:rsidRPr="008B3916">
        <w:rPr>
          <w:rFonts w:ascii="Tahoma" w:eastAsia="Calibri" w:hAnsi="Tahoma" w:cs="Tahoma"/>
          <w:sz w:val="18"/>
          <w:szCs w:val="18"/>
          <w:lang w:val="pt-BR"/>
        </w:rPr>
        <w:t xml:space="preserve">pelos Termos Complementares da Licença que você pode encontrar em: </w:t>
      </w:r>
      <w:r w:rsidR="004A1891" w:rsidRPr="008B3916">
        <w:rPr>
          <w:rFonts w:ascii="Tahoma" w:eastAsia="Calibri" w:hAnsi="Tahoma" w:cs="Tahoma"/>
          <w:sz w:val="18"/>
          <w:szCs w:val="18"/>
          <w:lang w:val="pt-BR"/>
        </w:rPr>
        <w:br/>
      </w:r>
      <w:hyperlink r:id="rId57" w:history="1">
        <w:r w:rsidRPr="008B3916">
          <w:rPr>
            <w:rFonts w:ascii="Tahoma" w:eastAsia="Calibri" w:hAnsi="Tahoma" w:cs="Tahoma"/>
            <w:sz w:val="18"/>
            <w:szCs w:val="18"/>
            <w:lang w:val="pt-BR"/>
          </w:rPr>
          <w:t>http://www.microsoft.com/en-us/dynamics/erp-buy-ax-software.aspx</w:t>
        </w:r>
      </w:hyperlink>
      <w:r w:rsidRPr="008B3916">
        <w:rPr>
          <w:rFonts w:ascii="Tahoma" w:eastAsia="Calibri" w:hAnsi="Tahoma" w:cs="Tahoma"/>
          <w:sz w:val="18"/>
          <w:szCs w:val="18"/>
          <w:lang w:val="pt-BR"/>
        </w:rPr>
        <w:t>.</w:t>
      </w:r>
    </w:p>
    <w:p w:rsidR="00047874" w:rsidRPr="008B3916" w:rsidRDefault="00047874" w:rsidP="00944DAD">
      <w:pPr>
        <w:rPr>
          <w:lang w:val="pt-BR"/>
        </w:rPr>
      </w:pPr>
    </w:p>
    <w:p w:rsidR="007B699C" w:rsidRPr="008B3916" w:rsidRDefault="007B699C" w:rsidP="00944DAD">
      <w:pPr>
        <w:rPr>
          <w:lang w:val="pt-BR"/>
        </w:rPr>
      </w:pPr>
    </w:p>
    <w:p w:rsidR="004D27F8" w:rsidRPr="008B3916" w:rsidRDefault="004D27F8" w:rsidP="00944DAD">
      <w:pPr>
        <w:rPr>
          <w:lang w:val="pt-BR"/>
        </w:rPr>
      </w:pPr>
    </w:p>
    <w:p w:rsidR="004D27F8" w:rsidRPr="008B3916" w:rsidRDefault="004D27F8" w:rsidP="00944DAD">
      <w:pPr>
        <w:rPr>
          <w:lang w:val="pt-BR"/>
        </w:rPr>
      </w:pPr>
    </w:p>
    <w:p w:rsidR="004D27F8" w:rsidRPr="008B3916" w:rsidRDefault="004D27F8" w:rsidP="00944DAD">
      <w:pPr>
        <w:rPr>
          <w:lang w:val="pt-BR"/>
        </w:rPr>
      </w:pPr>
    </w:p>
    <w:p w:rsidR="004D27F8" w:rsidRPr="008B3916" w:rsidRDefault="004D27F8" w:rsidP="00944DAD">
      <w:pPr>
        <w:rPr>
          <w:lang w:val="pt-BR"/>
        </w:rPr>
      </w:pPr>
    </w:p>
    <w:p w:rsidR="004D27F8" w:rsidRPr="008B3916" w:rsidRDefault="004D27F8" w:rsidP="00944DAD">
      <w:pPr>
        <w:rPr>
          <w:lang w:val="pt-BR"/>
        </w:rPr>
      </w:pPr>
    </w:p>
    <w:p w:rsidR="004D27F8" w:rsidRPr="008B3916" w:rsidRDefault="004D27F8" w:rsidP="00944DAD">
      <w:pPr>
        <w:rPr>
          <w:lang w:val="pt-BR"/>
        </w:rPr>
      </w:pPr>
    </w:p>
    <w:p w:rsidR="004D27F8" w:rsidRPr="008B3916" w:rsidRDefault="004D27F8" w:rsidP="00944DAD">
      <w:pPr>
        <w:rPr>
          <w:lang w:val="pt-BR"/>
        </w:rPr>
      </w:pPr>
    </w:p>
    <w:p w:rsidR="004D27F8" w:rsidRPr="008B3916" w:rsidRDefault="004D27F8" w:rsidP="00944DAD">
      <w:pPr>
        <w:rPr>
          <w:lang w:val="pt-BR"/>
        </w:rPr>
      </w:pPr>
    </w:p>
    <w:p w:rsidR="004D27F8" w:rsidRPr="008B3916" w:rsidRDefault="004D27F8" w:rsidP="00944DAD">
      <w:pPr>
        <w:rPr>
          <w:lang w:val="pt-BR"/>
        </w:rPr>
      </w:pPr>
    </w:p>
    <w:p w:rsidR="004D27F8" w:rsidRPr="008B3916" w:rsidRDefault="004D27F8" w:rsidP="00944DAD">
      <w:pPr>
        <w:rPr>
          <w:lang w:val="pt-BR"/>
        </w:rPr>
      </w:pPr>
    </w:p>
    <w:p w:rsidR="00D47417" w:rsidRPr="00416070" w:rsidRDefault="0099402E" w:rsidP="00D47417">
      <w:pPr>
        <w:pStyle w:val="Heading3"/>
      </w:pPr>
      <w:bookmarkStart w:id="1333" w:name="_68_Microsoft_Dynamics"/>
      <w:bookmarkStart w:id="1334" w:name="_Toc336338328"/>
      <w:bookmarkStart w:id="1335" w:name="_Toc352234392"/>
      <w:bookmarkEnd w:id="1333"/>
      <w:r w:rsidRPr="00416070">
        <w:rPr>
          <w:rFonts w:ascii="Tahoma" w:hAnsi="Tahoma"/>
          <w:color w:val="F66400"/>
          <w:sz w:val="22"/>
          <w:vertAlign w:val="superscript"/>
        </w:rPr>
        <w:t>66</w:t>
      </w:r>
      <w:r w:rsidRPr="00416070">
        <w:rPr>
          <w:rFonts w:ascii="Tahoma" w:hAnsi="Tahoma"/>
          <w:color w:val="F66400"/>
          <w:sz w:val="22"/>
        </w:rPr>
        <w:t xml:space="preserve"> Microsoft Dynamics CRM 2011</w:t>
      </w:r>
      <w:bookmarkEnd w:id="1334"/>
      <w:bookmarkEnd w:id="1335"/>
    </w:p>
    <w:bookmarkEnd w:id="1329"/>
    <w:bookmarkEnd w:id="1330"/>
    <w:p w:rsidR="00D47417" w:rsidRPr="008B3916" w:rsidRDefault="00D47417" w:rsidP="00D47417">
      <w:pPr>
        <w:rPr>
          <w:lang w:val="pt-BR"/>
        </w:rPr>
      </w:pPr>
    </w:p>
    <w:p w:rsidR="00944BDF" w:rsidRPr="008B3916" w:rsidRDefault="00944BDF" w:rsidP="007B699C">
      <w:pPr>
        <w:spacing w:after="60"/>
        <w:ind w:left="720"/>
        <w:rPr>
          <w:lang w:val="pt-BR"/>
        </w:rPr>
      </w:pPr>
      <w:r w:rsidRPr="008B3916">
        <w:rPr>
          <w:rFonts w:cs="Tahoma"/>
          <w:b/>
          <w:bCs/>
          <w:color w:val="000000"/>
          <w:szCs w:val="20"/>
          <w:lang w:val="pt-BR"/>
        </w:rPr>
        <w:t>Caminho de Migração do Software Assurance para Microsoft Dynamics CRM 4.0</w:t>
      </w:r>
    </w:p>
    <w:p w:rsidR="00944BDF" w:rsidRPr="008B3916" w:rsidRDefault="00944BDF" w:rsidP="00E62BC4">
      <w:pPr>
        <w:ind w:left="720"/>
        <w:rPr>
          <w:lang w:val="pt-BR"/>
        </w:rPr>
      </w:pPr>
      <w:r w:rsidRPr="008B3916">
        <w:rPr>
          <w:rFonts w:cs="Tahoma"/>
          <w:color w:val="000000"/>
          <w:szCs w:val="20"/>
          <w:lang w:val="pt-BR"/>
        </w:rPr>
        <w:t>Os clientes que tiverem adquirido licenças do Microsoft Dynamics CRM 4.0 e tiverem cobertura do Software Assurance ativa sobre essas licenças a partir de 1° de abril de 2011 ou posteriormente poderão atualizar essas licenças conforme indicado abaixo:</w:t>
      </w:r>
    </w:p>
    <w:p w:rsidR="00944BDF" w:rsidRPr="008B3916" w:rsidRDefault="00944BDF" w:rsidP="00944BDF">
      <w:pPr>
        <w:rPr>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416070" w:rsidTr="00CA14C9">
        <w:tc>
          <w:tcPr>
            <w:tcW w:w="4248" w:type="dxa"/>
            <w:tcBorders>
              <w:top w:val="single" w:sz="4" w:space="0" w:color="000000"/>
              <w:bottom w:val="single" w:sz="6" w:space="0" w:color="000000"/>
            </w:tcBorders>
            <w:shd w:val="clear" w:color="auto" w:fill="FABF8F"/>
          </w:tcPr>
          <w:p w:rsidR="00944BDF" w:rsidRPr="008B3916" w:rsidRDefault="00944BDF" w:rsidP="00E6206A">
            <w:pPr>
              <w:jc w:val="center"/>
              <w:rPr>
                <w:rFonts w:cs="Tahoma"/>
                <w:b/>
                <w:color w:val="000000"/>
                <w:szCs w:val="20"/>
                <w:lang w:val="pt-BR"/>
              </w:rPr>
            </w:pPr>
            <w:r w:rsidRPr="008B3916">
              <w:rPr>
                <w:rFonts w:cs="Tahoma"/>
                <w:b/>
                <w:color w:val="000000"/>
                <w:szCs w:val="20"/>
                <w:lang w:val="pt-BR"/>
              </w:rPr>
              <w:t>Licenças do Microsoft Dynamics CRM 4.0 Qualificadas</w:t>
            </w:r>
          </w:p>
        </w:tc>
        <w:tc>
          <w:tcPr>
            <w:tcW w:w="4212" w:type="dxa"/>
            <w:tcBorders>
              <w:top w:val="single" w:sz="4" w:space="0" w:color="000000"/>
              <w:bottom w:val="single" w:sz="6" w:space="0" w:color="000000"/>
            </w:tcBorders>
            <w:shd w:val="clear" w:color="auto" w:fill="FABF8F"/>
          </w:tcPr>
          <w:p w:rsidR="00944BDF" w:rsidRPr="00416070" w:rsidRDefault="00944BDF" w:rsidP="00E6206A">
            <w:pPr>
              <w:jc w:val="center"/>
              <w:rPr>
                <w:rFonts w:cs="Tahoma"/>
                <w:b/>
                <w:color w:val="000000"/>
                <w:szCs w:val="20"/>
              </w:rPr>
            </w:pPr>
            <w:r w:rsidRPr="00416070">
              <w:rPr>
                <w:rFonts w:cs="Tahoma"/>
                <w:b/>
                <w:color w:val="000000"/>
                <w:szCs w:val="20"/>
              </w:rPr>
              <w:t>Licenças do CRM 2011 Correspondentes</w:t>
            </w:r>
          </w:p>
        </w:tc>
      </w:tr>
      <w:tr w:rsidR="00944BDF" w:rsidRPr="002B5F9E" w:rsidTr="00CA14C9">
        <w:tc>
          <w:tcPr>
            <w:tcW w:w="4248" w:type="dxa"/>
            <w:tcBorders>
              <w:top w:val="single" w:sz="6" w:space="0" w:color="000000"/>
            </w:tcBorders>
            <w:shd w:val="clear" w:color="auto" w:fill="FFFFFF"/>
          </w:tcPr>
          <w:p w:rsidR="00944BDF" w:rsidRPr="008B3916" w:rsidRDefault="00944BDF" w:rsidP="00E6206A">
            <w:pPr>
              <w:rPr>
                <w:rFonts w:cs="Tahoma"/>
                <w:color w:val="000000"/>
                <w:szCs w:val="20"/>
                <w:lang w:val="pt-BR"/>
              </w:rPr>
            </w:pPr>
            <w:r w:rsidRPr="008B3916">
              <w:rPr>
                <w:rFonts w:cs="Tahoma"/>
                <w:color w:val="000000"/>
                <w:szCs w:val="20"/>
                <w:lang w:val="pt-BR"/>
              </w:rPr>
              <w:t>CAL Aditiva de Uso Total para Microsoft Dynamics CRM 4.0</w:t>
            </w:r>
          </w:p>
        </w:tc>
        <w:tc>
          <w:tcPr>
            <w:tcW w:w="4212" w:type="dxa"/>
            <w:tcBorders>
              <w:top w:val="single" w:sz="6" w:space="0" w:color="000000"/>
            </w:tcBorders>
            <w:shd w:val="clear" w:color="auto" w:fill="FFFFFF"/>
          </w:tcPr>
          <w:p w:rsidR="00944BDF" w:rsidRPr="008B3916" w:rsidRDefault="00944BDF" w:rsidP="00E6206A">
            <w:pPr>
              <w:rPr>
                <w:rFonts w:cs="Tahoma"/>
                <w:color w:val="000000"/>
                <w:szCs w:val="20"/>
                <w:lang w:val="pt-BR"/>
              </w:rPr>
            </w:pPr>
            <w:r w:rsidRPr="008B3916">
              <w:rPr>
                <w:rFonts w:cs="Tahoma"/>
                <w:color w:val="000000"/>
                <w:szCs w:val="20"/>
                <w:lang w:val="pt-BR"/>
              </w:rPr>
              <w:t>1 CAL Aditiva de Uso Total para Microsoft Dynamics CRM 2011</w:t>
            </w:r>
          </w:p>
        </w:tc>
      </w:tr>
      <w:tr w:rsidR="00944BDF" w:rsidRPr="002B5F9E" w:rsidTr="00CA14C9">
        <w:tc>
          <w:tcPr>
            <w:tcW w:w="4248" w:type="dxa"/>
            <w:tcBorders>
              <w:top w:val="single" w:sz="6" w:space="0" w:color="000000"/>
            </w:tcBorders>
            <w:shd w:val="clear" w:color="auto" w:fill="FFFFFF"/>
          </w:tcPr>
          <w:p w:rsidR="00944BDF" w:rsidRPr="008B3916" w:rsidRDefault="00944BDF" w:rsidP="00E6206A">
            <w:pPr>
              <w:rPr>
                <w:rFonts w:cs="Tahoma"/>
                <w:color w:val="000000"/>
                <w:szCs w:val="20"/>
                <w:lang w:val="pt-BR"/>
              </w:rPr>
            </w:pPr>
            <w:r w:rsidRPr="008B3916">
              <w:rPr>
                <w:rFonts w:cs="Tahoma"/>
                <w:color w:val="000000"/>
                <w:szCs w:val="20"/>
                <w:lang w:val="pt-BR"/>
              </w:rPr>
              <w:t>CAL Limitada para Microsoft Dynamics CRM 4.0</w:t>
            </w:r>
          </w:p>
        </w:tc>
        <w:tc>
          <w:tcPr>
            <w:tcW w:w="4212" w:type="dxa"/>
            <w:tcBorders>
              <w:top w:val="single" w:sz="6" w:space="0" w:color="000000"/>
            </w:tcBorders>
            <w:shd w:val="clear" w:color="auto" w:fill="FFFFFF"/>
          </w:tcPr>
          <w:p w:rsidR="00944BDF" w:rsidRPr="008B3916" w:rsidRDefault="00944BDF" w:rsidP="00E6206A">
            <w:pPr>
              <w:rPr>
                <w:rFonts w:cs="Tahoma"/>
                <w:color w:val="000000"/>
                <w:szCs w:val="20"/>
                <w:lang w:val="pt-BR"/>
              </w:rPr>
            </w:pPr>
            <w:r w:rsidRPr="008B3916">
              <w:rPr>
                <w:rFonts w:cs="Tahoma"/>
                <w:color w:val="000000"/>
                <w:szCs w:val="20"/>
                <w:lang w:val="pt-BR"/>
              </w:rPr>
              <w:t xml:space="preserve">Uma CAL do Microsoft Dynamics CRM Server 2011 Employee Self Service e Uma CAL </w:t>
            </w:r>
            <w:r w:rsidR="00EC2258" w:rsidRPr="008B3916">
              <w:rPr>
                <w:rFonts w:cs="Tahoma"/>
                <w:color w:val="000000"/>
                <w:szCs w:val="20"/>
                <w:lang w:val="pt-BR"/>
              </w:rPr>
              <w:br/>
            </w:r>
            <w:r w:rsidRPr="008B3916">
              <w:rPr>
                <w:rFonts w:cs="Tahoma"/>
                <w:color w:val="000000"/>
                <w:szCs w:val="20"/>
                <w:lang w:val="pt-BR"/>
              </w:rPr>
              <w:t>(aditiva à CAL de Uso Limitado)</w:t>
            </w:r>
          </w:p>
        </w:tc>
      </w:tr>
      <w:tr w:rsidR="00944BDF" w:rsidRPr="002B5F9E" w:rsidTr="00CA14C9">
        <w:tc>
          <w:tcPr>
            <w:tcW w:w="4248" w:type="dxa"/>
            <w:tcBorders>
              <w:top w:val="single" w:sz="6" w:space="0" w:color="000000"/>
            </w:tcBorders>
            <w:shd w:val="clear" w:color="auto" w:fill="FFFFFF"/>
          </w:tcPr>
          <w:p w:rsidR="00944BDF" w:rsidRPr="008B3916" w:rsidRDefault="00944BDF" w:rsidP="00E6206A">
            <w:pPr>
              <w:rPr>
                <w:lang w:val="pt-BR"/>
              </w:rPr>
            </w:pPr>
            <w:r w:rsidRPr="008B3916">
              <w:rPr>
                <w:rFonts w:cs="Tahoma"/>
                <w:color w:val="000000"/>
                <w:szCs w:val="20"/>
                <w:lang w:val="pt-BR"/>
              </w:rPr>
              <w:t>External Connector Limitado do Microsoft Dynamics CRM 4.0</w:t>
            </w:r>
          </w:p>
          <w:p w:rsidR="00944BDF" w:rsidRPr="008B3916" w:rsidRDefault="00944BDF" w:rsidP="00E6206A">
            <w:pPr>
              <w:rPr>
                <w:rFonts w:cs="Tahoma"/>
                <w:color w:val="000000"/>
                <w:szCs w:val="20"/>
                <w:lang w:val="pt-BR"/>
              </w:rPr>
            </w:pPr>
            <w:r w:rsidRPr="008B3916">
              <w:rPr>
                <w:rFonts w:cs="Tahoma"/>
                <w:color w:val="000000"/>
                <w:szCs w:val="20"/>
                <w:lang w:val="pt-BR"/>
              </w:rPr>
              <w:t xml:space="preserve">(separado </w:t>
            </w:r>
            <w:r w:rsidRPr="008B3916">
              <w:rPr>
                <w:color w:val="000000"/>
                <w:lang w:val="pt-BR"/>
              </w:rPr>
              <w:t>OU como parte do External Connector</w:t>
            </w:r>
            <w:r w:rsidRPr="008B3916">
              <w:rPr>
                <w:rFonts w:cs="Tahoma"/>
                <w:color w:val="000000"/>
                <w:szCs w:val="18"/>
                <w:lang w:val="pt-BR"/>
              </w:rPr>
              <w:t xml:space="preserve"> </w:t>
            </w:r>
            <w:r w:rsidRPr="008B3916">
              <w:rPr>
                <w:color w:val="000000"/>
                <w:lang w:val="pt-BR"/>
              </w:rPr>
              <w:t>Limitado do Microsoft Dynamics CRM 4.0 e</w:t>
            </w:r>
            <w:r w:rsidR="00FB5496" w:rsidRPr="008B3916">
              <w:rPr>
                <w:color w:val="000000"/>
                <w:lang w:val="pt-BR"/>
              </w:rPr>
              <w:t xml:space="preserve"> </w:t>
            </w:r>
            <w:r w:rsidRPr="008B3916">
              <w:rPr>
                <w:color w:val="000000"/>
                <w:lang w:val="pt-BR"/>
              </w:rPr>
              <w:t>conjunto do External Connector Adicional de Uso Completo do Microsoft Dynamics CRM 4.0)</w:t>
            </w:r>
          </w:p>
        </w:tc>
        <w:tc>
          <w:tcPr>
            <w:tcW w:w="4212" w:type="dxa"/>
            <w:tcBorders>
              <w:top w:val="single" w:sz="6" w:space="0" w:color="000000"/>
            </w:tcBorders>
            <w:shd w:val="clear" w:color="auto" w:fill="FFFFFF"/>
          </w:tcPr>
          <w:p w:rsidR="00944BDF" w:rsidRPr="008B3916" w:rsidRDefault="00944BDF" w:rsidP="00EC2258">
            <w:pPr>
              <w:rPr>
                <w:rFonts w:cs="Tahoma"/>
                <w:color w:val="000000"/>
                <w:szCs w:val="20"/>
                <w:lang w:val="pt-BR"/>
              </w:rPr>
            </w:pPr>
            <w:r w:rsidRPr="008B3916">
              <w:rPr>
                <w:rFonts w:cs="Tahoma"/>
                <w:color w:val="000000"/>
                <w:szCs w:val="20"/>
                <w:lang w:val="pt-BR"/>
              </w:rPr>
              <w:t>1 Conector Externo para Microsoft Dynamics CRM</w:t>
            </w:r>
            <w:r w:rsidR="00EC2258" w:rsidRPr="008B3916">
              <w:rPr>
                <w:rFonts w:cs="Tahoma"/>
                <w:color w:val="000000"/>
                <w:szCs w:val="20"/>
                <w:lang w:val="pt-BR"/>
              </w:rPr>
              <w:t> </w:t>
            </w:r>
            <w:r w:rsidRPr="008B3916">
              <w:rPr>
                <w:rFonts w:cs="Tahoma"/>
                <w:color w:val="000000"/>
                <w:szCs w:val="20"/>
                <w:lang w:val="pt-BR"/>
              </w:rPr>
              <w:t>2011</w:t>
            </w:r>
            <w:r w:rsidRPr="008B3916">
              <w:rPr>
                <w:rFonts w:cs="Tahoma"/>
                <w:color w:val="000000"/>
                <w:szCs w:val="20"/>
                <w:vertAlign w:val="superscript"/>
                <w:lang w:val="pt-BR"/>
              </w:rPr>
              <w:t>1</w:t>
            </w:r>
          </w:p>
        </w:tc>
      </w:tr>
      <w:tr w:rsidR="00944BDF" w:rsidRPr="00416070" w:rsidTr="00CA14C9">
        <w:tc>
          <w:tcPr>
            <w:tcW w:w="4248" w:type="dxa"/>
            <w:tcBorders>
              <w:top w:val="single" w:sz="6" w:space="0" w:color="000000"/>
            </w:tcBorders>
            <w:shd w:val="clear" w:color="auto" w:fill="FFFFFF"/>
          </w:tcPr>
          <w:p w:rsidR="00944BDF" w:rsidRPr="00416070" w:rsidRDefault="00944BDF" w:rsidP="00E6206A">
            <w:pPr>
              <w:rPr>
                <w:rFonts w:cs="Tahoma"/>
                <w:color w:val="000000"/>
                <w:szCs w:val="20"/>
              </w:rPr>
            </w:pPr>
            <w:r w:rsidRPr="00416070">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416070" w:rsidRDefault="00944BDF" w:rsidP="004A1891">
            <w:pPr>
              <w:rPr>
                <w:rFonts w:cs="Tahoma"/>
                <w:color w:val="000000"/>
                <w:szCs w:val="20"/>
              </w:rPr>
            </w:pPr>
            <w:r w:rsidRPr="00416070">
              <w:rPr>
                <w:rFonts w:cs="Tahoma"/>
                <w:color w:val="000000"/>
                <w:szCs w:val="20"/>
              </w:rPr>
              <w:t>1 Microsoft Dynamics CRM Workgroup Server</w:t>
            </w:r>
            <w:r w:rsidR="004A1891">
              <w:rPr>
                <w:rFonts w:cs="Tahoma"/>
                <w:color w:val="000000"/>
                <w:szCs w:val="20"/>
              </w:rPr>
              <w:t> </w:t>
            </w:r>
            <w:r w:rsidRPr="00416070">
              <w:rPr>
                <w:rFonts w:cs="Tahoma"/>
                <w:color w:val="000000"/>
                <w:szCs w:val="20"/>
              </w:rPr>
              <w:t>2011</w:t>
            </w:r>
          </w:p>
        </w:tc>
      </w:tr>
      <w:tr w:rsidR="00944BDF" w:rsidRPr="00416070" w:rsidTr="00CA14C9">
        <w:tc>
          <w:tcPr>
            <w:tcW w:w="4248" w:type="dxa"/>
            <w:shd w:val="clear" w:color="auto" w:fill="FFFFFF"/>
          </w:tcPr>
          <w:p w:rsidR="00944BDF" w:rsidRPr="00416070" w:rsidRDefault="00944BDF" w:rsidP="00E6206A">
            <w:pPr>
              <w:rPr>
                <w:rFonts w:cs="Tahoma"/>
                <w:color w:val="000000"/>
                <w:szCs w:val="20"/>
              </w:rPr>
            </w:pPr>
            <w:r w:rsidRPr="00416070">
              <w:rPr>
                <w:rFonts w:cs="Tahoma"/>
                <w:color w:val="000000"/>
                <w:szCs w:val="20"/>
              </w:rPr>
              <w:t>Microsoft Dynamics CRM 4.0 Professional Server</w:t>
            </w:r>
          </w:p>
        </w:tc>
        <w:tc>
          <w:tcPr>
            <w:tcW w:w="4212" w:type="dxa"/>
            <w:shd w:val="clear" w:color="auto" w:fill="FFFFFF"/>
          </w:tcPr>
          <w:p w:rsidR="00944BDF" w:rsidRPr="00416070" w:rsidRDefault="00944BDF" w:rsidP="00E6206A">
            <w:pPr>
              <w:rPr>
                <w:rFonts w:cs="Tahoma"/>
                <w:color w:val="000000"/>
                <w:szCs w:val="20"/>
              </w:rPr>
            </w:pPr>
            <w:r w:rsidRPr="00416070">
              <w:rPr>
                <w:rFonts w:cs="Tahoma"/>
                <w:color w:val="000000"/>
                <w:szCs w:val="20"/>
              </w:rPr>
              <w:t>1 Microsoft Dynamics CRM Server 2011</w:t>
            </w:r>
          </w:p>
        </w:tc>
      </w:tr>
      <w:tr w:rsidR="00944BDF" w:rsidRPr="00416070" w:rsidTr="00CA14C9">
        <w:tc>
          <w:tcPr>
            <w:tcW w:w="4248" w:type="dxa"/>
            <w:shd w:val="clear" w:color="auto" w:fill="FFFFFF"/>
          </w:tcPr>
          <w:p w:rsidR="00944BDF" w:rsidRPr="008B3916" w:rsidRDefault="00944BDF" w:rsidP="00E6206A">
            <w:pPr>
              <w:rPr>
                <w:rFonts w:cs="Tahoma"/>
                <w:color w:val="000000"/>
                <w:szCs w:val="20"/>
                <w:lang w:val="fr-FR"/>
              </w:rPr>
            </w:pPr>
            <w:r w:rsidRPr="008B3916">
              <w:rPr>
                <w:rFonts w:cs="Tahoma"/>
                <w:color w:val="000000"/>
                <w:szCs w:val="20"/>
                <w:lang w:val="fr-FR"/>
              </w:rPr>
              <w:t>Microsoft Dynamics CRM 4.0 Enterprise Server</w:t>
            </w:r>
          </w:p>
        </w:tc>
        <w:tc>
          <w:tcPr>
            <w:tcW w:w="4212" w:type="dxa"/>
            <w:shd w:val="clear" w:color="auto" w:fill="FFFFFF"/>
          </w:tcPr>
          <w:p w:rsidR="00944BDF" w:rsidRPr="00416070" w:rsidRDefault="00944BDF" w:rsidP="00E6206A">
            <w:pPr>
              <w:rPr>
                <w:rFonts w:cs="Tahoma"/>
                <w:color w:val="000000"/>
                <w:szCs w:val="20"/>
              </w:rPr>
            </w:pPr>
            <w:r w:rsidRPr="00416070">
              <w:rPr>
                <w:rFonts w:cs="Tahoma"/>
                <w:color w:val="000000"/>
                <w:szCs w:val="20"/>
              </w:rPr>
              <w:t>1 Microsoft Dynamics CRM Server 2011</w:t>
            </w:r>
          </w:p>
        </w:tc>
      </w:tr>
    </w:tbl>
    <w:p w:rsidR="00944BDF" w:rsidRPr="00416070" w:rsidRDefault="00944BDF" w:rsidP="00944BDF">
      <w:pPr>
        <w:ind w:left="540"/>
      </w:pPr>
    </w:p>
    <w:p w:rsidR="00944BDF" w:rsidRPr="008B3916" w:rsidRDefault="00944BDF" w:rsidP="00E62BC4">
      <w:pPr>
        <w:ind w:left="810"/>
        <w:rPr>
          <w:lang w:val="pt-BR"/>
        </w:rPr>
      </w:pPr>
      <w:r w:rsidRPr="008B3916">
        <w:rPr>
          <w:rFonts w:cs="Tahoma"/>
          <w:i/>
          <w:color w:val="000000"/>
          <w:sz w:val="16"/>
          <w:szCs w:val="18"/>
          <w:bdr w:val="none" w:sz="0" w:space="0" w:color="auto" w:frame="1"/>
          <w:vertAlign w:val="superscript"/>
          <w:lang w:val="pt-BR"/>
        </w:rPr>
        <w:t>1</w:t>
      </w:r>
      <w:r w:rsidRPr="008B3916">
        <w:rPr>
          <w:i/>
          <w:color w:val="000000"/>
          <w:sz w:val="16"/>
          <w:bdr w:val="none" w:sz="0" w:space="0" w:color="auto" w:frame="1"/>
          <w:lang w:val="pt-BR"/>
        </w:rPr>
        <w:t xml:space="preserve">O Conector Externo para CRM 2011 é a única licença de conector externo disponível nesta versão. </w:t>
      </w:r>
      <w:r w:rsidRPr="008B3916">
        <w:rPr>
          <w:i/>
          <w:color w:val="000000"/>
          <w:sz w:val="16"/>
          <w:lang w:val="pt-BR"/>
        </w:rPr>
        <w:t xml:space="preserve">Os clientes terão os direitos de atualização para uma licença do Conector Externo para CRM 2011 para cada licença qualificada do External Connector Limitado do CRM 4.0 que tiverem, se essa licença do External Connector Limitado do CRM 4.0 foi usada sozinha para permitir acesso à funcionalidade correspondente a essa licença base ou se foi usada em conjunto com o External Connector Adicional de Uso Completo do CRM 4.0 para permitir acesso a toda a Funcionalidade do CRM 4.0. </w:t>
      </w:r>
      <w:r w:rsidR="00EC2258" w:rsidRPr="008B3916">
        <w:rPr>
          <w:i/>
          <w:color w:val="000000"/>
          <w:sz w:val="16"/>
          <w:lang w:val="pt-BR"/>
        </w:rPr>
        <w:br/>
      </w:r>
      <w:r w:rsidRPr="008B3916">
        <w:rPr>
          <w:i/>
          <w:color w:val="000000"/>
          <w:sz w:val="16"/>
          <w:lang w:val="pt-BR"/>
        </w:rPr>
        <w:t>Os clientes terão um número de licenças do Conector Externo para CRM Server 2011 igual ao número de licenças do External Connector Limitado do CRM 4.0 que possuírem</w:t>
      </w:r>
      <w:r w:rsidRPr="008B3916">
        <w:rPr>
          <w:rFonts w:cs="Tahoma"/>
          <w:i/>
          <w:color w:val="000000"/>
          <w:sz w:val="16"/>
          <w:szCs w:val="18"/>
          <w:bdr w:val="none" w:sz="0" w:space="0" w:color="auto" w:frame="1"/>
          <w:lang w:val="pt-BR"/>
        </w:rPr>
        <w:t>.</w:t>
      </w:r>
    </w:p>
    <w:p w:rsidR="00944BDF" w:rsidRPr="008B3916" w:rsidRDefault="00944BDF" w:rsidP="00E62BC4">
      <w:pPr>
        <w:ind w:left="720"/>
        <w:rPr>
          <w:lang w:val="pt-BR"/>
        </w:rPr>
      </w:pPr>
    </w:p>
    <w:p w:rsidR="00944BDF" w:rsidRPr="008B3916" w:rsidRDefault="00944BDF" w:rsidP="00E62BC4">
      <w:pPr>
        <w:ind w:left="720"/>
        <w:rPr>
          <w:lang w:val="pt-BR"/>
        </w:rPr>
      </w:pPr>
      <w:r w:rsidRPr="008B3916">
        <w:rPr>
          <w:rFonts w:cs="Tahoma"/>
          <w:color w:val="000000"/>
          <w:szCs w:val="20"/>
          <w:lang w:val="pt-BR"/>
        </w:rPr>
        <w:t>O direito de uso do software Microsoft Dynamics CRM 2011 pelos clientes é comprovado por esta nota de condição do produto e por evidências de suas licenças e seu Software Assurance correspondentes ao Microsoft Dynamics CRM 4.0.</w:t>
      </w:r>
      <w:r w:rsidR="00FB5496" w:rsidRPr="008B3916">
        <w:rPr>
          <w:rFonts w:cs="Tahoma"/>
          <w:color w:val="000000"/>
          <w:szCs w:val="20"/>
          <w:lang w:val="pt-BR"/>
        </w:rPr>
        <w:t xml:space="preserve"> </w:t>
      </w:r>
      <w:r w:rsidRPr="008B3916">
        <w:rPr>
          <w:rFonts w:cs="Tahoma"/>
          <w:color w:val="000000"/>
          <w:szCs w:val="20"/>
          <w:lang w:val="pt-BR"/>
        </w:rPr>
        <w:t>O direito de um cliente de usar o software Microsoft Dynamics CRM 2011 sob esta outorga de migração está sujeito aos termos e às condições do respectivo contrato de licenciamento por volume.</w:t>
      </w:r>
      <w:r w:rsidR="00FB5496" w:rsidRPr="008B3916">
        <w:rPr>
          <w:rFonts w:cs="Tahoma"/>
          <w:color w:val="000000"/>
          <w:szCs w:val="20"/>
          <w:lang w:val="pt-BR"/>
        </w:rPr>
        <w:t xml:space="preserve"> </w:t>
      </w:r>
      <w:r w:rsidRPr="008B3916">
        <w:rPr>
          <w:rFonts w:cs="Tahoma"/>
          <w:color w:val="000000"/>
          <w:szCs w:val="20"/>
          <w:lang w:val="pt-BR"/>
        </w:rPr>
        <w:t>Esse</w:t>
      </w:r>
      <w:r w:rsidRPr="008B3916">
        <w:rPr>
          <w:rStyle w:val="CommentReference"/>
          <w:sz w:val="18"/>
          <w:szCs w:val="20"/>
          <w:lang w:val="pt-BR"/>
        </w:rPr>
        <w:t xml:space="preserve"> </w:t>
      </w:r>
      <w:r w:rsidRPr="008B3916">
        <w:rPr>
          <w:rFonts w:cs="Tahoma"/>
          <w:color w:val="000000"/>
          <w:szCs w:val="20"/>
          <w:lang w:val="pt-BR"/>
        </w:rPr>
        <w:t>direito cessará em caso de término ou rescisão do direito de usar o Microsoft Dynamics CRM 4.0 de acordo com as licenças do Microsoft Dynamics CRM 4.0 qualificadas correspondentes.</w:t>
      </w:r>
      <w:r w:rsidR="00FB5496" w:rsidRPr="008B3916">
        <w:rPr>
          <w:rFonts w:cs="Tahoma"/>
          <w:color w:val="000000"/>
          <w:szCs w:val="20"/>
          <w:lang w:val="pt-BR"/>
        </w:rPr>
        <w:t xml:space="preserve"> </w:t>
      </w:r>
      <w:r w:rsidRPr="008B3916">
        <w:rPr>
          <w:rFonts w:cs="Tahoma"/>
          <w:color w:val="000000"/>
          <w:szCs w:val="20"/>
          <w:lang w:val="pt-BR"/>
        </w:rPr>
        <w:t>Ao</w:t>
      </w:r>
      <w:r w:rsidR="00EC2258" w:rsidRPr="008B3916">
        <w:rPr>
          <w:rFonts w:cs="Tahoma"/>
          <w:color w:val="000000"/>
          <w:szCs w:val="20"/>
          <w:lang w:val="pt-BR"/>
        </w:rPr>
        <w:t> </w:t>
      </w:r>
      <w:r w:rsidRPr="008B3916">
        <w:rPr>
          <w:rFonts w:cs="Tahoma"/>
          <w:color w:val="000000"/>
          <w:szCs w:val="20"/>
          <w:lang w:val="pt-BR"/>
        </w:rPr>
        <w:t>término da cobertura do SA sobre as licenças do Microsoft Dynamics CRM 4.0, o cliente poderá renovar</w:t>
      </w:r>
      <w:r w:rsidR="00EC2258" w:rsidRPr="008B3916">
        <w:rPr>
          <w:rFonts w:cs="Tahoma"/>
          <w:color w:val="000000"/>
          <w:szCs w:val="20"/>
          <w:lang w:val="pt-BR"/>
        </w:rPr>
        <w:t> </w:t>
      </w:r>
      <w:r w:rsidRPr="008B3916">
        <w:rPr>
          <w:rFonts w:cs="Tahoma"/>
          <w:color w:val="000000"/>
          <w:szCs w:val="20"/>
          <w:lang w:val="pt-BR"/>
        </w:rPr>
        <w:t>o</w:t>
      </w:r>
      <w:r w:rsidR="00EC2258" w:rsidRPr="008B3916">
        <w:rPr>
          <w:rFonts w:cs="Tahoma"/>
          <w:color w:val="000000"/>
          <w:szCs w:val="20"/>
          <w:lang w:val="pt-BR"/>
        </w:rPr>
        <w:t> </w:t>
      </w:r>
      <w:r w:rsidRPr="008B3916">
        <w:rPr>
          <w:rFonts w:cs="Tahoma"/>
          <w:color w:val="000000"/>
          <w:szCs w:val="20"/>
          <w:lang w:val="pt-BR"/>
        </w:rPr>
        <w:t>SA para as licenças outorgadas do Microsoft Dynamics CRM 2011.</w:t>
      </w:r>
    </w:p>
    <w:p w:rsidR="00944BDF" w:rsidRPr="008B3916" w:rsidRDefault="00944BDF" w:rsidP="00E62BC4">
      <w:pPr>
        <w:ind w:left="720"/>
        <w:rPr>
          <w:lang w:val="pt-BR"/>
        </w:rPr>
      </w:pPr>
    </w:p>
    <w:p w:rsidR="00944BDF" w:rsidRPr="008B3916" w:rsidRDefault="00944BDF" w:rsidP="00E62BC4">
      <w:pPr>
        <w:ind w:left="720"/>
        <w:rPr>
          <w:lang w:val="pt-BR"/>
        </w:rPr>
      </w:pPr>
      <w:r w:rsidRPr="008B3916">
        <w:rPr>
          <w:rFonts w:cs="Tahoma"/>
          <w:color w:val="000000"/>
          <w:lang w:val="pt-BR"/>
        </w:rPr>
        <w:t>Essa oferta também é válida para clientes cujas licenças do Microsoft Dynamics CRM 4.0 tiverem sido obtidas como resultado de uma migração de outro produto, contanto que o cliente tenha um SA ativo para</w:t>
      </w:r>
      <w:r w:rsidR="00EC2258" w:rsidRPr="008B3916">
        <w:rPr>
          <w:rFonts w:cs="Tahoma"/>
          <w:color w:val="000000"/>
          <w:szCs w:val="20"/>
          <w:lang w:val="pt-BR"/>
        </w:rPr>
        <w:t> </w:t>
      </w:r>
      <w:r w:rsidRPr="008B3916">
        <w:rPr>
          <w:rFonts w:cs="Tahoma"/>
          <w:color w:val="000000"/>
          <w:lang w:val="pt-BR"/>
        </w:rPr>
        <w:t>essas licenças a partir de 1° de abril de 2011.</w:t>
      </w:r>
    </w:p>
    <w:p w:rsidR="00944BDF" w:rsidRPr="008B3916" w:rsidRDefault="00944BDF" w:rsidP="00E62BC4">
      <w:pPr>
        <w:ind w:left="720"/>
        <w:rPr>
          <w:lang w:val="pt-BR"/>
        </w:rPr>
      </w:pPr>
    </w:p>
    <w:p w:rsidR="00944BDF" w:rsidRPr="00416070" w:rsidRDefault="00944BDF" w:rsidP="00E62BC4">
      <w:pPr>
        <w:pStyle w:val="EndnoteText"/>
        <w:ind w:left="720"/>
      </w:pPr>
      <w:r w:rsidRPr="00416070">
        <w:rPr>
          <w:rFonts w:ascii="Tahoma" w:hAnsi="Tahoma" w:cs="Tahoma"/>
          <w:bCs/>
          <w:sz w:val="18"/>
          <w:szCs w:val="18"/>
        </w:rPr>
        <w:t>Para os clientes de Contratos Enterprise qualificados para essas licenças gratuitas e esses direitos conforme descrito acima, as licenças do Microsoft Dynamics CRM 4.0 adquiridas como parte do processo anual de adequação (“true-up”) de um cliente durante o prazo do registro atual também serão licenças qualificadas.</w:t>
      </w:r>
    </w:p>
    <w:p w:rsidR="00944BDF" w:rsidRPr="00416070" w:rsidRDefault="00944BDF" w:rsidP="00E62BC4">
      <w:pPr>
        <w:pStyle w:val="EndnoteText"/>
        <w:ind w:left="720"/>
      </w:pPr>
    </w:p>
    <w:p w:rsidR="00944BDF" w:rsidRPr="00416070" w:rsidRDefault="00944BDF" w:rsidP="00E62BC4">
      <w:pPr>
        <w:pStyle w:val="EndnoteText"/>
        <w:ind w:left="720"/>
        <w:rPr>
          <w:highlight w:val="yellow"/>
        </w:rPr>
      </w:pPr>
      <w:r w:rsidRPr="00416070">
        <w:rPr>
          <w:rFonts w:ascii="Tahoma" w:hAnsi="Tahoma" w:cs="Tahoma"/>
          <w:bCs/>
          <w:color w:val="000000"/>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FB5496" w:rsidRPr="00416070">
        <w:rPr>
          <w:rFonts w:ascii="Tahoma" w:hAnsi="Tahoma" w:cs="Tahoma"/>
          <w:bCs/>
          <w:color w:val="000000"/>
          <w:sz w:val="18"/>
          <w:szCs w:val="18"/>
        </w:rPr>
        <w:t xml:space="preserve"> </w:t>
      </w:r>
      <w:r w:rsidRPr="00416070">
        <w:rPr>
          <w:rFonts w:ascii="Tahoma" w:hAnsi="Tahoma" w:cs="Tahoma"/>
          <w:bCs/>
          <w:color w:val="000000"/>
          <w:sz w:val="18"/>
          <w:szCs w:val="18"/>
        </w:rPr>
        <w:t>Esses direitos só se tornarão permanentes se a opção de compra (“buy-out”) for exercida e continuarão sujeitos a todos os termos e condições do contrato de licença do cliente.</w:t>
      </w:r>
    </w:p>
    <w:p w:rsidR="00944BDF" w:rsidRPr="008B3916" w:rsidRDefault="00944BDF" w:rsidP="00E62BC4">
      <w:pPr>
        <w:ind w:left="720"/>
        <w:rPr>
          <w:lang w:val="pt-BR"/>
        </w:rPr>
      </w:pPr>
    </w:p>
    <w:p w:rsidR="004D27F8" w:rsidRPr="008B3916" w:rsidRDefault="004D27F8" w:rsidP="00E62BC4">
      <w:pPr>
        <w:ind w:left="720"/>
        <w:rPr>
          <w:lang w:val="pt-BR"/>
        </w:rPr>
      </w:pPr>
    </w:p>
    <w:p w:rsidR="004D27F8" w:rsidRPr="008B3916" w:rsidRDefault="004D27F8" w:rsidP="00E62BC4">
      <w:pPr>
        <w:ind w:left="720"/>
        <w:rPr>
          <w:lang w:val="pt-BR"/>
        </w:rPr>
      </w:pPr>
    </w:p>
    <w:p w:rsidR="004D27F8" w:rsidRPr="008B3916" w:rsidRDefault="004D27F8" w:rsidP="00E62BC4">
      <w:pPr>
        <w:ind w:left="720"/>
        <w:rPr>
          <w:lang w:val="pt-BR"/>
        </w:rPr>
      </w:pPr>
    </w:p>
    <w:p w:rsidR="00944BDF" w:rsidRPr="008B3916" w:rsidRDefault="00944BDF" w:rsidP="007B699C">
      <w:pPr>
        <w:spacing w:after="60"/>
        <w:ind w:left="720"/>
        <w:rPr>
          <w:lang w:val="pt-BR"/>
        </w:rPr>
      </w:pPr>
      <w:r w:rsidRPr="008B3916">
        <w:rPr>
          <w:rFonts w:cs="Tahoma"/>
          <w:b/>
          <w:bCs/>
          <w:szCs w:val="20"/>
          <w:lang w:val="pt-BR"/>
        </w:rPr>
        <w:t xml:space="preserve">Direitos de Downgrade para Microsoft Dynamics CRM 2011 </w:t>
      </w:r>
    </w:p>
    <w:p w:rsidR="00944BDF" w:rsidRPr="008B3916" w:rsidRDefault="00944BDF" w:rsidP="00E62BC4">
      <w:pPr>
        <w:ind w:left="720"/>
        <w:rPr>
          <w:lang w:val="pt-BR"/>
        </w:rPr>
      </w:pPr>
      <w:r w:rsidRPr="008B3916">
        <w:rPr>
          <w:rFonts w:cs="Tahoma"/>
          <w:szCs w:val="20"/>
          <w:lang w:val="pt-BR"/>
        </w:rPr>
        <w:t>Os clientes com licenças do Microsoft Dynamics CRM 2011 podem usar o Microsoft Dynamics CRM 4.0 no</w:t>
      </w:r>
      <w:r w:rsidR="00EC2258" w:rsidRPr="008B3916">
        <w:rPr>
          <w:rFonts w:cs="Tahoma"/>
          <w:szCs w:val="20"/>
          <w:lang w:val="pt-BR"/>
        </w:rPr>
        <w:t> </w:t>
      </w:r>
      <w:r w:rsidRPr="008B3916">
        <w:rPr>
          <w:rFonts w:cs="Tahoma"/>
          <w:szCs w:val="20"/>
          <w:lang w:val="pt-BR"/>
        </w:rPr>
        <w:t>lugar do Microsoft Dynamics CRM 2011. Essas licenças do Microsoft Dynamics CRM 2011 podem ser implantadas como licenças CRM 4.0 da seguinte maneira:</w:t>
      </w:r>
    </w:p>
    <w:p w:rsidR="00944BDF" w:rsidRPr="008B3916" w:rsidRDefault="00944BDF" w:rsidP="00944BDF">
      <w:pPr>
        <w:ind w:left="900"/>
        <w:rPr>
          <w:lang w:val="pt-B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416070"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8B3916" w:rsidRDefault="00944BDF" w:rsidP="00E6206A">
            <w:pPr>
              <w:ind w:left="360"/>
              <w:rPr>
                <w:rFonts w:cs="Tahoma"/>
                <w:b/>
                <w:bCs/>
                <w:szCs w:val="20"/>
                <w:lang w:val="pt-BR"/>
              </w:rPr>
            </w:pPr>
            <w:r w:rsidRPr="008B3916">
              <w:rPr>
                <w:rFonts w:cs="Tahoma"/>
                <w:b/>
                <w:bCs/>
                <w:szCs w:val="20"/>
                <w:lang w:val="pt-BR"/>
              </w:rPr>
              <w:t>Licença do Microsoft Dynamics CRM 2011 Qualificada</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416070" w:rsidRDefault="00944BDF" w:rsidP="00E6206A">
            <w:pPr>
              <w:ind w:left="360"/>
              <w:rPr>
                <w:rFonts w:cs="Tahoma"/>
                <w:b/>
                <w:bCs/>
                <w:szCs w:val="20"/>
              </w:rPr>
            </w:pPr>
            <w:r w:rsidRPr="00416070">
              <w:rPr>
                <w:rFonts w:cs="Tahoma"/>
                <w:b/>
                <w:bCs/>
                <w:szCs w:val="20"/>
              </w:rPr>
              <w:t>Licenças do CRM 4.0 Correspondentes</w:t>
            </w:r>
          </w:p>
        </w:tc>
      </w:tr>
      <w:tr w:rsidR="00944BDF" w:rsidRPr="002B5F9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8B3916" w:rsidRDefault="00944BDF" w:rsidP="00E6206A">
            <w:pPr>
              <w:rPr>
                <w:rFonts w:cs="Tahoma"/>
                <w:color w:val="000000"/>
                <w:szCs w:val="20"/>
                <w:lang w:val="pt-BR"/>
              </w:rPr>
            </w:pPr>
            <w:r w:rsidRPr="008B3916">
              <w:rPr>
                <w:rFonts w:cs="Tahoma"/>
                <w:szCs w:val="20"/>
                <w:lang w:val="pt-BR"/>
              </w:rPr>
              <w:t>CAL Aditiva de Uso Total para Microsoft Dynamics CRM 2011</w:t>
            </w:r>
          </w:p>
        </w:tc>
        <w:tc>
          <w:tcPr>
            <w:tcW w:w="4140" w:type="dxa"/>
            <w:tcBorders>
              <w:top w:val="nil"/>
              <w:left w:val="nil"/>
              <w:bottom w:val="single" w:sz="8" w:space="0" w:color="000000"/>
              <w:right w:val="single" w:sz="8" w:space="0" w:color="000000"/>
            </w:tcBorders>
            <w:vAlign w:val="center"/>
          </w:tcPr>
          <w:p w:rsidR="00944BDF" w:rsidRPr="008B3916" w:rsidRDefault="00944BDF" w:rsidP="00E6206A">
            <w:pPr>
              <w:pStyle w:val="ColorfulList-Accent11"/>
              <w:spacing w:line="276" w:lineRule="auto"/>
              <w:ind w:left="288" w:right="162" w:hanging="180"/>
              <w:rPr>
                <w:rFonts w:ascii="Tahoma" w:hAnsi="Tahoma" w:cs="Tahoma"/>
                <w:sz w:val="18"/>
                <w:szCs w:val="20"/>
                <w:lang w:val="pt-BR"/>
              </w:rPr>
            </w:pPr>
            <w:r w:rsidRPr="008B3916">
              <w:rPr>
                <w:rFonts w:ascii="Tahoma" w:hAnsi="Tahoma" w:cs="Tahoma"/>
                <w:sz w:val="18"/>
                <w:szCs w:val="20"/>
                <w:lang w:val="pt-BR"/>
              </w:rPr>
              <w:t>1 CAL Aditiva de Uso Total para Microsoft Dynamics CRM 4.0</w:t>
            </w:r>
          </w:p>
        </w:tc>
      </w:tr>
      <w:tr w:rsidR="00944BDF" w:rsidRPr="002B5F9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8B3916" w:rsidRDefault="00944BDF" w:rsidP="00E6206A">
            <w:pPr>
              <w:rPr>
                <w:rFonts w:cs="Tahoma"/>
                <w:color w:val="000000"/>
                <w:szCs w:val="20"/>
                <w:lang w:val="pt-BR"/>
              </w:rPr>
            </w:pPr>
            <w:r w:rsidRPr="008B3916">
              <w:rPr>
                <w:rFonts w:cs="Tahoma"/>
                <w:szCs w:val="20"/>
                <w:lang w:val="pt-BR"/>
              </w:rPr>
              <w:t>CAL Aditiva de Uso Limitado para Microsoft Dynamics CRM 2011</w:t>
            </w:r>
          </w:p>
        </w:tc>
        <w:tc>
          <w:tcPr>
            <w:tcW w:w="4140" w:type="dxa"/>
            <w:tcBorders>
              <w:top w:val="nil"/>
              <w:left w:val="nil"/>
              <w:bottom w:val="single" w:sz="8" w:space="0" w:color="000000"/>
              <w:right w:val="single" w:sz="8" w:space="0" w:color="000000"/>
            </w:tcBorders>
            <w:vAlign w:val="center"/>
          </w:tcPr>
          <w:p w:rsidR="00944BDF" w:rsidRPr="008B3916" w:rsidRDefault="00944BDF" w:rsidP="004A1891">
            <w:pPr>
              <w:pStyle w:val="ColorfulList-Accent11"/>
              <w:spacing w:line="276" w:lineRule="auto"/>
              <w:ind w:left="288" w:right="162" w:hanging="180"/>
              <w:rPr>
                <w:rFonts w:ascii="Tahoma" w:hAnsi="Tahoma" w:cs="Tahoma"/>
                <w:sz w:val="18"/>
                <w:szCs w:val="20"/>
                <w:lang w:val="pt-BR"/>
              </w:rPr>
            </w:pPr>
            <w:r w:rsidRPr="008B3916">
              <w:rPr>
                <w:rFonts w:ascii="Tahoma" w:hAnsi="Tahoma" w:cs="Tahoma"/>
                <w:sz w:val="18"/>
                <w:szCs w:val="20"/>
                <w:lang w:val="pt-BR"/>
              </w:rPr>
              <w:t>1 CAL Limitada para Microsoft Dynamics CRM</w:t>
            </w:r>
            <w:r w:rsidR="004A1891" w:rsidRPr="008B3916">
              <w:rPr>
                <w:rFonts w:ascii="Tahoma" w:hAnsi="Tahoma" w:cs="Tahoma"/>
                <w:sz w:val="18"/>
                <w:szCs w:val="20"/>
                <w:lang w:val="pt-BR"/>
              </w:rPr>
              <w:t> </w:t>
            </w:r>
            <w:r w:rsidRPr="008B3916">
              <w:rPr>
                <w:rFonts w:ascii="Tahoma" w:hAnsi="Tahoma" w:cs="Tahoma"/>
                <w:sz w:val="18"/>
                <w:szCs w:val="20"/>
                <w:lang w:val="pt-BR"/>
              </w:rPr>
              <w:t>4.0</w:t>
            </w:r>
          </w:p>
        </w:tc>
      </w:tr>
      <w:tr w:rsidR="00944BDF" w:rsidRPr="002B5F9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8B3916" w:rsidRDefault="00944BDF" w:rsidP="00E6206A">
            <w:pPr>
              <w:rPr>
                <w:rFonts w:cs="Tahoma"/>
                <w:szCs w:val="20"/>
                <w:lang w:val="pt-BR"/>
              </w:rPr>
            </w:pPr>
            <w:r w:rsidRPr="008B3916">
              <w:rPr>
                <w:rFonts w:cs="Tahoma"/>
                <w:szCs w:val="20"/>
                <w:lang w:val="pt-BR"/>
              </w:rPr>
              <w:t>Conector Externo para Microsoft Dynamics CRM 2011</w:t>
            </w:r>
          </w:p>
        </w:tc>
        <w:tc>
          <w:tcPr>
            <w:tcW w:w="4140" w:type="dxa"/>
            <w:tcBorders>
              <w:top w:val="nil"/>
              <w:left w:val="nil"/>
              <w:bottom w:val="single" w:sz="8" w:space="0" w:color="000000"/>
              <w:right w:val="single" w:sz="8" w:space="0" w:color="000000"/>
            </w:tcBorders>
            <w:vAlign w:val="center"/>
          </w:tcPr>
          <w:p w:rsidR="00944BDF" w:rsidRPr="008B3916" w:rsidRDefault="00944BDF" w:rsidP="00E6206A">
            <w:pPr>
              <w:pStyle w:val="ColorfulList-Accent11"/>
              <w:spacing w:line="276" w:lineRule="auto"/>
              <w:ind w:left="288" w:right="162" w:hanging="180"/>
              <w:rPr>
                <w:lang w:val="pt-BR"/>
              </w:rPr>
            </w:pPr>
            <w:r w:rsidRPr="008B3916">
              <w:rPr>
                <w:rFonts w:ascii="Tahoma" w:hAnsi="Tahoma" w:cs="Tahoma"/>
                <w:sz w:val="18"/>
                <w:szCs w:val="20"/>
                <w:lang w:val="pt-BR"/>
              </w:rPr>
              <w:t>1 External Connector Limitado do Microsoft Dynamics CRM 4.0</w:t>
            </w:r>
          </w:p>
          <w:p w:rsidR="00944BDF" w:rsidRPr="008B3916" w:rsidRDefault="00944BDF" w:rsidP="00E6206A">
            <w:pPr>
              <w:pStyle w:val="ColorfulList-Accent11"/>
              <w:spacing w:line="276" w:lineRule="auto"/>
              <w:ind w:left="288" w:right="162" w:hanging="180"/>
              <w:jc w:val="center"/>
              <w:rPr>
                <w:lang w:val="pt-BR"/>
              </w:rPr>
            </w:pPr>
            <w:r w:rsidRPr="008B3916">
              <w:rPr>
                <w:rFonts w:ascii="Tahoma" w:hAnsi="Tahoma" w:cs="Tahoma"/>
                <w:sz w:val="18"/>
                <w:szCs w:val="20"/>
                <w:lang w:val="pt-BR"/>
              </w:rPr>
              <w:t>E</w:t>
            </w:r>
          </w:p>
          <w:p w:rsidR="00944BDF" w:rsidRPr="008B3916" w:rsidRDefault="00944BDF" w:rsidP="00E6206A">
            <w:pPr>
              <w:pStyle w:val="ColorfulList-Accent11"/>
              <w:spacing w:line="276" w:lineRule="auto"/>
              <w:ind w:left="288" w:right="162" w:hanging="180"/>
              <w:rPr>
                <w:rFonts w:ascii="Tahoma" w:hAnsi="Tahoma" w:cs="Tahoma"/>
                <w:sz w:val="18"/>
                <w:szCs w:val="20"/>
                <w:lang w:val="pt-BR"/>
              </w:rPr>
            </w:pPr>
            <w:r w:rsidRPr="008B3916">
              <w:rPr>
                <w:rFonts w:ascii="Tahoma" w:hAnsi="Tahoma" w:cs="Tahoma"/>
                <w:sz w:val="18"/>
                <w:szCs w:val="20"/>
                <w:lang w:val="pt-BR"/>
              </w:rPr>
              <w:t>1 External Connector Adicional de Uso Completo do Microsoft Dynamics CRM 4.0</w:t>
            </w:r>
          </w:p>
        </w:tc>
      </w:tr>
      <w:tr w:rsidR="00944BDF" w:rsidRPr="0041607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416070" w:rsidRDefault="00944BDF" w:rsidP="00E6206A">
            <w:pPr>
              <w:rPr>
                <w:rFonts w:cs="Tahoma"/>
                <w:color w:val="000000"/>
                <w:szCs w:val="20"/>
              </w:rPr>
            </w:pPr>
            <w:r w:rsidRPr="00416070">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416070" w:rsidRDefault="00944BDF" w:rsidP="00E6206A">
            <w:pPr>
              <w:pStyle w:val="ColorfulList-Accent11"/>
              <w:spacing w:line="276" w:lineRule="auto"/>
              <w:ind w:left="288" w:right="162" w:hanging="180"/>
            </w:pPr>
            <w:r w:rsidRPr="00416070">
              <w:rPr>
                <w:rFonts w:ascii="Tahoma" w:hAnsi="Tahoma" w:cs="Tahoma"/>
                <w:sz w:val="18"/>
                <w:szCs w:val="20"/>
              </w:rPr>
              <w:t xml:space="preserve">1 Microsoft Dynamics CRM 4.0 Professional Server </w:t>
            </w:r>
          </w:p>
          <w:p w:rsidR="00944BDF" w:rsidRPr="00416070" w:rsidRDefault="00944BDF" w:rsidP="00E6206A">
            <w:pPr>
              <w:pStyle w:val="ColorfulList-Accent11"/>
              <w:spacing w:line="276" w:lineRule="auto"/>
              <w:ind w:left="288" w:right="162" w:hanging="180"/>
              <w:jc w:val="center"/>
            </w:pPr>
            <w:r w:rsidRPr="00416070">
              <w:rPr>
                <w:rFonts w:ascii="Tahoma" w:hAnsi="Tahoma" w:cs="Tahoma"/>
                <w:sz w:val="18"/>
                <w:szCs w:val="20"/>
              </w:rPr>
              <w:t>OU</w:t>
            </w:r>
          </w:p>
          <w:p w:rsidR="00944BDF" w:rsidRPr="00416070" w:rsidRDefault="00944BDF" w:rsidP="00287758">
            <w:pPr>
              <w:pStyle w:val="ColorfulList-Accent11"/>
              <w:spacing w:line="276" w:lineRule="auto"/>
              <w:ind w:left="288" w:right="162" w:hanging="180"/>
              <w:rPr>
                <w:rFonts w:ascii="Tahoma" w:hAnsi="Tahoma" w:cs="Tahoma"/>
                <w:sz w:val="18"/>
                <w:szCs w:val="20"/>
              </w:rPr>
            </w:pPr>
            <w:r w:rsidRPr="00416070">
              <w:rPr>
                <w:rFonts w:ascii="Tahoma" w:hAnsi="Tahoma" w:cs="Tahoma"/>
                <w:sz w:val="18"/>
                <w:szCs w:val="20"/>
              </w:rPr>
              <w:t xml:space="preserve">1 Microsoft Dynamics CRM 4.0 Enterprise Server </w:t>
            </w:r>
          </w:p>
        </w:tc>
      </w:tr>
      <w:tr w:rsidR="00944BDF" w:rsidRPr="00416070"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416070" w:rsidRDefault="00944BDF" w:rsidP="00E6206A">
            <w:pPr>
              <w:rPr>
                <w:rFonts w:cs="Tahoma"/>
                <w:color w:val="000000"/>
                <w:szCs w:val="20"/>
              </w:rPr>
            </w:pPr>
            <w:r w:rsidRPr="00416070">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416070" w:rsidRDefault="00944BDF" w:rsidP="00E6206A">
            <w:pPr>
              <w:pStyle w:val="ColorfulList-Accent11"/>
              <w:spacing w:line="276" w:lineRule="auto"/>
              <w:ind w:left="288" w:right="162" w:hanging="180"/>
              <w:rPr>
                <w:rFonts w:ascii="Tahoma" w:hAnsi="Tahoma" w:cs="Tahoma"/>
                <w:sz w:val="18"/>
                <w:szCs w:val="20"/>
              </w:rPr>
            </w:pPr>
            <w:r w:rsidRPr="00416070">
              <w:rPr>
                <w:rFonts w:ascii="Tahoma" w:hAnsi="Tahoma" w:cs="Tahoma"/>
                <w:sz w:val="18"/>
                <w:szCs w:val="20"/>
              </w:rPr>
              <w:t xml:space="preserve">1 Microsoft Dynamics CRM 4.0 Workgroup Server </w:t>
            </w:r>
          </w:p>
        </w:tc>
      </w:tr>
    </w:tbl>
    <w:p w:rsidR="00944BDF" w:rsidRPr="00416070" w:rsidRDefault="00944BDF" w:rsidP="00944BDF">
      <w:r w:rsidRPr="00416070">
        <w:rPr>
          <w:rFonts w:cs="Tahoma"/>
          <w:szCs w:val="20"/>
        </w:rPr>
        <w:t xml:space="preserve"> </w:t>
      </w:r>
    </w:p>
    <w:p w:rsidR="00BF7FDE" w:rsidRPr="008B3916" w:rsidRDefault="00944BDF" w:rsidP="00586FCE">
      <w:pPr>
        <w:ind w:left="720"/>
        <w:rPr>
          <w:lang w:val="pt-BR"/>
        </w:rPr>
      </w:pPr>
      <w:r w:rsidRPr="008B3916">
        <w:rPr>
          <w:rFonts w:cs="Tahoma"/>
          <w:szCs w:val="20"/>
          <w:lang w:val="pt-BR"/>
        </w:rPr>
        <w:t>O direito de o cliente usar o Microsoft Dynamics CRM 4.0 está sujeito aos termos e às condições do contrato de licença do cliente, aos direitos de uso de produto do Microsoft Dynamics CRM 4.0 e a estes termos. Esse</w:t>
      </w:r>
      <w:r w:rsidR="00EC2258" w:rsidRPr="008B3916">
        <w:rPr>
          <w:rFonts w:cs="Tahoma"/>
          <w:szCs w:val="20"/>
          <w:lang w:val="pt-BR"/>
        </w:rPr>
        <w:t> </w:t>
      </w:r>
      <w:r w:rsidRPr="008B3916">
        <w:rPr>
          <w:rFonts w:cs="Tahoma"/>
          <w:szCs w:val="20"/>
          <w:lang w:val="pt-BR"/>
        </w:rPr>
        <w:t>direito expirará em caso de término ou rescisão do direito de usar o Microsoft Dynamics CRM 2011 sob</w:t>
      </w:r>
      <w:r w:rsidR="00EC2258" w:rsidRPr="008B3916">
        <w:rPr>
          <w:rFonts w:cs="Tahoma"/>
          <w:szCs w:val="20"/>
          <w:lang w:val="pt-BR"/>
        </w:rPr>
        <w:t> </w:t>
      </w:r>
      <w:r w:rsidRPr="008B3916">
        <w:rPr>
          <w:rFonts w:cs="Tahoma"/>
          <w:szCs w:val="20"/>
          <w:lang w:val="pt-BR"/>
        </w:rPr>
        <w:t xml:space="preserve">as licenças do Microsoft </w:t>
      </w:r>
      <w:r w:rsidR="008D0E85" w:rsidRPr="008B3916">
        <w:rPr>
          <w:rFonts w:cs="Tahoma"/>
          <w:szCs w:val="20"/>
          <w:lang w:val="pt-BR"/>
        </w:rPr>
        <w:t>Dynamics CRM 2011 qualificadas.</w:t>
      </w:r>
    </w:p>
    <w:p w:rsidR="00944BDF" w:rsidRPr="008B3916" w:rsidRDefault="00944BDF" w:rsidP="00944BDF">
      <w:pPr>
        <w:ind w:left="540"/>
        <w:rPr>
          <w:lang w:val="pt-BR"/>
        </w:rPr>
      </w:pPr>
    </w:p>
    <w:p w:rsidR="00944BDF" w:rsidRPr="008B3916" w:rsidRDefault="00944BDF" w:rsidP="007B699C">
      <w:pPr>
        <w:spacing w:after="60"/>
        <w:ind w:left="720"/>
        <w:rPr>
          <w:lang w:val="pt-BR"/>
        </w:rPr>
      </w:pPr>
      <w:r w:rsidRPr="008B3916">
        <w:rPr>
          <w:rFonts w:cs="Tahoma"/>
          <w:b/>
          <w:bCs/>
          <w:color w:val="000000"/>
          <w:szCs w:val="20"/>
          <w:lang w:val="pt-BR"/>
        </w:rPr>
        <w:t>Opções de Licença da Licença de Acesso para Cliente e External Connector</w:t>
      </w:r>
    </w:p>
    <w:p w:rsidR="00944BDF" w:rsidRPr="008B3916" w:rsidRDefault="00944BDF" w:rsidP="00E62BC4">
      <w:pPr>
        <w:ind w:left="720"/>
        <w:rPr>
          <w:lang w:val="pt-BR"/>
        </w:rPr>
      </w:pPr>
      <w:r w:rsidRPr="008B3916">
        <w:rPr>
          <w:rFonts w:cs="Tahoma"/>
          <w:color w:val="000000"/>
          <w:szCs w:val="20"/>
          <w:lang w:val="pt-BR"/>
        </w:rPr>
        <w:t>Os usos permitidos sob as CALs diferentes do Microsoft Dynamics CRM 2011 são destacados na tabela a</w:t>
      </w:r>
      <w:r w:rsidR="00EC2258" w:rsidRPr="008B3916">
        <w:rPr>
          <w:rFonts w:cs="Tahoma"/>
          <w:color w:val="000000"/>
          <w:szCs w:val="20"/>
          <w:lang w:val="pt-BR"/>
        </w:rPr>
        <w:t> </w:t>
      </w:r>
      <w:r w:rsidRPr="008B3916">
        <w:rPr>
          <w:rFonts w:cs="Tahoma"/>
          <w:color w:val="000000"/>
          <w:szCs w:val="20"/>
          <w:lang w:val="pt-BR"/>
        </w:rPr>
        <w:t>seguir.</w:t>
      </w:r>
      <w:r w:rsidR="00FB5496" w:rsidRPr="008B3916">
        <w:rPr>
          <w:rFonts w:cs="Tahoma"/>
          <w:color w:val="000000"/>
          <w:szCs w:val="20"/>
          <w:lang w:val="pt-BR"/>
        </w:rPr>
        <w:t xml:space="preserve"> </w:t>
      </w:r>
      <w:r w:rsidRPr="008B3916">
        <w:rPr>
          <w:rFonts w:cs="Tahoma"/>
          <w:color w:val="000000"/>
          <w:szCs w:val="20"/>
          <w:lang w:val="pt-BR"/>
        </w:rPr>
        <w:t>A CAL Limitada e a CAL Completa são ofertas que incluem várias licenças.</w:t>
      </w:r>
    </w:p>
    <w:p w:rsidR="0033725C" w:rsidRPr="00416070" w:rsidRDefault="0033725C" w:rsidP="0033725C">
      <w:pPr>
        <w:pStyle w:val="ListParagraph"/>
        <w:ind w:left="0"/>
      </w:pPr>
    </w:p>
    <w:tbl>
      <w:tblPr>
        <w:tblW w:w="8860" w:type="dxa"/>
        <w:tblInd w:w="828" w:type="dxa"/>
        <w:tblLayout w:type="fixed"/>
        <w:tblCellMar>
          <w:left w:w="58" w:type="dxa"/>
          <w:right w:w="58" w:type="dxa"/>
        </w:tblCellMar>
        <w:tblLook w:val="04A0" w:firstRow="1" w:lastRow="0" w:firstColumn="1" w:lastColumn="0" w:noHBand="0" w:noVBand="1"/>
      </w:tblPr>
      <w:tblGrid>
        <w:gridCol w:w="2200"/>
        <w:gridCol w:w="900"/>
        <w:gridCol w:w="1080"/>
        <w:gridCol w:w="1170"/>
        <w:gridCol w:w="1170"/>
        <w:gridCol w:w="1130"/>
        <w:gridCol w:w="1210"/>
      </w:tblGrid>
      <w:tr w:rsidR="0033725C" w:rsidRPr="00416070" w:rsidTr="004D27F8">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33725C" w:rsidRPr="00416070" w:rsidRDefault="0033725C" w:rsidP="00A73DBD">
            <w:pPr>
              <w:pStyle w:val="TableHeading"/>
              <w:rPr>
                <w:rFonts w:ascii="Tahoma" w:hAnsi="Tahoma" w:cs="Tahoma"/>
                <w:color w:val="000000"/>
                <w:sz w:val="18"/>
                <w:szCs w:val="18"/>
              </w:rPr>
            </w:pPr>
            <w:r w:rsidRPr="00416070">
              <w:rPr>
                <w:rFonts w:ascii="Tahoma" w:hAnsi="Tahoma" w:cs="Tahoma"/>
                <w:color w:val="000000"/>
                <w:sz w:val="18"/>
                <w:szCs w:val="18"/>
              </w:rPr>
              <w:t>Direito de Uso</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33725C" w:rsidRPr="00416070" w:rsidRDefault="0033725C" w:rsidP="00A73DBD">
            <w:pPr>
              <w:pStyle w:val="TableHeading"/>
              <w:rPr>
                <w:rFonts w:ascii="Tahoma" w:hAnsi="Tahoma" w:cs="Tahoma"/>
                <w:color w:val="000000"/>
                <w:sz w:val="18"/>
                <w:szCs w:val="18"/>
              </w:rPr>
            </w:pPr>
            <w:r w:rsidRPr="00416070">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416070" w:rsidRDefault="0033725C" w:rsidP="00A73DBD">
            <w:pPr>
              <w:pStyle w:val="TableHeading"/>
              <w:rPr>
                <w:rFonts w:ascii="Tahoma" w:hAnsi="Tahoma" w:cs="Tahoma"/>
                <w:color w:val="000000"/>
                <w:sz w:val="18"/>
                <w:szCs w:val="18"/>
              </w:rPr>
            </w:pPr>
            <w:r w:rsidRPr="0041607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416070" w:rsidRDefault="0033725C" w:rsidP="00A73DBD">
            <w:pPr>
              <w:pStyle w:val="TableHeading"/>
              <w:rPr>
                <w:rFonts w:ascii="Tahoma" w:hAnsi="Tahoma" w:cs="Tahoma"/>
                <w:color w:val="000000"/>
                <w:sz w:val="18"/>
                <w:szCs w:val="18"/>
              </w:rPr>
            </w:pPr>
            <w:r w:rsidRPr="0041607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416070" w:rsidRDefault="0033725C" w:rsidP="00A73DBD">
            <w:pPr>
              <w:pStyle w:val="TableHeading"/>
              <w:rPr>
                <w:rFonts w:ascii="Tahoma" w:hAnsi="Tahoma" w:cs="Tahoma"/>
                <w:color w:val="000000"/>
                <w:sz w:val="18"/>
                <w:szCs w:val="18"/>
              </w:rPr>
            </w:pPr>
            <w:r w:rsidRPr="00416070">
              <w:rPr>
                <w:rFonts w:ascii="Tahoma" w:hAnsi="Tahoma" w:cs="Tahoma"/>
                <w:color w:val="000000"/>
                <w:sz w:val="18"/>
                <w:szCs w:val="18"/>
              </w:rPr>
              <w:t>CAL Adicional de Uso Limitado</w:t>
            </w:r>
          </w:p>
        </w:tc>
        <w:tc>
          <w:tcPr>
            <w:tcW w:w="1130" w:type="dxa"/>
            <w:tcBorders>
              <w:top w:val="single" w:sz="4" w:space="0" w:color="auto"/>
              <w:left w:val="single" w:sz="4" w:space="0" w:color="auto"/>
              <w:bottom w:val="single" w:sz="4" w:space="0" w:color="auto"/>
              <w:right w:val="single" w:sz="4" w:space="0" w:color="auto"/>
            </w:tcBorders>
            <w:shd w:val="clear" w:color="auto" w:fill="FABF8F"/>
          </w:tcPr>
          <w:p w:rsidR="0033725C" w:rsidRPr="00416070" w:rsidRDefault="0033725C" w:rsidP="00A73DBD">
            <w:pPr>
              <w:pStyle w:val="TableHeading"/>
              <w:rPr>
                <w:rFonts w:ascii="Tahoma" w:hAnsi="Tahoma" w:cs="Tahoma"/>
                <w:color w:val="000000"/>
                <w:sz w:val="18"/>
                <w:szCs w:val="18"/>
              </w:rPr>
            </w:pPr>
            <w:r w:rsidRPr="00416070">
              <w:rPr>
                <w:rFonts w:ascii="Tahoma" w:hAnsi="Tahoma" w:cs="Tahoma"/>
                <w:color w:val="000000"/>
                <w:sz w:val="18"/>
                <w:szCs w:val="18"/>
              </w:rPr>
              <w:t>CAL Adicional de Uso Completo</w:t>
            </w:r>
          </w:p>
        </w:tc>
        <w:tc>
          <w:tcPr>
            <w:tcW w:w="1210" w:type="dxa"/>
            <w:tcBorders>
              <w:top w:val="single" w:sz="4" w:space="0" w:color="auto"/>
              <w:left w:val="single" w:sz="4" w:space="0" w:color="auto"/>
              <w:bottom w:val="single" w:sz="4" w:space="0" w:color="auto"/>
              <w:right w:val="single" w:sz="4" w:space="0" w:color="auto"/>
            </w:tcBorders>
            <w:shd w:val="clear" w:color="auto" w:fill="FABF8F"/>
          </w:tcPr>
          <w:p w:rsidR="0033725C" w:rsidRPr="00416070" w:rsidRDefault="0033725C" w:rsidP="00A73DBD">
            <w:pPr>
              <w:pStyle w:val="TableHeading"/>
              <w:rPr>
                <w:rFonts w:ascii="Tahoma" w:hAnsi="Tahoma" w:cs="Tahoma"/>
                <w:color w:val="000000"/>
                <w:sz w:val="18"/>
                <w:szCs w:val="18"/>
              </w:rPr>
            </w:pPr>
            <w:r w:rsidRPr="00416070">
              <w:rPr>
                <w:rFonts w:ascii="Tahoma" w:hAnsi="Tahoma" w:cs="Tahoma"/>
                <w:color w:val="000000"/>
                <w:sz w:val="18"/>
                <w:szCs w:val="18"/>
              </w:rPr>
              <w:t>External Connector</w:t>
            </w:r>
          </w:p>
        </w:tc>
      </w:tr>
      <w:tr w:rsidR="0033725C" w:rsidRPr="00416070" w:rsidTr="004D27F8">
        <w:trPr>
          <w:trHeight w:val="199"/>
        </w:trPr>
        <w:tc>
          <w:tcPr>
            <w:tcW w:w="2200" w:type="dxa"/>
            <w:tcBorders>
              <w:top w:val="single" w:sz="4" w:space="0" w:color="auto"/>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Contas usando Acesso à API</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rPr>
          <w:trHeight w:val="352"/>
        </w:trPr>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8B3916" w:rsidRDefault="0033725C" w:rsidP="00A73DBD">
            <w:pPr>
              <w:pStyle w:val="TableText"/>
              <w:jc w:val="left"/>
              <w:rPr>
                <w:rFonts w:ascii="Tahoma" w:eastAsia="Calibri" w:hAnsi="Tahoma" w:cs="Tahoma"/>
                <w:sz w:val="18"/>
                <w:szCs w:val="18"/>
                <w:lang w:val="pt-BR"/>
              </w:rPr>
            </w:pPr>
            <w:r w:rsidRPr="00416070">
              <w:rPr>
                <w:rFonts w:ascii="Tahoma" w:eastAsia="Calibri" w:hAnsi="Tahoma" w:cs="Tahoma"/>
                <w:sz w:val="18"/>
                <w:szCs w:val="18"/>
              </w:rPr>
              <w:t>Criar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Notas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EC2258" w:rsidRPr="00416070" w:rsidTr="00EC2258">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Direito de Uso</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Adicional de Uso Limitado</w:t>
            </w:r>
          </w:p>
        </w:tc>
        <w:tc>
          <w:tcPr>
            <w:tcW w:w="113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Adicional de Uso Completo</w:t>
            </w:r>
          </w:p>
        </w:tc>
        <w:tc>
          <w:tcPr>
            <w:tcW w:w="121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External Connector</w:t>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Notas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Notas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Notas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EC2258" w:rsidRPr="00416070" w:rsidTr="00EC2258">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Direito de Uso</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Adicional de Uso Limitado</w:t>
            </w:r>
          </w:p>
        </w:tc>
        <w:tc>
          <w:tcPr>
            <w:tcW w:w="113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Adicional de Uso Completo</w:t>
            </w:r>
          </w:p>
        </w:tc>
        <w:tc>
          <w:tcPr>
            <w:tcW w:w="121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External Connector</w:t>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Notas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Contas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Contatos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Casos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Leads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Atividades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registros de entidades personalizados usando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Contas usando os clientes do Microsoft Dynamics CRM</w:t>
            </w:r>
            <w:r w:rsidRPr="00416070">
              <w:rPr>
                <w:rFonts w:ascii="Tahoma" w:eastAsia="Calibri" w:hAnsi="Tahoma" w:cs="Tahoma"/>
                <w:b/>
                <w:sz w:val="18"/>
                <w:szCs w:val="18"/>
                <w:vertAlign w:val="superscript"/>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Contatos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Casos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Leads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Notas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Contas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EC2258" w:rsidRPr="00416070" w:rsidTr="00EC2258">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Direito de Uso</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Adicional de Uso Limitado</w:t>
            </w:r>
          </w:p>
        </w:tc>
        <w:tc>
          <w:tcPr>
            <w:tcW w:w="113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Adicional de Uso Completo</w:t>
            </w:r>
          </w:p>
        </w:tc>
        <w:tc>
          <w:tcPr>
            <w:tcW w:w="121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External Connector</w:t>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Contatos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Casos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Leads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Notas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Contas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Contatos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Casos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Leads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Notas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Contas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Contatos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Casos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Leads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a Notas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EC2258" w:rsidRPr="00416070" w:rsidTr="00EC2258">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Direito de Uso</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Adicional de Uso Limitado</w:t>
            </w:r>
          </w:p>
        </w:tc>
        <w:tc>
          <w:tcPr>
            <w:tcW w:w="113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Adicional de Uso Completo</w:t>
            </w:r>
          </w:p>
        </w:tc>
        <w:tc>
          <w:tcPr>
            <w:tcW w:w="121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External Connector</w:t>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Contas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Contatos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Casos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Leads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Notas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Contas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Contatos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Casos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Leads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rPr>
          <w:trHeight w:val="309"/>
        </w:trPr>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Contas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Contatos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Casos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Leads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Atividades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ascii="Segoe" w:eastAsia="Calibri" w:hAnsi="Segoe"/>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registros de entidades personalizados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EC2258" w:rsidRPr="00416070" w:rsidTr="00EC2258">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Direito de Uso</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Adicional de Uso Limitado</w:t>
            </w:r>
          </w:p>
        </w:tc>
        <w:tc>
          <w:tcPr>
            <w:tcW w:w="113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CAL Adicional de Uso Completo</w:t>
            </w:r>
          </w:p>
        </w:tc>
        <w:tc>
          <w:tcPr>
            <w:tcW w:w="121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keepNext/>
              <w:keepLines/>
              <w:rPr>
                <w:rFonts w:ascii="Tahoma" w:hAnsi="Tahoma" w:cs="Tahoma"/>
                <w:color w:val="000000"/>
                <w:sz w:val="18"/>
                <w:szCs w:val="18"/>
              </w:rPr>
            </w:pPr>
            <w:r w:rsidRPr="00416070">
              <w:rPr>
                <w:rFonts w:ascii="Tahoma" w:hAnsi="Tahoma" w:cs="Tahoma"/>
                <w:color w:val="000000"/>
                <w:sz w:val="18"/>
                <w:szCs w:val="18"/>
              </w:rPr>
              <w:t>External Connector</w:t>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registros de entidades personalizados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8D0E85">
            <w:pPr>
              <w:pStyle w:val="TableText"/>
              <w:jc w:val="left"/>
              <w:rPr>
                <w:rFonts w:ascii="Tahoma" w:eastAsia="Calibri" w:hAnsi="Tahoma" w:cs="Tahoma"/>
                <w:sz w:val="18"/>
                <w:szCs w:val="18"/>
              </w:rPr>
            </w:pPr>
            <w:r w:rsidRPr="00416070">
              <w:rPr>
                <w:rFonts w:ascii="Tahoma" w:eastAsia="Calibri" w:hAnsi="Tahoma" w:cs="Tahoma"/>
                <w:sz w:val="18"/>
                <w:szCs w:val="18"/>
              </w:rPr>
              <w:t>Anexar privilégios aos registros de atividades personalizados usando os</w:t>
            </w:r>
            <w:r w:rsidR="008D0E85" w:rsidRPr="008B3916">
              <w:rPr>
                <w:rFonts w:ascii="Tahoma" w:eastAsia="Calibri" w:hAnsi="Tahoma" w:cs="Tahoma"/>
                <w:sz w:val="18"/>
                <w:szCs w:val="18"/>
                <w:lang w:val="pt-BR"/>
              </w:rPr>
              <w:t> </w:t>
            </w:r>
            <w:r w:rsidRPr="00416070">
              <w:rPr>
                <w:rFonts w:ascii="Tahoma" w:eastAsia="Calibri" w:hAnsi="Tahoma" w:cs="Tahoma"/>
                <w:sz w:val="18"/>
                <w:szCs w:val="18"/>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3</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Anexar privilégios aos registros de entidades personalizados (excluindo os registros de atividades personalizados)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8D0E85">
            <w:pPr>
              <w:pStyle w:val="TableText"/>
              <w:jc w:val="left"/>
              <w:rPr>
                <w:rFonts w:ascii="Tahoma" w:eastAsia="Calibri" w:hAnsi="Tahoma" w:cs="Tahoma"/>
                <w:sz w:val="18"/>
                <w:szCs w:val="18"/>
              </w:rPr>
            </w:pPr>
            <w:r w:rsidRPr="00416070">
              <w:rPr>
                <w:rFonts w:ascii="Tahoma" w:eastAsia="Calibri" w:hAnsi="Tahoma" w:cs="Tahoma"/>
                <w:sz w:val="18"/>
                <w:szCs w:val="18"/>
              </w:rPr>
              <w:t>Anexar a privilégios aos registros de entidades personalizados usando os</w:t>
            </w:r>
            <w:r w:rsidR="008D0E85" w:rsidRPr="008B3916">
              <w:rPr>
                <w:rFonts w:ascii="Tahoma" w:eastAsia="Calibri" w:hAnsi="Tahoma" w:cs="Tahoma"/>
                <w:sz w:val="18"/>
                <w:szCs w:val="18"/>
                <w:lang w:val="pt-BR"/>
              </w:rPr>
              <w:t> </w:t>
            </w:r>
            <w:r w:rsidRPr="00416070">
              <w:rPr>
                <w:rFonts w:ascii="Tahoma" w:eastAsia="Calibri" w:hAnsi="Tahoma" w:cs="Tahoma"/>
                <w:sz w:val="18"/>
                <w:szCs w:val="18"/>
              </w:rPr>
              <w:t>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Excluir registros de entidades personalizados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Atribuir registros de entidades personalizados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registros de entidades personalizados usando os clientes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Consultas de “Localização Avançada”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Salvar Consultas de “Localização Avançada”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Exibições Pessoais</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Painel do Sistema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Painel do Sistema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Painel pessoal</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Compartilhar Painel pessoal</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Fluxo de Trabalho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Fluxo de Trabalho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Executar um fluxo de trabalho automatizado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5</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EC2258" w:rsidRPr="00416070" w:rsidTr="00EC2258">
        <w:trPr>
          <w:trHeight w:val="226"/>
        </w:trPr>
        <w:tc>
          <w:tcPr>
            <w:tcW w:w="22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Direito de Uso</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Adicional de Uso Limitado</w:t>
            </w:r>
          </w:p>
        </w:tc>
        <w:tc>
          <w:tcPr>
            <w:tcW w:w="113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CAL Adicional de Uso Completo</w:t>
            </w:r>
          </w:p>
        </w:tc>
        <w:tc>
          <w:tcPr>
            <w:tcW w:w="1210" w:type="dxa"/>
            <w:tcBorders>
              <w:top w:val="single" w:sz="4" w:space="0" w:color="auto"/>
              <w:left w:val="single" w:sz="4" w:space="0" w:color="auto"/>
              <w:bottom w:val="single" w:sz="4" w:space="0" w:color="auto"/>
              <w:right w:val="single" w:sz="4" w:space="0" w:color="auto"/>
            </w:tcBorders>
            <w:shd w:val="clear" w:color="auto" w:fill="FABF8F"/>
          </w:tcPr>
          <w:p w:rsidR="00EC2258" w:rsidRPr="00416070" w:rsidRDefault="00EC2258" w:rsidP="00EC2258">
            <w:pPr>
              <w:pStyle w:val="TableHeading"/>
              <w:rPr>
                <w:rFonts w:ascii="Tahoma" w:hAnsi="Tahoma" w:cs="Tahoma"/>
                <w:color w:val="000000"/>
                <w:sz w:val="18"/>
                <w:szCs w:val="18"/>
              </w:rPr>
            </w:pPr>
            <w:r w:rsidRPr="00416070">
              <w:rPr>
                <w:rFonts w:ascii="Tahoma" w:hAnsi="Tahoma" w:cs="Tahoma"/>
                <w:color w:val="000000"/>
                <w:sz w:val="18"/>
                <w:szCs w:val="18"/>
              </w:rPr>
              <w:t>External Connector</w:t>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Executar um fluxo de trabalho sob demanda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Caixa de Diálogo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Atualizar Caixa de Diálogo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Iniciar Caixa de Diálogo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5</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Criar Relatório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Executar Relatório</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Executar Mala Direta</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Exportar dados para o Microsoft Excel</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Seguir e publicar feeds de atividades sobre registros de entidades personalizados de Contas, Contatos e Leads usando o acesso à API</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Seguir e publicar feeds de atividades sobre registros de entidades padrão do Dynamics CRM Standard usando clientes do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Seguir e publicar feeds de atividades sobre registros de entidades personalizados usando clientes do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Acesso de Leitura para funcionalidade completa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4</w:t>
            </w:r>
          </w:p>
        </w:tc>
      </w:tr>
      <w:tr w:rsidR="0033725C" w:rsidRPr="00416070" w:rsidTr="004D27F8">
        <w:tc>
          <w:tcPr>
            <w:tcW w:w="22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rPr>
                <w:rFonts w:ascii="Tahoma" w:eastAsia="Calibri" w:hAnsi="Tahoma" w:cs="Tahoma"/>
                <w:sz w:val="18"/>
                <w:szCs w:val="18"/>
              </w:rPr>
            </w:pPr>
            <w:r w:rsidRPr="00416070">
              <w:rPr>
                <w:rFonts w:ascii="Tahoma" w:eastAsia="Calibri" w:hAnsi="Tahoma" w:cs="Tahoma"/>
                <w:sz w:val="18"/>
                <w:szCs w:val="18"/>
              </w:rPr>
              <w:t>Acesso de Gravação para funcionalidade completa do Microsoft Dynamics CRM</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p>
        </w:tc>
        <w:tc>
          <w:tcPr>
            <w:tcW w:w="12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070" w:rsidRDefault="0033725C" w:rsidP="00A73DBD">
            <w:pPr>
              <w:pStyle w:val="TableText"/>
              <w:rPr>
                <w:rFonts w:eastAsia="Calibri" w:cs="Segoe UI"/>
                <w:b/>
                <w:sz w:val="24"/>
                <w:szCs w:val="24"/>
              </w:rPr>
            </w:pPr>
            <w:r w:rsidRPr="00416070">
              <w:rPr>
                <w:rFonts w:eastAsia="Calibri" w:cs="Segoe UI"/>
                <w:b/>
                <w:sz w:val="24"/>
                <w:szCs w:val="24"/>
              </w:rPr>
              <w:sym w:font="Wingdings" w:char="00FC"/>
            </w:r>
            <w:r w:rsidRPr="00416070">
              <w:rPr>
                <w:rFonts w:eastAsia="Calibri" w:cs="Segoe UI"/>
                <w:b/>
                <w:sz w:val="24"/>
                <w:szCs w:val="24"/>
                <w:vertAlign w:val="superscript"/>
              </w:rPr>
              <w:t>4</w:t>
            </w:r>
          </w:p>
        </w:tc>
      </w:tr>
      <w:tr w:rsidR="0033725C" w:rsidRPr="002B5F9E" w:rsidTr="004D27F8">
        <w:tc>
          <w:tcPr>
            <w:tcW w:w="8860"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416070" w:rsidRDefault="0033725C" w:rsidP="00A73DBD">
            <w:pPr>
              <w:pStyle w:val="TableText"/>
              <w:jc w:val="left"/>
            </w:pPr>
            <w:r w:rsidRPr="00416070">
              <w:rPr>
                <w:rFonts w:ascii="Tahoma" w:eastAsia="Calibri" w:hAnsi="Tahoma" w:cs="Tahoma"/>
                <w:i/>
                <w:sz w:val="14"/>
                <w:szCs w:val="18"/>
              </w:rPr>
              <w:t xml:space="preserve">(1) Cliente da Web do Microsoft Dynamics CRM, Cliente do Microsoft Dynamics CRM para Microsoft Outlook e Mobile Express para </w:t>
            </w:r>
            <w:r w:rsidR="00EC2258">
              <w:rPr>
                <w:rFonts w:ascii="Tahoma" w:eastAsia="Calibri" w:hAnsi="Tahoma" w:cs="Tahoma"/>
                <w:i/>
                <w:sz w:val="14"/>
                <w:szCs w:val="18"/>
                <w:lang w:val="en-US"/>
              </w:rPr>
              <w:br/>
            </w:r>
            <w:r w:rsidRPr="00416070">
              <w:rPr>
                <w:rFonts w:ascii="Tahoma" w:eastAsia="Calibri" w:hAnsi="Tahoma" w:cs="Tahoma"/>
                <w:i/>
                <w:sz w:val="14"/>
                <w:szCs w:val="18"/>
              </w:rPr>
              <w:t>Microsoft Dynamics CRM.</w:t>
            </w:r>
          </w:p>
          <w:p w:rsidR="0033725C" w:rsidRPr="00416070" w:rsidRDefault="0033725C" w:rsidP="00A73DBD">
            <w:pPr>
              <w:pStyle w:val="TableText"/>
              <w:jc w:val="left"/>
            </w:pPr>
            <w:r w:rsidRPr="00416070">
              <w:rPr>
                <w:rFonts w:ascii="Tahoma" w:eastAsia="Calibri" w:hAnsi="Tahoma" w:cs="Tahoma"/>
                <w:i/>
                <w:sz w:val="14"/>
                <w:szCs w:val="18"/>
              </w:rPr>
              <w:t>(2) Privilégios aplicáveis apenas a registros criados pelo mesmo usuário.</w:t>
            </w:r>
          </w:p>
          <w:p w:rsidR="0033725C" w:rsidRPr="00416070" w:rsidRDefault="0033725C" w:rsidP="00A73DBD">
            <w:pPr>
              <w:pStyle w:val="TableText"/>
              <w:jc w:val="left"/>
            </w:pPr>
            <w:r w:rsidRPr="00416070">
              <w:rPr>
                <w:rFonts w:ascii="Tahoma" w:eastAsia="Calibri" w:hAnsi="Tahoma" w:cs="Tahoma"/>
                <w:i/>
                <w:sz w:val="14"/>
                <w:szCs w:val="18"/>
              </w:rPr>
              <w:t>(3) Privilégios aplicáveis APENAS a atividades personalizadas.</w:t>
            </w:r>
          </w:p>
          <w:p w:rsidR="0033725C" w:rsidRPr="008B3916" w:rsidRDefault="0033725C" w:rsidP="00A73DBD">
            <w:pPr>
              <w:rPr>
                <w:rFonts w:cs="Tahoma"/>
                <w:sz w:val="14"/>
                <w:szCs w:val="14"/>
                <w:lang w:val="pt-BR"/>
              </w:rPr>
            </w:pPr>
            <w:r w:rsidRPr="008B3916">
              <w:rPr>
                <w:rFonts w:eastAsia="Calibri" w:cs="Tahoma"/>
                <w:i/>
                <w:sz w:val="14"/>
                <w:szCs w:val="14"/>
                <w:lang w:val="pt-BR"/>
              </w:rPr>
              <w:t xml:space="preserve">(4) Privilégios para criar registros; </w:t>
            </w:r>
            <w:r w:rsidRPr="008B3916">
              <w:rPr>
                <w:rFonts w:eastAsia="Calibri" w:cs="Tahoma"/>
                <w:bCs/>
                <w:i/>
                <w:sz w:val="14"/>
                <w:szCs w:val="14"/>
                <w:lang w:val="pt-BR"/>
              </w:rPr>
              <w:t>anexar, anexar a e atualizar</w:t>
            </w:r>
            <w:r w:rsidR="00FB5496" w:rsidRPr="008B3916">
              <w:rPr>
                <w:rFonts w:eastAsia="Calibri" w:cs="Tahoma"/>
                <w:i/>
                <w:sz w:val="14"/>
                <w:szCs w:val="14"/>
                <w:lang w:val="pt-BR"/>
              </w:rPr>
              <w:t xml:space="preserve"> </w:t>
            </w:r>
            <w:r w:rsidRPr="008B3916">
              <w:rPr>
                <w:rFonts w:eastAsia="Calibri" w:cs="Tahoma"/>
                <w:bCs/>
                <w:i/>
                <w:sz w:val="14"/>
                <w:szCs w:val="14"/>
                <w:lang w:val="pt-BR"/>
              </w:rPr>
              <w:t xml:space="preserve">registros criados por qualquer usuário CRM. </w:t>
            </w:r>
            <w:r w:rsidRPr="008B3916">
              <w:rPr>
                <w:rFonts w:eastAsia="Calibri" w:cs="Tahoma"/>
                <w:bCs/>
                <w:i/>
                <w:sz w:val="14"/>
                <w:szCs w:val="14"/>
                <w:u w:val="single"/>
                <w:lang w:val="pt-BR"/>
              </w:rPr>
              <w:t>Nenhum privilégio</w:t>
            </w:r>
            <w:r w:rsidRPr="008B3916">
              <w:rPr>
                <w:rFonts w:eastAsia="Calibri" w:cs="Tahoma"/>
                <w:i/>
                <w:sz w:val="14"/>
                <w:szCs w:val="14"/>
                <w:lang w:val="pt-BR"/>
              </w:rPr>
              <w:t xml:space="preserve"> de dados </w:t>
            </w:r>
            <w:r w:rsidR="00EC2258" w:rsidRPr="008B3916">
              <w:rPr>
                <w:rFonts w:eastAsia="Calibri" w:cs="Tahoma"/>
                <w:i/>
                <w:sz w:val="14"/>
                <w:szCs w:val="14"/>
                <w:lang w:val="pt-BR"/>
              </w:rPr>
              <w:br/>
            </w:r>
            <w:r w:rsidRPr="008B3916">
              <w:rPr>
                <w:rFonts w:eastAsia="Calibri" w:cs="Tahoma"/>
                <w:i/>
                <w:sz w:val="14"/>
                <w:szCs w:val="14"/>
                <w:lang w:val="pt-BR"/>
              </w:rPr>
              <w:t xml:space="preserve">para </w:t>
            </w:r>
            <w:r w:rsidRPr="008B3916">
              <w:rPr>
                <w:rFonts w:eastAsia="Calibri" w:cs="Tahoma"/>
                <w:bCs/>
                <w:i/>
                <w:sz w:val="14"/>
                <w:szCs w:val="14"/>
                <w:lang w:val="pt-BR"/>
              </w:rPr>
              <w:t>ceder, compartilhar ou excluir</w:t>
            </w:r>
            <w:r w:rsidRPr="008B3916">
              <w:rPr>
                <w:rFonts w:eastAsia="Calibri" w:cs="Tahoma"/>
                <w:i/>
                <w:sz w:val="14"/>
                <w:szCs w:val="14"/>
                <w:lang w:val="pt-BR"/>
              </w:rPr>
              <w:t xml:space="preserve"> registros. </w:t>
            </w:r>
            <w:r w:rsidRPr="008B3916">
              <w:rPr>
                <w:rFonts w:eastAsia="Calibri" w:cs="Tahoma"/>
                <w:bCs/>
                <w:i/>
                <w:sz w:val="14"/>
                <w:szCs w:val="14"/>
                <w:lang w:val="pt-BR"/>
              </w:rPr>
              <w:t>Acesso apenas à API.</w:t>
            </w:r>
          </w:p>
          <w:p w:rsidR="0033725C" w:rsidRPr="008B3916" w:rsidRDefault="0033725C" w:rsidP="00A73DBD">
            <w:pPr>
              <w:rPr>
                <w:rFonts w:eastAsia="Calibri"/>
                <w:b/>
                <w:bCs/>
                <w:szCs w:val="18"/>
                <w:lang w:val="pt-BR"/>
              </w:rPr>
            </w:pPr>
            <w:r w:rsidRPr="008B3916">
              <w:rPr>
                <w:rFonts w:eastAsia="Calibri" w:cs="Segoe UI"/>
                <w:i/>
                <w:sz w:val="14"/>
                <w:szCs w:val="18"/>
                <w:lang w:val="pt-BR"/>
              </w:rPr>
              <w:t xml:space="preserve">(5) </w:t>
            </w:r>
            <w:r w:rsidRPr="008B3916">
              <w:rPr>
                <w:rFonts w:eastAsia="Calibri"/>
                <w:i/>
                <w:sz w:val="14"/>
                <w:lang w:val="pt-BR"/>
              </w:rPr>
              <w:t>Contas, Contatos, Casos, Leads, Atividades e registros de entidades personalizados apenas.</w:t>
            </w:r>
            <w:r w:rsidRPr="008B3916">
              <w:rPr>
                <w:rFonts w:eastAsia="Calibri" w:cs="Segoe UI"/>
                <w:b/>
                <w:sz w:val="14"/>
                <w:szCs w:val="18"/>
                <w:lang w:val="pt-BR"/>
              </w:rPr>
              <w:t xml:space="preserve"> </w:t>
            </w:r>
          </w:p>
        </w:tc>
      </w:tr>
    </w:tbl>
    <w:p w:rsidR="0033725C" w:rsidRPr="008B3916" w:rsidRDefault="0033725C" w:rsidP="00D47417">
      <w:pPr>
        <w:ind w:left="540"/>
        <w:rPr>
          <w:lang w:val="pt-BR"/>
        </w:rPr>
      </w:pPr>
    </w:p>
    <w:p w:rsidR="00BF7FDE" w:rsidRPr="008B3916" w:rsidRDefault="0033725C" w:rsidP="007B699C">
      <w:pPr>
        <w:ind w:left="720"/>
        <w:rPr>
          <w:lang w:val="pt-BR"/>
        </w:rPr>
      </w:pPr>
      <w:r w:rsidRPr="008B3916">
        <w:rPr>
          <w:lang w:val="pt-BR"/>
        </w:rPr>
        <w:t>Consulte o guia de licenciamento e preços do Microsoft Dynamics CRM 2011 para obter informações adicionais sobre licenças do Microsoft Dynamics CRM.</w:t>
      </w:r>
      <w:bookmarkStart w:id="1336" w:name="_69_Office_365"/>
      <w:bookmarkStart w:id="1337" w:name="_69_68_Office"/>
      <w:bookmarkEnd w:id="1336"/>
      <w:bookmarkEnd w:id="1337"/>
    </w:p>
    <w:p w:rsidR="00A47403" w:rsidRPr="008B3916" w:rsidRDefault="00A47403" w:rsidP="007B699C">
      <w:pPr>
        <w:ind w:left="720"/>
        <w:rPr>
          <w:lang w:val="pt-BR"/>
        </w:rPr>
      </w:pPr>
    </w:p>
    <w:p w:rsidR="00A04495" w:rsidRPr="008B3916" w:rsidRDefault="00A04495" w:rsidP="007B699C">
      <w:pPr>
        <w:spacing w:after="60"/>
        <w:ind w:left="720"/>
        <w:rPr>
          <w:lang w:val="pt-BR"/>
        </w:rPr>
      </w:pPr>
      <w:bookmarkStart w:id="1338" w:name="_71_Office_365_1"/>
      <w:bookmarkStart w:id="1339" w:name="Srv_70Office365PlanE1"/>
      <w:bookmarkEnd w:id="1338"/>
      <w:r w:rsidRPr="008B3916">
        <w:rPr>
          <w:rFonts w:cs="Tahoma"/>
          <w:b/>
          <w:bCs/>
          <w:color w:val="000000"/>
          <w:szCs w:val="20"/>
          <w:lang w:val="pt-BR"/>
        </w:rPr>
        <w:t>Licença do Site de Exame de Certificação do Microsoft Office Specialist (MOS)</w:t>
      </w:r>
    </w:p>
    <w:p w:rsidR="00A04495" w:rsidRPr="008B3916" w:rsidRDefault="00A04495" w:rsidP="007B699C">
      <w:pPr>
        <w:ind w:left="720"/>
        <w:rPr>
          <w:lang w:val="pt-BR"/>
        </w:rPr>
      </w:pPr>
      <w:r w:rsidRPr="008B3916">
        <w:rPr>
          <w:rFonts w:cs="Tahoma"/>
          <w:lang w:val="pt-BR"/>
        </w:rPr>
        <w:t>Você terá que ser um centro de exames autorizado Certiport para usar a licença do site.</w:t>
      </w:r>
      <w:r w:rsidR="00FB5496" w:rsidRPr="008B3916">
        <w:rPr>
          <w:rFonts w:cs="Tahoma"/>
          <w:lang w:val="pt-BR"/>
        </w:rPr>
        <w:t xml:space="preserve"> </w:t>
      </w:r>
      <w:r w:rsidRPr="008B3916">
        <w:rPr>
          <w:rFonts w:cs="Tahoma"/>
          <w:lang w:val="pt-BR"/>
        </w:rPr>
        <w:t xml:space="preserve">Se você for um centro de exames autorizado Certiport, precisará passar por este processo para </w:t>
      </w:r>
      <w:hyperlink r:id="rId58" w:history="1">
        <w:r w:rsidRPr="008B3916">
          <w:rPr>
            <w:rStyle w:val="Hyperlink"/>
            <w:rFonts w:cs="Tahoma"/>
            <w:lang w:val="pt-BR"/>
          </w:rPr>
          <w:t>se tornar um centro de testes Certiport</w:t>
        </w:r>
      </w:hyperlink>
      <w:r w:rsidRPr="008B3916">
        <w:rPr>
          <w:rFonts w:cs="Tahoma"/>
          <w:lang w:val="pt-BR"/>
        </w:rPr>
        <w:t xml:space="preserve"> antes de poder usar a licença do site</w:t>
      </w:r>
      <w:r w:rsidRPr="008B3916">
        <w:rPr>
          <w:rFonts w:cs="Tahoma"/>
          <w:color w:val="1F497D"/>
          <w:lang w:val="pt-BR"/>
        </w:rPr>
        <w:t>.</w:t>
      </w:r>
    </w:p>
    <w:p w:rsidR="00A04495" w:rsidRPr="008B3916" w:rsidRDefault="00A04495" w:rsidP="007B699C">
      <w:pPr>
        <w:ind w:left="720"/>
        <w:rPr>
          <w:lang w:val="pt-BR"/>
        </w:rPr>
      </w:pPr>
    </w:p>
    <w:p w:rsidR="00EC2258" w:rsidRPr="008B3916" w:rsidRDefault="00EC2258" w:rsidP="007B699C">
      <w:pPr>
        <w:ind w:left="720"/>
        <w:rPr>
          <w:lang w:val="pt-BR"/>
        </w:rPr>
      </w:pPr>
    </w:p>
    <w:p w:rsidR="00EC2258" w:rsidRPr="008B3916" w:rsidRDefault="00EC2258" w:rsidP="007B699C">
      <w:pPr>
        <w:ind w:left="720"/>
        <w:rPr>
          <w:lang w:val="pt-BR"/>
        </w:rPr>
      </w:pPr>
    </w:p>
    <w:p w:rsidR="00A04495" w:rsidRPr="008B3916" w:rsidRDefault="00A04495" w:rsidP="007B699C">
      <w:pPr>
        <w:spacing w:after="60"/>
        <w:ind w:left="720"/>
        <w:rPr>
          <w:lang w:val="pt-BR"/>
        </w:rPr>
      </w:pPr>
      <w:r w:rsidRPr="008B3916">
        <w:rPr>
          <w:rFonts w:cs="Tahoma"/>
          <w:b/>
          <w:lang w:val="pt-BR"/>
        </w:rPr>
        <w:t>Licença do Site de Exame do Microsoft Technology Associate (MTA)</w:t>
      </w:r>
    </w:p>
    <w:p w:rsidR="00A04495" w:rsidRPr="008B3916" w:rsidRDefault="00A04495" w:rsidP="007B699C">
      <w:pPr>
        <w:ind w:left="720"/>
        <w:rPr>
          <w:lang w:val="pt-BR"/>
        </w:rPr>
      </w:pPr>
      <w:r w:rsidRPr="008B3916">
        <w:rPr>
          <w:rFonts w:cs="Tahoma"/>
          <w:lang w:val="pt-BR"/>
        </w:rPr>
        <w:t>Você terá que ser um centro de exames autorizado Certiport para usar a licença do site.</w:t>
      </w:r>
      <w:r w:rsidR="00FB5496" w:rsidRPr="008B3916">
        <w:rPr>
          <w:rFonts w:cs="Tahoma"/>
          <w:lang w:val="pt-BR"/>
        </w:rPr>
        <w:t xml:space="preserve"> </w:t>
      </w:r>
      <w:r w:rsidRPr="008B3916">
        <w:rPr>
          <w:rFonts w:cs="Tahoma"/>
          <w:lang w:val="pt-BR"/>
        </w:rPr>
        <w:t xml:space="preserve">Se você for um centro de exames autorizado Certiport, precisará passar por este processo para </w:t>
      </w:r>
      <w:hyperlink r:id="rId59" w:history="1">
        <w:r w:rsidRPr="008B3916">
          <w:rPr>
            <w:rStyle w:val="Hyperlink"/>
            <w:rFonts w:cs="Tahoma"/>
            <w:lang w:val="pt-BR"/>
          </w:rPr>
          <w:t>se tornar um centro de testes Certiport</w:t>
        </w:r>
      </w:hyperlink>
      <w:bookmarkStart w:id="1340" w:name="_Toc336338329"/>
      <w:r w:rsidRPr="008B3916">
        <w:rPr>
          <w:rFonts w:cs="Tahoma"/>
          <w:lang w:val="pt-BR"/>
        </w:rPr>
        <w:t xml:space="preserve"> antes de poder </w:t>
      </w:r>
      <w:r w:rsidRPr="008B3916">
        <w:rPr>
          <w:rFonts w:cs="Tahoma"/>
          <w:color w:val="1F497D"/>
          <w:u w:val="single"/>
          <w:lang w:val="pt-BR"/>
        </w:rPr>
        <w:t>adquirir e</w:t>
      </w:r>
      <w:r w:rsidR="00FB5496" w:rsidRPr="008B3916">
        <w:rPr>
          <w:rFonts w:cs="Tahoma"/>
          <w:color w:val="1F497D"/>
          <w:lang w:val="pt-BR"/>
        </w:rPr>
        <w:t xml:space="preserve"> </w:t>
      </w:r>
      <w:r w:rsidRPr="008B3916">
        <w:rPr>
          <w:rFonts w:cs="Tahoma"/>
          <w:lang w:val="pt-BR"/>
        </w:rPr>
        <w:t>usar a licença do site</w:t>
      </w:r>
      <w:r w:rsidRPr="008B3916">
        <w:rPr>
          <w:rFonts w:cs="Tahoma"/>
          <w:color w:val="1F497D"/>
          <w:lang w:val="pt-BR"/>
        </w:rPr>
        <w:t>.</w:t>
      </w:r>
    </w:p>
    <w:p w:rsidR="006E28CC" w:rsidRPr="008B3916" w:rsidRDefault="006E28CC" w:rsidP="006D6A83">
      <w:pPr>
        <w:rPr>
          <w:lang w:val="pt-BR"/>
        </w:rPr>
      </w:pPr>
    </w:p>
    <w:p w:rsidR="006E28CC" w:rsidRPr="008B3916" w:rsidRDefault="006E28CC" w:rsidP="006D6A83">
      <w:pPr>
        <w:rPr>
          <w:lang w:val="pt-BR"/>
        </w:rPr>
      </w:pPr>
    </w:p>
    <w:p w:rsidR="006E28CC" w:rsidRPr="00416070" w:rsidRDefault="0099402E" w:rsidP="009C5D30">
      <w:pPr>
        <w:pStyle w:val="Heading2"/>
        <w:ind w:left="0"/>
      </w:pPr>
      <w:bookmarkStart w:id="1341" w:name="_66_Microsoft_Dynamics"/>
      <w:bookmarkStart w:id="1342" w:name="_Toc352234393"/>
      <w:bookmarkEnd w:id="1341"/>
      <w:r w:rsidRPr="00416070">
        <w:rPr>
          <w:rFonts w:ascii="Tahoma" w:hAnsi="Tahoma" w:cs="Tahoma"/>
          <w:caps/>
          <w:color w:val="FF6600"/>
          <w:sz w:val="22"/>
          <w:szCs w:val="22"/>
          <w:vertAlign w:val="superscript"/>
        </w:rPr>
        <w:t>67</w:t>
      </w:r>
      <w:r w:rsidRPr="00615CB9">
        <w:rPr>
          <w:rFonts w:ascii="Tahoma" w:hAnsi="Tahoma" w:cs="Tahoma"/>
          <w:caps/>
          <w:color w:val="FF6600"/>
          <w:sz w:val="22"/>
          <w:szCs w:val="22"/>
        </w:rPr>
        <w:t xml:space="preserve"> </w:t>
      </w:r>
      <w:r w:rsidRPr="00416070">
        <w:rPr>
          <w:rFonts w:ascii="Tahoma" w:hAnsi="Tahoma" w:cs="Tahoma"/>
          <w:color w:val="FF6600"/>
          <w:sz w:val="22"/>
          <w:szCs w:val="22"/>
        </w:rPr>
        <w:t>Microsoft Dynamics CRM 2011 Server</w:t>
      </w:r>
      <w:bookmarkEnd w:id="1342"/>
    </w:p>
    <w:p w:rsidR="006E28CC" w:rsidRPr="008B3916" w:rsidRDefault="006E28CC" w:rsidP="006E28CC">
      <w:pPr>
        <w:tabs>
          <w:tab w:val="left" w:pos="1800"/>
        </w:tabs>
        <w:spacing w:after="60"/>
        <w:rPr>
          <w:lang w:val="pt-BR"/>
        </w:rPr>
      </w:pPr>
    </w:p>
    <w:p w:rsidR="006E28CC" w:rsidRPr="008B3916" w:rsidRDefault="006E28CC" w:rsidP="009C5D30">
      <w:pPr>
        <w:spacing w:after="60"/>
        <w:ind w:left="720"/>
        <w:rPr>
          <w:lang w:val="pt-BR"/>
        </w:rPr>
      </w:pPr>
      <w:r w:rsidRPr="008B3916">
        <w:rPr>
          <w:b/>
          <w:lang w:val="pt-BR"/>
        </w:rPr>
        <w:t>Microsoft Dynamics CRM Server 2011 – Concessão de Integração do Microsoft Dynamics Marketing Online</w:t>
      </w:r>
    </w:p>
    <w:p w:rsidR="00A04495" w:rsidRPr="008B3916" w:rsidRDefault="006E28CC" w:rsidP="0004051B">
      <w:pPr>
        <w:ind w:left="720"/>
        <w:rPr>
          <w:lang w:val="pt-BR"/>
        </w:rPr>
      </w:pPr>
      <w:r w:rsidRPr="008B3916">
        <w:rPr>
          <w:rFonts w:eastAsia="Calibri" w:cs="Tahoma"/>
          <w:color w:val="000000"/>
          <w:szCs w:val="18"/>
          <w:lang w:val="pt-BR"/>
        </w:rPr>
        <w:t xml:space="preserve">A renúncia de licença a seguir pode ser aplicada aos usuários licenciados do Microsoft Dynamics Marketing Online com a opção de Atualização e Suporte de Manutenção ativa ao acessar o serviço Microsoft Dynamics CRM Server 2011 direta ou indiretamente por meio do Software </w:t>
      </w:r>
      <w:r w:rsidRPr="008B3916">
        <w:rPr>
          <w:bCs/>
          <w:lang w:val="pt-BR"/>
        </w:rPr>
        <w:t>MarketingPilot Connector para Microsoft Dynamics CRM</w:t>
      </w:r>
      <w:r w:rsidRPr="008B3916">
        <w:rPr>
          <w:rFonts w:eastAsia="Calibri" w:cs="Tahoma"/>
          <w:color w:val="000000"/>
          <w:szCs w:val="18"/>
          <w:lang w:val="pt-BR"/>
        </w:rPr>
        <w:t xml:space="preserve"> apenas para os fins de sincronização de dados do cliente.</w:t>
      </w:r>
      <w:r w:rsidR="00FB5496" w:rsidRPr="008B3916">
        <w:rPr>
          <w:rFonts w:eastAsia="Calibri" w:cs="Tahoma"/>
          <w:color w:val="000000"/>
          <w:szCs w:val="18"/>
          <w:lang w:val="pt-BR"/>
        </w:rPr>
        <w:t xml:space="preserve"> </w:t>
      </w:r>
      <w:r w:rsidRPr="008B3916">
        <w:rPr>
          <w:rFonts w:eastAsia="Calibri" w:cs="Tahoma"/>
          <w:color w:val="000000"/>
          <w:szCs w:val="18"/>
          <w:lang w:val="pt-BR"/>
        </w:rPr>
        <w:t>Tais usuários não precisarão de uma CAL do Microsoft Dynamics CRM 2011. Esta renúncia poderá ser aplicada até 30 de junho de 2014. Depois deste período, a Microsoft reserva para si o direito de exigir CALs apropriadas.</w:t>
      </w:r>
    </w:p>
    <w:p w:rsidR="00A04495" w:rsidRPr="008B3916" w:rsidRDefault="00A04495" w:rsidP="007B1734">
      <w:pPr>
        <w:rPr>
          <w:lang w:val="pt-BR"/>
        </w:rPr>
      </w:pPr>
    </w:p>
    <w:p w:rsidR="00D70D2C" w:rsidRPr="00416070" w:rsidRDefault="0099402E" w:rsidP="00D70D2C">
      <w:pPr>
        <w:pStyle w:val="Heading2"/>
        <w:ind w:left="0"/>
      </w:pPr>
      <w:bookmarkStart w:id="1343" w:name="_70_68_Office"/>
      <w:bookmarkStart w:id="1344" w:name="_Toc352234394"/>
      <w:bookmarkEnd w:id="1343"/>
      <w:r w:rsidRPr="00416070">
        <w:rPr>
          <w:rFonts w:ascii="Tahoma" w:hAnsi="Tahoma" w:cs="Tahoma"/>
          <w:caps/>
          <w:color w:val="FF6600"/>
          <w:sz w:val="22"/>
          <w:szCs w:val="22"/>
          <w:vertAlign w:val="superscript"/>
        </w:rPr>
        <w:t>68</w:t>
      </w:r>
      <w:r w:rsidRPr="00416070">
        <w:rPr>
          <w:rFonts w:ascii="Tahoma" w:hAnsi="Tahoma" w:cs="Tahoma"/>
          <w:color w:val="FF6600"/>
        </w:rPr>
        <w:t xml:space="preserve"> </w:t>
      </w:r>
      <w:r w:rsidRPr="00416070">
        <w:rPr>
          <w:rFonts w:ascii="Tahoma" w:hAnsi="Tahoma" w:cs="Tahoma"/>
          <w:color w:val="FF6600"/>
          <w:sz w:val="22"/>
          <w:szCs w:val="22"/>
        </w:rPr>
        <w:t>Office 365 Enterprise E1</w:t>
      </w:r>
      <w:bookmarkEnd w:id="1340"/>
      <w:bookmarkEnd w:id="1344"/>
    </w:p>
    <w:bookmarkEnd w:id="1339"/>
    <w:p w:rsidR="00D70D2C" w:rsidRPr="008B3916" w:rsidRDefault="00D70D2C" w:rsidP="006F0E0F">
      <w:pPr>
        <w:ind w:left="900"/>
        <w:rPr>
          <w:lang w:val="pt-BR"/>
        </w:rPr>
      </w:pPr>
    </w:p>
    <w:p w:rsidR="00F754FE" w:rsidRPr="008B3916" w:rsidRDefault="00F754FE" w:rsidP="00E62BC4">
      <w:pPr>
        <w:ind w:left="720"/>
        <w:rPr>
          <w:lang w:val="pt-BR"/>
        </w:rPr>
      </w:pPr>
      <w:r w:rsidRPr="008B3916">
        <w:rPr>
          <w:rFonts w:cs="Tahoma"/>
          <w:color w:val="000000"/>
          <w:szCs w:val="18"/>
          <w:lang w:val="pt-BR"/>
        </w:rPr>
        <w:t>O Office 365 Enterprise E1 era conhecido anteriormente como Business Productivity Online Standard Suite (BPOS Standard). Ele permite acesso ao seguinte: Exchange Online Plano 1, SharePoint Online Plano 1, Lync Online Plano 2 e Aplicativos da Web do Office. Essa lista está sujeita a alterações. Os Direitos de Uso de Produto atuais prevalecerão caso haja conflitos entre os termos da licença do Office 365 Enterprise E1 e</w:t>
      </w:r>
      <w:r w:rsidR="00EC2258" w:rsidRPr="008B3916">
        <w:rPr>
          <w:rFonts w:cs="Tahoma"/>
          <w:color w:val="000000"/>
          <w:szCs w:val="18"/>
          <w:lang w:val="pt-BR"/>
        </w:rPr>
        <w:t> </w:t>
      </w:r>
      <w:r w:rsidRPr="008B3916">
        <w:rPr>
          <w:rFonts w:cs="Tahoma"/>
          <w:color w:val="000000"/>
          <w:szCs w:val="18"/>
          <w:lang w:val="pt-BR"/>
        </w:rPr>
        <w:t>esta observação.</w:t>
      </w:r>
    </w:p>
    <w:p w:rsidR="00F754FE" w:rsidRPr="008B3916" w:rsidRDefault="00F754FE" w:rsidP="00E62BC4">
      <w:pPr>
        <w:ind w:left="720"/>
        <w:rPr>
          <w:lang w:val="pt-BR"/>
        </w:rPr>
      </w:pPr>
    </w:p>
    <w:p w:rsidR="00A15CF5" w:rsidRPr="008B3916" w:rsidRDefault="00F754FE" w:rsidP="00A15CF5">
      <w:pPr>
        <w:ind w:left="720"/>
        <w:rPr>
          <w:lang w:val="pt-BR"/>
        </w:rPr>
      </w:pPr>
      <w:r w:rsidRPr="008B3916">
        <w:rPr>
          <w:rFonts w:cs="Tahoma"/>
          <w:color w:val="000000"/>
          <w:szCs w:val="18"/>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EC2258" w:rsidRPr="008B3916">
        <w:rPr>
          <w:rFonts w:cs="Tahoma"/>
          <w:color w:val="000000"/>
          <w:szCs w:val="18"/>
          <w:lang w:val="pt-BR"/>
        </w:rPr>
        <w:t> </w:t>
      </w:r>
      <w:r w:rsidRPr="008B3916">
        <w:rPr>
          <w:rFonts w:cs="Tahoma"/>
          <w:color w:val="000000"/>
          <w:szCs w:val="18"/>
          <w:lang w:val="pt-BR"/>
        </w:rPr>
        <w:t>Lync for Mac 2011 a nenhum custo com cada licença de assinatura de teste ou paga do Lync Online. O</w:t>
      </w:r>
      <w:r w:rsidR="00EC2258" w:rsidRPr="008B3916">
        <w:rPr>
          <w:rFonts w:cs="Tahoma"/>
          <w:color w:val="000000"/>
          <w:szCs w:val="18"/>
          <w:lang w:val="pt-BR"/>
        </w:rPr>
        <w:t> </w:t>
      </w:r>
      <w:r w:rsidRPr="008B3916">
        <w:rPr>
          <w:rFonts w:cs="Tahoma"/>
          <w:color w:val="000000"/>
          <w:szCs w:val="18"/>
          <w:lang w:val="pt-BR"/>
        </w:rPr>
        <w:t>software só poderá ser usado com o Lync Online, e todos os direitos de uso do software se encerrarão ao</w:t>
      </w:r>
      <w:r w:rsidR="00EC2258" w:rsidRPr="008B3916">
        <w:rPr>
          <w:rFonts w:cs="Tahoma"/>
          <w:color w:val="000000"/>
          <w:szCs w:val="18"/>
          <w:lang w:val="pt-BR"/>
        </w:rPr>
        <w:t> </w:t>
      </w:r>
      <w:r w:rsidRPr="008B3916">
        <w:rPr>
          <w:rFonts w:cs="Tahoma"/>
          <w:color w:val="000000"/>
          <w:szCs w:val="18"/>
          <w:lang w:val="pt-BR"/>
        </w:rPr>
        <w:t>término da licença de assinatura básica ou da migração para a próxima nova versão principal do Lync Online, o que ocorrer primeiro.</w:t>
      </w:r>
      <w:r w:rsidR="00FB5496" w:rsidRPr="008B3916">
        <w:rPr>
          <w:rFonts w:cs="Tahoma"/>
          <w:color w:val="000000"/>
          <w:szCs w:val="18"/>
          <w:lang w:val="pt-BR"/>
        </w:rPr>
        <w:t xml:space="preserve"> </w:t>
      </w:r>
      <w:r w:rsidRPr="008B3916">
        <w:rPr>
          <w:rFonts w:cs="Tahoma"/>
          <w:color w:val="000000"/>
          <w:szCs w:val="18"/>
          <w:lang w:val="pt-BR"/>
        </w:rPr>
        <w:t>Os clientes podem usar o cliente gratuito Lync Basic 2013 para seus usuários</w:t>
      </w:r>
      <w:r w:rsidR="00EC2258" w:rsidRPr="008B3916">
        <w:rPr>
          <w:rFonts w:cs="Tahoma"/>
          <w:color w:val="000000"/>
          <w:szCs w:val="18"/>
          <w:lang w:val="pt-BR"/>
        </w:rPr>
        <w:t> </w:t>
      </w:r>
      <w:r w:rsidR="008D0E85" w:rsidRPr="008B3916">
        <w:rPr>
          <w:rFonts w:cs="Tahoma"/>
          <w:color w:val="000000"/>
          <w:szCs w:val="18"/>
          <w:lang w:val="pt-BR"/>
        </w:rPr>
        <w:t>finais com base em Windows.</w:t>
      </w:r>
    </w:p>
    <w:p w:rsidR="00F754FE" w:rsidRPr="008B3916" w:rsidRDefault="00F754FE" w:rsidP="00E62BC4">
      <w:pPr>
        <w:ind w:left="720"/>
        <w:rPr>
          <w:lang w:val="pt-BR"/>
        </w:rPr>
      </w:pPr>
    </w:p>
    <w:p w:rsidR="00F754FE" w:rsidRPr="008B3916" w:rsidRDefault="00F754FE" w:rsidP="008D0E85">
      <w:pPr>
        <w:ind w:left="720"/>
        <w:rPr>
          <w:lang w:val="pt-BR"/>
        </w:rPr>
      </w:pPr>
      <w:r w:rsidRPr="008B3916">
        <w:rPr>
          <w:rFonts w:cs="Tahoma"/>
          <w:color w:val="000000"/>
          <w:szCs w:val="18"/>
          <w:lang w:val="pt-BR"/>
        </w:rPr>
        <w:t>Os clientes existentes ou de renovação que tiveram assinaturas ativas do Business Productivity Online Suite</w:t>
      </w:r>
      <w:r w:rsidR="008D0E85" w:rsidRPr="008B3916">
        <w:rPr>
          <w:rFonts w:cs="Tahoma"/>
          <w:color w:val="000000"/>
          <w:szCs w:val="18"/>
          <w:lang w:val="pt-BR"/>
        </w:rPr>
        <w:t> </w:t>
      </w:r>
      <w:r w:rsidRPr="008B3916">
        <w:rPr>
          <w:rFonts w:cs="Tahoma"/>
          <w:color w:val="000000"/>
          <w:szCs w:val="18"/>
          <w:lang w:val="pt-BR"/>
        </w:rPr>
        <w:t>em 27 de junho de 2011 poderão continuar a acessar e usar o serviço Live Meeting nos termos de licença nos Direitos de Uso do Produto de março de 2011 depois que eles migração a partir do Business Productivity Online Suite para Office 365 Enterprise E1 e antes de 1</w:t>
      </w:r>
      <w:r w:rsidRPr="008B3916">
        <w:rPr>
          <w:rFonts w:cs="Tahoma"/>
          <w:color w:val="000000"/>
          <w:szCs w:val="18"/>
          <w:vertAlign w:val="superscript"/>
          <w:lang w:val="pt-BR"/>
        </w:rPr>
        <w:t>º</w:t>
      </w:r>
      <w:r w:rsidRPr="008B3916">
        <w:rPr>
          <w:rFonts w:cs="Tahoma"/>
          <w:color w:val="000000"/>
          <w:szCs w:val="18"/>
          <w:lang w:val="pt-BR"/>
        </w:rPr>
        <w:t xml:space="preserve"> de abril de 2013 e a expiração das suas licenças de assinatura de usuário do Office 365 Enterprise E1 correspondentes.</w:t>
      </w:r>
      <w:r w:rsidR="00FB5496" w:rsidRPr="008B3916">
        <w:rPr>
          <w:rFonts w:cs="Tahoma"/>
          <w:color w:val="000000"/>
          <w:szCs w:val="18"/>
          <w:lang w:val="pt-BR"/>
        </w:rPr>
        <w:t xml:space="preserve"> </w:t>
      </w:r>
      <w:r w:rsidRPr="008B3916">
        <w:rPr>
          <w:rFonts w:cs="Tahoma"/>
          <w:color w:val="000000"/>
          <w:szCs w:val="18"/>
          <w:lang w:val="pt-BR"/>
        </w:rPr>
        <w:t>Os clientes cujos termos de assinatura se estendem além de 1</w:t>
      </w:r>
      <w:r w:rsidRPr="008B3916">
        <w:rPr>
          <w:rFonts w:cs="Tahoma"/>
          <w:color w:val="000000"/>
          <w:szCs w:val="18"/>
          <w:vertAlign w:val="superscript"/>
          <w:lang w:val="pt-BR"/>
        </w:rPr>
        <w:t>º</w:t>
      </w:r>
      <w:r w:rsidRPr="008B3916">
        <w:rPr>
          <w:rFonts w:cs="Tahoma"/>
          <w:color w:val="000000"/>
          <w:szCs w:val="18"/>
          <w:lang w:val="pt-BR"/>
        </w:rPr>
        <w:t xml:space="preserve"> de abril de 2013 poderão acessar somente os componentes de serviço de Office 365 depois da data.</w:t>
      </w:r>
      <w:r w:rsidR="00FB5496" w:rsidRPr="008B3916">
        <w:rPr>
          <w:rFonts w:cs="Tahoma"/>
          <w:color w:val="000000"/>
          <w:szCs w:val="18"/>
          <w:lang w:val="pt-BR"/>
        </w:rPr>
        <w:t xml:space="preserve"> </w:t>
      </w:r>
      <w:r w:rsidRPr="008B3916">
        <w:rPr>
          <w:rFonts w:cs="Tahoma"/>
          <w:color w:val="000000"/>
          <w:szCs w:val="18"/>
          <w:lang w:val="pt-BR"/>
        </w:rPr>
        <w:t>Os clientes com novas assinaturas do Office 365 Enterprise E1 que</w:t>
      </w:r>
      <w:r w:rsidR="008D0E85" w:rsidRPr="008B3916">
        <w:rPr>
          <w:rFonts w:cs="Tahoma"/>
          <w:color w:val="000000"/>
          <w:szCs w:val="18"/>
          <w:lang w:val="pt-BR"/>
        </w:rPr>
        <w:t> </w:t>
      </w:r>
      <w:r w:rsidRPr="008B3916">
        <w:rPr>
          <w:rFonts w:cs="Tahoma"/>
          <w:color w:val="000000"/>
          <w:szCs w:val="18"/>
          <w:lang w:val="pt-BR"/>
        </w:rPr>
        <w:t>começam depois de 27 de junho de 2011 poderão não acessar o Live Meeting.</w:t>
      </w:r>
    </w:p>
    <w:p w:rsidR="00F754FE" w:rsidRPr="008B3916" w:rsidRDefault="00F754FE" w:rsidP="00E62BC4">
      <w:pPr>
        <w:ind w:left="720"/>
        <w:rPr>
          <w:lang w:val="pt-BR"/>
        </w:rPr>
      </w:pPr>
    </w:p>
    <w:p w:rsidR="00194DAF" w:rsidRPr="008B3916" w:rsidRDefault="00F754FE" w:rsidP="00BA1490">
      <w:pPr>
        <w:ind w:left="720"/>
        <w:rPr>
          <w:lang w:val="pt-BR"/>
        </w:rPr>
      </w:pPr>
      <w:r w:rsidRPr="008B3916">
        <w:rPr>
          <w:rFonts w:cs="Tahoma"/>
          <w:color w:val="000000"/>
          <w:szCs w:val="18"/>
          <w:lang w:val="pt-BR"/>
        </w:rPr>
        <w:t>Os Clientes no Brasil e no Chile que comprarem o Office 365 Enterprise E1 receberão o BPOS Standard.</w:t>
      </w:r>
      <w:r w:rsidR="00FB5496" w:rsidRPr="008B3916">
        <w:rPr>
          <w:rFonts w:cs="Tahoma"/>
          <w:color w:val="000000"/>
          <w:szCs w:val="18"/>
          <w:lang w:val="pt-BR"/>
        </w:rPr>
        <w:t xml:space="preserve"> </w:t>
      </w:r>
      <w:r w:rsidRPr="008B3916">
        <w:rPr>
          <w:rFonts w:cs="Tahoma"/>
          <w:color w:val="000000"/>
          <w:szCs w:val="18"/>
          <w:lang w:val="pt-BR"/>
        </w:rPr>
        <w:t>Eles</w:t>
      </w:r>
      <w:r w:rsidR="00EC2258" w:rsidRPr="008B3916">
        <w:rPr>
          <w:rFonts w:cs="Tahoma"/>
          <w:color w:val="000000"/>
          <w:szCs w:val="18"/>
          <w:lang w:val="pt-BR"/>
        </w:rPr>
        <w:t> </w:t>
      </w:r>
      <w:r w:rsidRPr="008B3916">
        <w:rPr>
          <w:rFonts w:cs="Tahoma"/>
          <w:color w:val="000000"/>
          <w:szCs w:val="18"/>
          <w:lang w:val="pt-BR"/>
        </w:rPr>
        <w:t>serão migrados para o Office 365 Enterprise E1 posteriormente.</w:t>
      </w:r>
      <w:bookmarkStart w:id="1345" w:name="_71_Office_365"/>
      <w:bookmarkEnd w:id="1345"/>
    </w:p>
    <w:p w:rsidR="00BE7AC3" w:rsidRPr="008B3916" w:rsidRDefault="00BE7AC3" w:rsidP="00BA1490">
      <w:pPr>
        <w:ind w:left="720"/>
        <w:rPr>
          <w:lang w:val="pt-BR"/>
        </w:rPr>
      </w:pPr>
    </w:p>
    <w:p w:rsidR="00BE7AC3" w:rsidRPr="00416070" w:rsidRDefault="00BE7AC3" w:rsidP="00BE7AC3">
      <w:pPr>
        <w:pStyle w:val="Heading2"/>
        <w:ind w:left="0"/>
      </w:pPr>
      <w:bookmarkStart w:id="1346" w:name="_69_Office_365_1"/>
      <w:bookmarkStart w:id="1347" w:name="_Toc352234395"/>
      <w:bookmarkEnd w:id="1346"/>
      <w:r w:rsidRPr="00416070">
        <w:rPr>
          <w:rFonts w:ascii="Tahoma" w:hAnsi="Tahoma" w:cs="Tahoma"/>
          <w:caps/>
          <w:color w:val="F66400"/>
          <w:sz w:val="22"/>
          <w:szCs w:val="20"/>
          <w:vertAlign w:val="superscript"/>
        </w:rPr>
        <w:t>69</w:t>
      </w:r>
      <w:r w:rsidRPr="00615CB9">
        <w:rPr>
          <w:rFonts w:ascii="Tahoma" w:hAnsi="Tahoma" w:cs="Tahoma"/>
          <w:caps/>
          <w:color w:val="F66400"/>
          <w:sz w:val="22"/>
          <w:szCs w:val="20"/>
        </w:rPr>
        <w:t xml:space="preserve"> </w:t>
      </w:r>
      <w:r w:rsidRPr="00416070">
        <w:rPr>
          <w:rFonts w:ascii="Tahoma" w:hAnsi="Tahoma" w:cs="Tahoma"/>
          <w:color w:val="FF6600"/>
          <w:sz w:val="22"/>
          <w:szCs w:val="22"/>
        </w:rPr>
        <w:t>Office 365 Enterprise K1 e K2 (SL de Usuário)</w:t>
      </w:r>
      <w:bookmarkEnd w:id="1347"/>
    </w:p>
    <w:p w:rsidR="00BE7AC3" w:rsidRPr="008B3916" w:rsidRDefault="00BE7AC3" w:rsidP="00BE7AC3">
      <w:pPr>
        <w:ind w:left="720"/>
        <w:rPr>
          <w:lang w:val="pt-BR"/>
        </w:rPr>
      </w:pPr>
    </w:p>
    <w:p w:rsidR="00BE7AC3" w:rsidRPr="008B3916" w:rsidRDefault="00BE7AC3" w:rsidP="00BE7AC3">
      <w:pPr>
        <w:ind w:left="720"/>
        <w:rPr>
          <w:lang w:val="pt-BR"/>
        </w:rPr>
      </w:pPr>
      <w:r w:rsidRPr="008B3916">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 Quiosque do</w:t>
      </w:r>
      <w:r w:rsidR="00EC2258" w:rsidRPr="008B3916">
        <w:rPr>
          <w:rFonts w:cs="Tahoma"/>
          <w:color w:val="000000"/>
          <w:szCs w:val="18"/>
          <w:lang w:val="pt-BR"/>
        </w:rPr>
        <w:t> </w:t>
      </w:r>
      <w:r w:rsidRPr="008B3916">
        <w:rPr>
          <w:rFonts w:cs="Tahoma"/>
          <w:color w:val="000000"/>
          <w:szCs w:val="18"/>
          <w:lang w:val="pt-BR"/>
        </w:rPr>
        <w:t>SharePoint Online nem para o Office 365 Enterprise K1 e K2</w:t>
      </w:r>
    </w:p>
    <w:p w:rsidR="00BE7AC3" w:rsidRPr="008B3916" w:rsidRDefault="00BE7AC3" w:rsidP="00BE7AC3">
      <w:pPr>
        <w:ind w:left="720"/>
        <w:rPr>
          <w:lang w:val="pt-BR"/>
        </w:rPr>
      </w:pPr>
    </w:p>
    <w:p w:rsidR="00BE7AC3" w:rsidRPr="008B3916" w:rsidRDefault="00BE7AC3" w:rsidP="008D0E85">
      <w:pPr>
        <w:ind w:left="720"/>
        <w:rPr>
          <w:lang w:val="pt-BR"/>
        </w:rPr>
      </w:pPr>
      <w:r w:rsidRPr="008B3916">
        <w:rPr>
          <w:rFonts w:cs="Tahoma"/>
          <w:color w:val="000000"/>
          <w:szCs w:val="18"/>
          <w:lang w:val="pt-BR"/>
        </w:rPr>
        <w:t>O Office 365 Enterprise K1 era conhecido anteriormente como Business Productivity Online Deskless Suite (BPOS Deskless).</w:t>
      </w:r>
      <w:r w:rsidR="00FB5496" w:rsidRPr="008B3916">
        <w:rPr>
          <w:rFonts w:cs="Tahoma"/>
          <w:color w:val="000000"/>
          <w:szCs w:val="18"/>
          <w:lang w:val="pt-BR"/>
        </w:rPr>
        <w:t xml:space="preserve"> </w:t>
      </w:r>
      <w:r w:rsidRPr="008B3916">
        <w:rPr>
          <w:rFonts w:cs="Tahoma"/>
          <w:color w:val="000000"/>
          <w:szCs w:val="18"/>
          <w:lang w:val="pt-BR"/>
        </w:rPr>
        <w:t>Os clientes no Brasil e no Chile que comprarem o Office 365 Enterprise K1 receberão o</w:t>
      </w:r>
      <w:r w:rsidR="008D0E85" w:rsidRPr="008B3916">
        <w:rPr>
          <w:rFonts w:cs="Tahoma"/>
          <w:color w:val="000000"/>
          <w:szCs w:val="18"/>
          <w:lang w:val="pt-BR"/>
        </w:rPr>
        <w:t> </w:t>
      </w:r>
      <w:r w:rsidRPr="008B3916">
        <w:rPr>
          <w:rFonts w:cs="Tahoma"/>
          <w:color w:val="000000"/>
          <w:szCs w:val="18"/>
          <w:lang w:val="pt-BR"/>
        </w:rPr>
        <w:t>BPOS Deskless.</w:t>
      </w:r>
      <w:r w:rsidR="00FB5496" w:rsidRPr="008B3916">
        <w:rPr>
          <w:rFonts w:cs="Tahoma"/>
          <w:color w:val="000000"/>
          <w:szCs w:val="18"/>
          <w:lang w:val="pt-BR"/>
        </w:rPr>
        <w:t xml:space="preserve"> </w:t>
      </w:r>
      <w:r w:rsidRPr="008B3916">
        <w:rPr>
          <w:rFonts w:cs="Tahoma"/>
          <w:color w:val="000000"/>
          <w:szCs w:val="18"/>
          <w:lang w:val="pt-BR"/>
        </w:rPr>
        <w:t>Esses clientes poderão migrar para o Office 365 Enterprise K1 posteriormente.</w:t>
      </w:r>
    </w:p>
    <w:p w:rsidR="00BE7AC3" w:rsidRPr="008B3916" w:rsidRDefault="00BE7AC3" w:rsidP="00BE7AC3">
      <w:pPr>
        <w:ind w:left="720"/>
        <w:rPr>
          <w:lang w:val="pt-BR"/>
        </w:rPr>
      </w:pPr>
    </w:p>
    <w:p w:rsidR="00EC2258" w:rsidRPr="008B3916" w:rsidRDefault="00EC2258" w:rsidP="00BE7AC3">
      <w:pPr>
        <w:ind w:left="720"/>
        <w:rPr>
          <w:lang w:val="pt-BR"/>
        </w:rPr>
      </w:pPr>
    </w:p>
    <w:p w:rsidR="00EC2258" w:rsidRPr="008B3916" w:rsidRDefault="00EC2258" w:rsidP="00BE7AC3">
      <w:pPr>
        <w:ind w:left="720"/>
        <w:rPr>
          <w:lang w:val="pt-BR"/>
        </w:rPr>
      </w:pPr>
    </w:p>
    <w:p w:rsidR="00BE7AC3" w:rsidRPr="008B3916" w:rsidRDefault="00BE7AC3" w:rsidP="00BE7AC3">
      <w:pPr>
        <w:spacing w:after="60"/>
        <w:ind w:left="720"/>
        <w:rPr>
          <w:lang w:val="pt-BR"/>
        </w:rPr>
      </w:pPr>
      <w:r w:rsidRPr="008B3916">
        <w:rPr>
          <w:rFonts w:eastAsia="Calibri" w:cs="Tahoma"/>
          <w:b/>
          <w:color w:val="000000"/>
          <w:szCs w:val="18"/>
          <w:lang w:val="pt-BR"/>
        </w:rPr>
        <w:t>Nuvem da Comunidade do Governo (Apenas para os Estados Unidos)</w:t>
      </w:r>
    </w:p>
    <w:p w:rsidR="00BE7AC3" w:rsidRPr="008B3916" w:rsidRDefault="00BE7AC3" w:rsidP="00BE7AC3">
      <w:pPr>
        <w:ind w:left="720"/>
        <w:rPr>
          <w:lang w:val="pt-BR"/>
        </w:rPr>
      </w:pPr>
      <w:r w:rsidRPr="008B3916">
        <w:rPr>
          <w:rFonts w:eastAsia="Calibri" w:cs="Tahoma"/>
          <w:color w:val="000000"/>
          <w:szCs w:val="18"/>
          <w:lang w:val="pt-BR"/>
        </w:rPr>
        <w:t>Alguns serviços online na família de produtos do Office 365 (incluindo Office 365 Enterprise K1 e K2) são oferecidos como serviços de nuvem da comunidade do governo e serviços de nuvem da comunidade não governamental.</w:t>
      </w:r>
      <w:r w:rsidR="00FB5496" w:rsidRPr="008B3916">
        <w:rPr>
          <w:rFonts w:eastAsia="Calibri" w:cs="Tahoma"/>
          <w:color w:val="000000"/>
          <w:szCs w:val="18"/>
          <w:lang w:val="pt-BR"/>
        </w:rPr>
        <w:t xml:space="preserve"> </w:t>
      </w:r>
      <w:r w:rsidRPr="008B3916">
        <w:rPr>
          <w:rFonts w:eastAsia="Calibri" w:cs="Tahoma"/>
          <w:color w:val="000000"/>
          <w:szCs w:val="18"/>
          <w:lang w:val="pt-BR"/>
        </w:rPr>
        <w:t>Os clientes podem ser provisionados como um ou outro, mas não com uma mistura dos dois.</w:t>
      </w:r>
      <w:r w:rsidR="00FB5496" w:rsidRPr="008B3916">
        <w:rPr>
          <w:rFonts w:eastAsia="Calibri" w:cs="Tahoma"/>
          <w:color w:val="000000"/>
          <w:szCs w:val="18"/>
          <w:lang w:val="pt-BR"/>
        </w:rPr>
        <w:t xml:space="preserve"> </w:t>
      </w:r>
      <w:r w:rsidRPr="008B3916">
        <w:rPr>
          <w:rFonts w:eastAsia="Calibri" w:cs="Tahoma"/>
          <w:color w:val="000000"/>
          <w:szCs w:val="18"/>
          <w:lang w:val="pt-BR"/>
        </w:rPr>
        <w:t>Os Serviços Online projetados como nuvem de comunidade do governo não podem ser implantados no</w:t>
      </w:r>
      <w:r w:rsidR="00EC2258" w:rsidRPr="008B3916">
        <w:rPr>
          <w:rFonts w:eastAsia="Calibri" w:cs="Tahoma"/>
          <w:color w:val="000000"/>
          <w:szCs w:val="18"/>
          <w:lang w:val="pt-BR"/>
        </w:rPr>
        <w:t> </w:t>
      </w:r>
      <w:r w:rsidRPr="008B3916">
        <w:rPr>
          <w:rFonts w:eastAsia="Calibri" w:cs="Tahoma"/>
          <w:color w:val="000000"/>
          <w:szCs w:val="18"/>
          <w:lang w:val="pt-BR"/>
        </w:rPr>
        <w:t>mesmo domínio que os serviços de nuvem da comunidade não governamental específicos.</w:t>
      </w:r>
      <w:r w:rsidR="00FB5496" w:rsidRPr="008B3916">
        <w:rPr>
          <w:rFonts w:eastAsia="Calibri" w:cs="Tahoma"/>
          <w:color w:val="000000"/>
          <w:szCs w:val="18"/>
          <w:lang w:val="pt-BR"/>
        </w:rPr>
        <w:t xml:space="preserve"> </w:t>
      </w:r>
      <w:r w:rsidRPr="008B3916">
        <w:rPr>
          <w:rFonts w:eastAsia="Calibri" w:cs="Tahoma"/>
          <w:color w:val="000000"/>
          <w:szCs w:val="18"/>
          <w:lang w:val="pt-BR"/>
        </w:rPr>
        <w:t>Esta limitação</w:t>
      </w:r>
      <w:r w:rsidR="00EC2258" w:rsidRPr="008B3916">
        <w:rPr>
          <w:rFonts w:eastAsia="Calibri" w:cs="Tahoma"/>
          <w:color w:val="000000"/>
          <w:szCs w:val="18"/>
          <w:lang w:val="pt-BR"/>
        </w:rPr>
        <w:t> </w:t>
      </w:r>
      <w:r w:rsidRPr="008B3916">
        <w:rPr>
          <w:rFonts w:eastAsia="Calibri" w:cs="Tahoma"/>
          <w:color w:val="000000"/>
          <w:szCs w:val="18"/>
          <w:lang w:val="pt-BR"/>
        </w:rPr>
        <w:t>se estende a qualquer serviço online que faça parte da família de produtos do Office 365, incluindo</w:t>
      </w:r>
      <w:r w:rsidR="00EC2258" w:rsidRPr="008B3916">
        <w:rPr>
          <w:rFonts w:eastAsia="Calibri" w:cs="Tahoma"/>
          <w:color w:val="000000"/>
          <w:szCs w:val="18"/>
          <w:lang w:val="pt-BR"/>
        </w:rPr>
        <w:t> </w:t>
      </w:r>
      <w:r w:rsidRPr="008B3916">
        <w:rPr>
          <w:rFonts w:eastAsia="Calibri" w:cs="Tahoma"/>
          <w:color w:val="000000"/>
          <w:szCs w:val="18"/>
          <w:lang w:val="pt-BR"/>
        </w:rPr>
        <w:t>Exchange Online, SharePoint Online e Lync Online.</w:t>
      </w:r>
    </w:p>
    <w:p w:rsidR="00BE7AC3" w:rsidRPr="008B3916" w:rsidRDefault="00BE7AC3" w:rsidP="00BE7AC3">
      <w:pPr>
        <w:ind w:left="720"/>
        <w:rPr>
          <w:lang w:val="pt-BR"/>
        </w:rPr>
      </w:pPr>
    </w:p>
    <w:p w:rsidR="00BE7AC3" w:rsidRPr="008B3916" w:rsidRDefault="00BE7AC3" w:rsidP="00BE7AC3">
      <w:pPr>
        <w:ind w:left="720"/>
        <w:rPr>
          <w:lang w:val="pt-BR"/>
        </w:rPr>
      </w:pPr>
      <w:r w:rsidRPr="008B3916">
        <w:rPr>
          <w:rFonts w:eastAsia="Calibri" w:cs="Tahoma"/>
          <w:color w:val="000000"/>
          <w:szCs w:val="18"/>
          <w:lang w:val="pt-BR"/>
        </w:rPr>
        <w:t>Assim que um serviço online é provisionado na nuvem de comunidade do governo, ele permanecerá lá pela</w:t>
      </w:r>
      <w:r w:rsidR="00EC2258" w:rsidRPr="008B3916">
        <w:rPr>
          <w:rFonts w:eastAsia="Calibri" w:cs="Tahoma"/>
          <w:color w:val="000000"/>
          <w:szCs w:val="18"/>
          <w:lang w:val="pt-BR"/>
        </w:rPr>
        <w:t> </w:t>
      </w:r>
      <w:r w:rsidRPr="008B3916">
        <w:rPr>
          <w:rFonts w:eastAsia="Calibri" w:cs="Tahoma"/>
          <w:color w:val="000000"/>
          <w:szCs w:val="18"/>
          <w:lang w:val="pt-BR"/>
        </w:rPr>
        <w:t>duração da vigência da assinatura.</w:t>
      </w:r>
      <w:r w:rsidR="00FB5496" w:rsidRPr="008B3916">
        <w:rPr>
          <w:rFonts w:eastAsia="Calibri" w:cs="Tahoma"/>
          <w:color w:val="000000"/>
          <w:szCs w:val="18"/>
          <w:lang w:val="pt-BR"/>
        </w:rPr>
        <w:t xml:space="preserve"> </w:t>
      </w:r>
      <w:r w:rsidRPr="008B3916">
        <w:rPr>
          <w:rFonts w:eastAsia="Calibri" w:cs="Tahoma"/>
          <w:color w:val="000000"/>
          <w:szCs w:val="18"/>
          <w:lang w:val="pt-BR"/>
        </w:rPr>
        <w:t>Clientes que são instituições governamentais federais, estaduais, locais ou tribais dos Estados Unidos devem fazer parte de um Registro Enterprise do Governo Americano ou</w:t>
      </w:r>
      <w:r w:rsidR="00EC2258" w:rsidRPr="008B3916">
        <w:rPr>
          <w:rFonts w:eastAsia="Calibri" w:cs="Tahoma"/>
          <w:color w:val="000000"/>
          <w:szCs w:val="18"/>
          <w:lang w:val="pt-BR"/>
        </w:rPr>
        <w:t> </w:t>
      </w:r>
      <w:r w:rsidRPr="008B3916">
        <w:rPr>
          <w:rFonts w:eastAsia="Calibri" w:cs="Tahoma"/>
          <w:color w:val="000000"/>
          <w:szCs w:val="18"/>
          <w:lang w:val="pt-BR"/>
        </w:rPr>
        <w:t>Registro Enterprise Subscription para estar qualificado para comprar serviços online designados como nuvem da comunidade do governo.</w:t>
      </w:r>
      <w:r w:rsidR="00FB5496" w:rsidRPr="008B3916">
        <w:rPr>
          <w:rFonts w:eastAsia="Calibri" w:cs="Tahoma"/>
          <w:color w:val="000000"/>
          <w:szCs w:val="18"/>
          <w:lang w:val="pt-BR"/>
        </w:rPr>
        <w:t xml:space="preserve"> </w:t>
      </w:r>
      <w:r w:rsidRPr="008B3916">
        <w:rPr>
          <w:rFonts w:eastAsia="Calibri" w:cs="Tahoma"/>
          <w:color w:val="000000"/>
          <w:szCs w:val="18"/>
          <w:lang w:val="pt-BR"/>
        </w:rPr>
        <w:t>Os Direitos de Uso para serviços de nuvem da comunidade do governo são equivalentes àqueles dos seus diversos locatários padrão.</w:t>
      </w:r>
    </w:p>
    <w:p w:rsidR="00BE7AC3" w:rsidRPr="008B3916" w:rsidRDefault="00BE7AC3" w:rsidP="00BA1490">
      <w:pPr>
        <w:ind w:left="720"/>
        <w:rPr>
          <w:lang w:val="pt-BR"/>
        </w:rPr>
      </w:pPr>
    </w:p>
    <w:p w:rsidR="006A63D7" w:rsidRPr="008B3916" w:rsidRDefault="006A63D7" w:rsidP="007E466C">
      <w:pPr>
        <w:rPr>
          <w:lang w:val="pt-BR"/>
        </w:rPr>
      </w:pPr>
      <w:bookmarkStart w:id="1348" w:name="Srv_73Office365PlanG2toG4"/>
    </w:p>
    <w:p w:rsidR="00A83600" w:rsidRPr="00416070" w:rsidRDefault="00BE7AC3" w:rsidP="00A83600">
      <w:pPr>
        <w:pStyle w:val="Heading2"/>
        <w:ind w:left="0"/>
      </w:pPr>
      <w:bookmarkStart w:id="1349" w:name="_70_Office_365"/>
      <w:bookmarkStart w:id="1350" w:name="_Toc336338330"/>
      <w:bookmarkStart w:id="1351" w:name="_Toc352234396"/>
      <w:bookmarkEnd w:id="1349"/>
      <w:r w:rsidRPr="00416070">
        <w:rPr>
          <w:rFonts w:ascii="Tahoma" w:hAnsi="Tahoma" w:cs="Tahoma"/>
          <w:caps/>
          <w:color w:val="FF6600"/>
          <w:sz w:val="22"/>
          <w:szCs w:val="22"/>
          <w:vertAlign w:val="superscript"/>
        </w:rPr>
        <w:t>70</w:t>
      </w:r>
      <w:r w:rsidRPr="00416070">
        <w:rPr>
          <w:rFonts w:ascii="Tahoma" w:hAnsi="Tahoma" w:cs="Tahoma"/>
          <w:color w:val="FF6600"/>
        </w:rPr>
        <w:t xml:space="preserve"> </w:t>
      </w:r>
      <w:r w:rsidRPr="00416070">
        <w:rPr>
          <w:rFonts w:ascii="Tahoma" w:hAnsi="Tahoma" w:cs="Tahoma"/>
          <w:color w:val="FF6600"/>
          <w:sz w:val="22"/>
          <w:szCs w:val="22"/>
        </w:rPr>
        <w:t>Office 365 Government G1-G4</w:t>
      </w:r>
      <w:bookmarkEnd w:id="1350"/>
      <w:bookmarkEnd w:id="1351"/>
    </w:p>
    <w:p w:rsidR="00A83600" w:rsidRPr="008B3916" w:rsidRDefault="00A83600" w:rsidP="00A83600">
      <w:pPr>
        <w:rPr>
          <w:lang w:val="pt-BR"/>
        </w:rPr>
      </w:pPr>
    </w:p>
    <w:bookmarkEnd w:id="1348"/>
    <w:p w:rsidR="00A83600" w:rsidRPr="008B3916" w:rsidRDefault="00A83600" w:rsidP="00E62BC4">
      <w:pPr>
        <w:ind w:left="720"/>
        <w:rPr>
          <w:lang w:val="pt-BR"/>
        </w:rPr>
      </w:pPr>
      <w:r w:rsidRPr="008B3916">
        <w:rPr>
          <w:color w:val="000000"/>
          <w:lang w:val="pt-BR"/>
        </w:rPr>
        <w:t>O Office 365 Government G1-G4 permite acesso aos seguintes Serviços Online:</w:t>
      </w:r>
    </w:p>
    <w:p w:rsidR="00A83600" w:rsidRPr="008B3916" w:rsidRDefault="00A83600" w:rsidP="00A83600">
      <w:pPr>
        <w:rPr>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3"/>
        <w:gridCol w:w="2214"/>
        <w:gridCol w:w="2093"/>
        <w:gridCol w:w="2173"/>
      </w:tblGrid>
      <w:tr w:rsidR="00A83600" w:rsidRPr="00416070" w:rsidTr="00EC2258">
        <w:tc>
          <w:tcPr>
            <w:tcW w:w="2173" w:type="dxa"/>
            <w:shd w:val="clear" w:color="auto" w:fill="FABF8F"/>
          </w:tcPr>
          <w:p w:rsidR="00A83600" w:rsidRPr="00416070" w:rsidRDefault="00A83600" w:rsidP="0050116B">
            <w:pPr>
              <w:keepNext/>
              <w:keepLines/>
              <w:jc w:val="center"/>
              <w:rPr>
                <w:rFonts w:eastAsia="Calibri"/>
                <w:b/>
                <w:color w:val="000000"/>
                <w:sz w:val="20"/>
              </w:rPr>
            </w:pPr>
            <w:r w:rsidRPr="00416070">
              <w:rPr>
                <w:rFonts w:eastAsia="Calibri"/>
                <w:b/>
                <w:color w:val="000000"/>
                <w:sz w:val="20"/>
              </w:rPr>
              <w:t>Office 365 Government G1</w:t>
            </w:r>
          </w:p>
        </w:tc>
        <w:tc>
          <w:tcPr>
            <w:tcW w:w="2214" w:type="dxa"/>
            <w:shd w:val="clear" w:color="auto" w:fill="FABF8F"/>
          </w:tcPr>
          <w:p w:rsidR="00A83600" w:rsidRPr="00416070" w:rsidRDefault="00A83600" w:rsidP="0050116B">
            <w:pPr>
              <w:keepNext/>
              <w:keepLines/>
              <w:jc w:val="center"/>
              <w:rPr>
                <w:rFonts w:eastAsia="Calibri"/>
                <w:b/>
                <w:color w:val="000000"/>
                <w:sz w:val="20"/>
              </w:rPr>
            </w:pPr>
            <w:r w:rsidRPr="00416070">
              <w:rPr>
                <w:rFonts w:eastAsia="Calibri"/>
                <w:b/>
                <w:color w:val="000000"/>
                <w:sz w:val="20"/>
              </w:rPr>
              <w:t>Office 365 Government G2</w:t>
            </w:r>
          </w:p>
        </w:tc>
        <w:tc>
          <w:tcPr>
            <w:tcW w:w="2093" w:type="dxa"/>
            <w:shd w:val="clear" w:color="auto" w:fill="FABF8F"/>
          </w:tcPr>
          <w:p w:rsidR="00A83600" w:rsidRPr="00416070" w:rsidRDefault="00A83600" w:rsidP="0050116B">
            <w:pPr>
              <w:keepNext/>
              <w:keepLines/>
              <w:jc w:val="center"/>
              <w:rPr>
                <w:rFonts w:eastAsia="Calibri"/>
                <w:b/>
                <w:color w:val="000000"/>
                <w:sz w:val="20"/>
              </w:rPr>
            </w:pPr>
            <w:r w:rsidRPr="00416070">
              <w:rPr>
                <w:rFonts w:eastAsia="Calibri"/>
                <w:b/>
                <w:color w:val="000000"/>
                <w:sz w:val="20"/>
              </w:rPr>
              <w:t>Office 365 Government G3</w:t>
            </w:r>
          </w:p>
        </w:tc>
        <w:tc>
          <w:tcPr>
            <w:tcW w:w="2173" w:type="dxa"/>
            <w:shd w:val="clear" w:color="auto" w:fill="FABF8F"/>
          </w:tcPr>
          <w:p w:rsidR="00A83600" w:rsidRPr="00416070" w:rsidRDefault="00A83600" w:rsidP="0050116B">
            <w:pPr>
              <w:keepNext/>
              <w:keepLines/>
              <w:jc w:val="center"/>
              <w:rPr>
                <w:rFonts w:eastAsia="Calibri"/>
                <w:b/>
                <w:color w:val="000000"/>
                <w:sz w:val="20"/>
              </w:rPr>
            </w:pPr>
            <w:r w:rsidRPr="00416070">
              <w:rPr>
                <w:rFonts w:eastAsia="Calibri"/>
                <w:b/>
                <w:color w:val="000000"/>
                <w:sz w:val="20"/>
              </w:rPr>
              <w:t>Office 365 Government G4</w:t>
            </w:r>
          </w:p>
        </w:tc>
      </w:tr>
      <w:tr w:rsidR="00A83600" w:rsidRPr="00416070" w:rsidTr="00EC2258">
        <w:tc>
          <w:tcPr>
            <w:tcW w:w="2173" w:type="dxa"/>
          </w:tcPr>
          <w:p w:rsidR="00A83600" w:rsidRPr="00416070" w:rsidRDefault="00A83600" w:rsidP="00C066F9">
            <w:pPr>
              <w:keepNext/>
              <w:keepLines/>
              <w:ind w:left="180" w:right="186"/>
              <w:rPr>
                <w:rFonts w:eastAsia="Calibri"/>
                <w:color w:val="000000"/>
              </w:rPr>
            </w:pPr>
            <w:r w:rsidRPr="00416070">
              <w:rPr>
                <w:rFonts w:eastAsia="Calibri"/>
                <w:color w:val="000000"/>
              </w:rPr>
              <w:t>Exchange Online Plano 1</w:t>
            </w:r>
          </w:p>
        </w:tc>
        <w:tc>
          <w:tcPr>
            <w:tcW w:w="2214" w:type="dxa"/>
            <w:shd w:val="clear" w:color="auto" w:fill="auto"/>
          </w:tcPr>
          <w:p w:rsidR="00A83600" w:rsidRPr="00416070" w:rsidRDefault="00A83600" w:rsidP="00C066F9">
            <w:pPr>
              <w:keepNext/>
              <w:keepLines/>
              <w:ind w:left="180" w:right="186"/>
              <w:rPr>
                <w:rFonts w:eastAsia="Calibri"/>
                <w:color w:val="000000"/>
              </w:rPr>
            </w:pPr>
            <w:r w:rsidRPr="00416070">
              <w:rPr>
                <w:rFonts w:eastAsia="Calibri"/>
                <w:color w:val="000000"/>
              </w:rPr>
              <w:t>Exchange Online Plano 1</w:t>
            </w:r>
          </w:p>
        </w:tc>
        <w:tc>
          <w:tcPr>
            <w:tcW w:w="2093" w:type="dxa"/>
            <w:shd w:val="clear" w:color="auto" w:fill="auto"/>
          </w:tcPr>
          <w:p w:rsidR="00A83600" w:rsidRPr="00416070" w:rsidRDefault="00A83600" w:rsidP="00C066F9">
            <w:pPr>
              <w:keepNext/>
              <w:keepLines/>
              <w:ind w:left="138" w:right="138"/>
              <w:rPr>
                <w:rFonts w:eastAsia="Calibri"/>
                <w:color w:val="000000"/>
              </w:rPr>
            </w:pPr>
            <w:r w:rsidRPr="00416070">
              <w:rPr>
                <w:rFonts w:eastAsia="Calibri"/>
                <w:color w:val="000000"/>
              </w:rPr>
              <w:t xml:space="preserve">Exchange Online Plano 2 </w:t>
            </w:r>
          </w:p>
        </w:tc>
        <w:tc>
          <w:tcPr>
            <w:tcW w:w="2173" w:type="dxa"/>
            <w:shd w:val="clear" w:color="auto" w:fill="auto"/>
          </w:tcPr>
          <w:p w:rsidR="00A83600" w:rsidRPr="00416070" w:rsidRDefault="00A83600" w:rsidP="00C066F9">
            <w:pPr>
              <w:keepNext/>
              <w:keepLines/>
              <w:ind w:left="186" w:right="180"/>
              <w:rPr>
                <w:rFonts w:eastAsia="Calibri"/>
                <w:color w:val="000000"/>
              </w:rPr>
            </w:pPr>
            <w:r w:rsidRPr="00416070">
              <w:rPr>
                <w:rFonts w:eastAsia="Calibri"/>
                <w:color w:val="000000"/>
              </w:rPr>
              <w:t>Exchange Online Plano 2</w:t>
            </w:r>
          </w:p>
        </w:tc>
      </w:tr>
      <w:tr w:rsidR="00A83600" w:rsidRPr="00416070" w:rsidTr="00EC2258">
        <w:tc>
          <w:tcPr>
            <w:tcW w:w="2173" w:type="dxa"/>
          </w:tcPr>
          <w:p w:rsidR="00A83600" w:rsidRPr="00416070" w:rsidRDefault="00A83600" w:rsidP="00C066F9">
            <w:pPr>
              <w:keepNext/>
              <w:keepLines/>
              <w:ind w:left="180" w:right="186"/>
              <w:rPr>
                <w:rFonts w:eastAsia="Calibri"/>
                <w:color w:val="000000"/>
              </w:rPr>
            </w:pPr>
            <w:r w:rsidRPr="00416070">
              <w:rPr>
                <w:rFonts w:eastAsia="Calibri"/>
                <w:color w:val="000000"/>
              </w:rPr>
              <w:t>SharePoint Online Plano 1</w:t>
            </w:r>
          </w:p>
        </w:tc>
        <w:tc>
          <w:tcPr>
            <w:tcW w:w="2214" w:type="dxa"/>
            <w:shd w:val="clear" w:color="auto" w:fill="auto"/>
          </w:tcPr>
          <w:p w:rsidR="00A83600" w:rsidRPr="00416070" w:rsidRDefault="00A83600" w:rsidP="00C066F9">
            <w:pPr>
              <w:keepNext/>
              <w:keepLines/>
              <w:ind w:left="180" w:right="186"/>
              <w:rPr>
                <w:rFonts w:eastAsia="Calibri"/>
                <w:color w:val="000000"/>
              </w:rPr>
            </w:pPr>
            <w:r w:rsidRPr="00416070">
              <w:rPr>
                <w:rFonts w:eastAsia="Calibri"/>
                <w:color w:val="000000"/>
              </w:rPr>
              <w:t>SharePoint Online Plano 1</w:t>
            </w:r>
          </w:p>
        </w:tc>
        <w:tc>
          <w:tcPr>
            <w:tcW w:w="2093" w:type="dxa"/>
            <w:shd w:val="clear" w:color="auto" w:fill="auto"/>
          </w:tcPr>
          <w:p w:rsidR="00A83600" w:rsidRPr="00416070" w:rsidRDefault="00A83600" w:rsidP="00C066F9">
            <w:pPr>
              <w:keepNext/>
              <w:keepLines/>
              <w:ind w:left="138" w:right="138"/>
              <w:rPr>
                <w:rFonts w:eastAsia="Calibri"/>
                <w:color w:val="000000"/>
              </w:rPr>
            </w:pPr>
            <w:r w:rsidRPr="00416070">
              <w:rPr>
                <w:rFonts w:eastAsia="Calibri"/>
                <w:color w:val="000000"/>
              </w:rPr>
              <w:t>SharePoint Online Plano 2</w:t>
            </w:r>
          </w:p>
        </w:tc>
        <w:tc>
          <w:tcPr>
            <w:tcW w:w="2173" w:type="dxa"/>
            <w:shd w:val="clear" w:color="auto" w:fill="auto"/>
          </w:tcPr>
          <w:p w:rsidR="00A83600" w:rsidRPr="00416070" w:rsidRDefault="00A83600" w:rsidP="00C066F9">
            <w:pPr>
              <w:keepNext/>
              <w:keepLines/>
              <w:ind w:left="186" w:right="180"/>
              <w:rPr>
                <w:rFonts w:eastAsia="Calibri"/>
                <w:color w:val="000000"/>
              </w:rPr>
            </w:pPr>
            <w:r w:rsidRPr="00416070">
              <w:rPr>
                <w:rFonts w:eastAsia="Calibri"/>
                <w:color w:val="000000"/>
              </w:rPr>
              <w:t>SharePoint Online Plano 2</w:t>
            </w:r>
          </w:p>
        </w:tc>
      </w:tr>
      <w:tr w:rsidR="00A83600" w:rsidRPr="00416070" w:rsidTr="00EC2258">
        <w:tc>
          <w:tcPr>
            <w:tcW w:w="2173" w:type="dxa"/>
          </w:tcPr>
          <w:p w:rsidR="00A83600" w:rsidRPr="00416070" w:rsidRDefault="00A83600" w:rsidP="00C066F9">
            <w:pPr>
              <w:keepNext/>
              <w:keepLines/>
              <w:ind w:left="180" w:right="186"/>
              <w:rPr>
                <w:rFonts w:eastAsia="Calibri"/>
                <w:color w:val="000000"/>
              </w:rPr>
            </w:pPr>
            <w:r w:rsidRPr="00416070">
              <w:rPr>
                <w:rFonts w:eastAsia="Calibri"/>
                <w:color w:val="000000"/>
              </w:rPr>
              <w:t>Lync Online Plano 2</w:t>
            </w:r>
          </w:p>
        </w:tc>
        <w:tc>
          <w:tcPr>
            <w:tcW w:w="2214" w:type="dxa"/>
            <w:shd w:val="clear" w:color="auto" w:fill="auto"/>
          </w:tcPr>
          <w:p w:rsidR="00A83600" w:rsidRPr="00416070" w:rsidRDefault="00A83600" w:rsidP="00C066F9">
            <w:pPr>
              <w:keepNext/>
              <w:keepLines/>
              <w:ind w:left="180" w:right="186"/>
              <w:rPr>
                <w:rFonts w:eastAsia="Calibri"/>
                <w:color w:val="000000"/>
              </w:rPr>
            </w:pPr>
            <w:r w:rsidRPr="00416070">
              <w:rPr>
                <w:rFonts w:eastAsia="Calibri"/>
                <w:color w:val="000000"/>
              </w:rPr>
              <w:t>Lync Online Plano 2</w:t>
            </w:r>
          </w:p>
        </w:tc>
        <w:tc>
          <w:tcPr>
            <w:tcW w:w="2093" w:type="dxa"/>
            <w:shd w:val="clear" w:color="auto" w:fill="auto"/>
          </w:tcPr>
          <w:p w:rsidR="00A83600" w:rsidRPr="00416070" w:rsidRDefault="00A83600" w:rsidP="00C066F9">
            <w:pPr>
              <w:keepNext/>
              <w:keepLines/>
              <w:ind w:left="138" w:right="138"/>
              <w:rPr>
                <w:rFonts w:eastAsia="Calibri"/>
                <w:color w:val="000000"/>
              </w:rPr>
            </w:pPr>
            <w:r w:rsidRPr="00416070">
              <w:rPr>
                <w:rFonts w:eastAsia="Calibri"/>
                <w:color w:val="000000"/>
              </w:rPr>
              <w:t>Lync Online Plano 2</w:t>
            </w:r>
          </w:p>
        </w:tc>
        <w:tc>
          <w:tcPr>
            <w:tcW w:w="2173" w:type="dxa"/>
            <w:shd w:val="clear" w:color="auto" w:fill="auto"/>
          </w:tcPr>
          <w:p w:rsidR="00A83600" w:rsidRPr="00416070" w:rsidRDefault="00A83600" w:rsidP="00C066F9">
            <w:pPr>
              <w:keepNext/>
              <w:keepLines/>
              <w:ind w:left="186" w:right="180"/>
              <w:rPr>
                <w:rFonts w:eastAsia="Calibri"/>
                <w:color w:val="000000"/>
              </w:rPr>
            </w:pPr>
            <w:r w:rsidRPr="00416070">
              <w:rPr>
                <w:rFonts w:eastAsia="Calibri"/>
                <w:color w:val="000000"/>
              </w:rPr>
              <w:t>Lync Online Plano 2</w:t>
            </w:r>
          </w:p>
        </w:tc>
      </w:tr>
      <w:tr w:rsidR="00A83600" w:rsidRPr="002B5F9E" w:rsidTr="00EC2258">
        <w:tc>
          <w:tcPr>
            <w:tcW w:w="2173" w:type="dxa"/>
          </w:tcPr>
          <w:p w:rsidR="00A83600" w:rsidRPr="008B3916" w:rsidRDefault="0050116B" w:rsidP="00C066F9">
            <w:pPr>
              <w:keepNext/>
              <w:keepLines/>
              <w:ind w:left="180" w:right="186"/>
              <w:rPr>
                <w:rFonts w:eastAsia="Calibri"/>
                <w:color w:val="000000"/>
                <w:lang w:val="pt-BR"/>
              </w:rPr>
            </w:pPr>
            <w:r w:rsidRPr="008B3916">
              <w:rPr>
                <w:rFonts w:eastAsia="Calibri"/>
                <w:color w:val="000000"/>
                <w:lang w:val="pt-BR"/>
              </w:rPr>
              <w:t>Aplicativos da Web do Office (Hospedados pela Microsoft)</w:t>
            </w:r>
          </w:p>
        </w:tc>
        <w:tc>
          <w:tcPr>
            <w:tcW w:w="2214" w:type="dxa"/>
            <w:shd w:val="clear" w:color="auto" w:fill="auto"/>
          </w:tcPr>
          <w:p w:rsidR="00A83600" w:rsidRPr="008B3916" w:rsidRDefault="00A83600" w:rsidP="00C066F9">
            <w:pPr>
              <w:keepNext/>
              <w:keepLines/>
              <w:ind w:left="180" w:right="186"/>
              <w:rPr>
                <w:rFonts w:eastAsia="Calibri"/>
                <w:color w:val="000000"/>
                <w:lang w:val="pt-BR"/>
              </w:rPr>
            </w:pPr>
            <w:r w:rsidRPr="008B3916">
              <w:rPr>
                <w:rFonts w:eastAsia="Calibri"/>
                <w:color w:val="000000"/>
                <w:lang w:val="pt-BR"/>
              </w:rPr>
              <w:t>Aplicativos da Web do Office (Hospedados pela Microsoft)</w:t>
            </w:r>
          </w:p>
        </w:tc>
        <w:tc>
          <w:tcPr>
            <w:tcW w:w="2093" w:type="dxa"/>
            <w:shd w:val="clear" w:color="auto" w:fill="auto"/>
          </w:tcPr>
          <w:p w:rsidR="00A83600" w:rsidRPr="008B3916" w:rsidRDefault="00A83600" w:rsidP="00C066F9">
            <w:pPr>
              <w:keepNext/>
              <w:keepLines/>
              <w:ind w:left="138" w:right="138"/>
              <w:rPr>
                <w:rFonts w:eastAsia="Calibri"/>
                <w:color w:val="000000"/>
                <w:lang w:val="pt-BR"/>
              </w:rPr>
            </w:pPr>
            <w:r w:rsidRPr="008B3916">
              <w:rPr>
                <w:rFonts w:eastAsia="Calibri"/>
                <w:color w:val="000000"/>
                <w:lang w:val="pt-BR"/>
              </w:rPr>
              <w:t>Aplicativos da Web do Office (Hospedados pela Microsoft)</w:t>
            </w:r>
          </w:p>
        </w:tc>
        <w:tc>
          <w:tcPr>
            <w:tcW w:w="2173" w:type="dxa"/>
            <w:shd w:val="clear" w:color="auto" w:fill="auto"/>
          </w:tcPr>
          <w:p w:rsidR="00A83600" w:rsidRPr="008B3916" w:rsidRDefault="00A83600" w:rsidP="00C066F9">
            <w:pPr>
              <w:keepNext/>
              <w:keepLines/>
              <w:ind w:left="186" w:right="180"/>
              <w:rPr>
                <w:rFonts w:eastAsia="Calibri"/>
                <w:color w:val="000000"/>
                <w:lang w:val="pt-BR"/>
              </w:rPr>
            </w:pPr>
            <w:r w:rsidRPr="008B3916">
              <w:rPr>
                <w:rFonts w:eastAsia="Calibri"/>
                <w:color w:val="000000"/>
                <w:lang w:val="pt-BR"/>
              </w:rPr>
              <w:t>Aplicativos da Web do Office (Hospedados pela Microsoft)</w:t>
            </w:r>
          </w:p>
        </w:tc>
      </w:tr>
      <w:tr w:rsidR="00A83600" w:rsidRPr="00416070" w:rsidTr="00EC2258">
        <w:tc>
          <w:tcPr>
            <w:tcW w:w="2173" w:type="dxa"/>
          </w:tcPr>
          <w:p w:rsidR="00A83600" w:rsidRPr="008B3916" w:rsidRDefault="00A83600" w:rsidP="00C066F9">
            <w:pPr>
              <w:keepNext/>
              <w:keepLines/>
              <w:ind w:left="180" w:right="186"/>
              <w:rPr>
                <w:rFonts w:eastAsia="Calibri"/>
                <w:color w:val="000000"/>
                <w:lang w:val="pt-BR"/>
              </w:rPr>
            </w:pPr>
          </w:p>
        </w:tc>
        <w:tc>
          <w:tcPr>
            <w:tcW w:w="2214" w:type="dxa"/>
            <w:shd w:val="clear" w:color="auto" w:fill="auto"/>
          </w:tcPr>
          <w:p w:rsidR="00A83600" w:rsidRPr="008B3916" w:rsidRDefault="00A83600" w:rsidP="00C066F9">
            <w:pPr>
              <w:keepNext/>
              <w:keepLines/>
              <w:ind w:left="180" w:right="186"/>
              <w:rPr>
                <w:rFonts w:eastAsia="Calibri"/>
                <w:color w:val="000000"/>
                <w:lang w:val="pt-BR"/>
              </w:rPr>
            </w:pPr>
          </w:p>
        </w:tc>
        <w:tc>
          <w:tcPr>
            <w:tcW w:w="2093" w:type="dxa"/>
            <w:shd w:val="clear" w:color="auto" w:fill="auto"/>
          </w:tcPr>
          <w:p w:rsidR="00A83600" w:rsidRPr="00416070" w:rsidRDefault="00A83600" w:rsidP="00C066F9">
            <w:pPr>
              <w:keepNext/>
              <w:keepLines/>
              <w:ind w:left="138" w:right="138"/>
              <w:rPr>
                <w:rFonts w:eastAsia="Calibri"/>
                <w:color w:val="000000"/>
              </w:rPr>
            </w:pPr>
            <w:r w:rsidRPr="00416070">
              <w:rPr>
                <w:rFonts w:eastAsia="Calibri"/>
                <w:color w:val="000000"/>
              </w:rPr>
              <w:t xml:space="preserve">Assinatura do Office Professional Plus </w:t>
            </w:r>
          </w:p>
        </w:tc>
        <w:tc>
          <w:tcPr>
            <w:tcW w:w="2173" w:type="dxa"/>
            <w:shd w:val="clear" w:color="auto" w:fill="auto"/>
          </w:tcPr>
          <w:p w:rsidR="00A83600" w:rsidRPr="00416070" w:rsidRDefault="00A83600" w:rsidP="00C066F9">
            <w:pPr>
              <w:keepNext/>
              <w:keepLines/>
              <w:ind w:left="186" w:right="180"/>
              <w:rPr>
                <w:rFonts w:eastAsia="Calibri"/>
                <w:color w:val="000000"/>
              </w:rPr>
            </w:pPr>
            <w:r w:rsidRPr="00416070">
              <w:rPr>
                <w:rFonts w:eastAsia="Calibri"/>
                <w:color w:val="000000"/>
              </w:rPr>
              <w:t xml:space="preserve">Assinatura do Office Professional Plus </w:t>
            </w:r>
          </w:p>
        </w:tc>
      </w:tr>
    </w:tbl>
    <w:p w:rsidR="00263B62" w:rsidRPr="00416070" w:rsidRDefault="00A83600" w:rsidP="00E62BC4">
      <w:pPr>
        <w:ind w:left="720"/>
      </w:pPr>
      <w:r w:rsidRPr="00416070">
        <w:rPr>
          <w:color w:val="000000"/>
        </w:rPr>
        <w:br/>
      </w:r>
    </w:p>
    <w:p w:rsidR="00A83600" w:rsidRPr="008B3916" w:rsidRDefault="00A83600" w:rsidP="00E62BC4">
      <w:pPr>
        <w:ind w:left="720"/>
        <w:rPr>
          <w:lang w:val="pt-BR"/>
        </w:rPr>
      </w:pPr>
      <w:r w:rsidRPr="008B3916">
        <w:rPr>
          <w:color w:val="000000"/>
          <w:lang w:val="pt-BR"/>
        </w:rPr>
        <w:t>Essa lista está sujeita a alterações.</w:t>
      </w:r>
      <w:r w:rsidR="00FB5496" w:rsidRPr="008B3916">
        <w:rPr>
          <w:color w:val="000000"/>
          <w:lang w:val="pt-BR"/>
        </w:rPr>
        <w:t xml:space="preserve"> </w:t>
      </w:r>
      <w:r w:rsidRPr="008B3916">
        <w:rPr>
          <w:color w:val="000000"/>
          <w:lang w:val="pt-BR"/>
        </w:rPr>
        <w:t>Os Direitos de Uso de Produto atuais prevalecerão caso haja conflitos entre os termos da licença do Office 365 Government G1 - G4 e esta observação.</w:t>
      </w:r>
      <w:r w:rsidR="00FB5496" w:rsidRPr="008B3916">
        <w:rPr>
          <w:color w:val="000000"/>
          <w:lang w:val="pt-BR"/>
        </w:rPr>
        <w:t xml:space="preserve"> </w:t>
      </w:r>
      <w:r w:rsidRPr="008B3916">
        <w:rPr>
          <w:color w:val="000000"/>
          <w:lang w:val="pt-BR"/>
        </w:rPr>
        <w:t>Os direitos de acesso adicionais, se houver, a softwares locais licenciados separadamente estão especificados nos Direitos de Uso</w:t>
      </w:r>
      <w:r w:rsidR="00EC2258" w:rsidRPr="008B3916">
        <w:rPr>
          <w:color w:val="000000"/>
          <w:lang w:val="pt-BR"/>
        </w:rPr>
        <w:t> </w:t>
      </w:r>
      <w:r w:rsidRPr="008B3916">
        <w:rPr>
          <w:color w:val="000000"/>
          <w:lang w:val="pt-BR"/>
        </w:rPr>
        <w:t>de Produto.</w:t>
      </w:r>
    </w:p>
    <w:p w:rsidR="00A83600" w:rsidRPr="008B3916" w:rsidRDefault="00A83600" w:rsidP="00E62BC4">
      <w:pPr>
        <w:ind w:left="720"/>
        <w:rPr>
          <w:lang w:val="pt-BR"/>
        </w:rPr>
      </w:pPr>
    </w:p>
    <w:p w:rsidR="00A83600" w:rsidRPr="008B3916" w:rsidRDefault="00A83600" w:rsidP="00E62BC4">
      <w:pPr>
        <w:ind w:left="720"/>
        <w:rPr>
          <w:lang w:val="pt-BR"/>
        </w:rPr>
      </w:pPr>
      <w:r w:rsidRPr="008B3916">
        <w:rPr>
          <w:color w:val="000000"/>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557CB6" w:rsidRPr="008B3916">
        <w:rPr>
          <w:color w:val="000000"/>
          <w:lang w:val="pt-BR"/>
        </w:rPr>
        <w:t> </w:t>
      </w:r>
      <w:r w:rsidRPr="008B3916">
        <w:rPr>
          <w:color w:val="000000"/>
          <w:lang w:val="pt-BR"/>
        </w:rPr>
        <w:t>Lync for Mac 2011 a nenhum custo com cada licença de assinatura de teste ou paga do Lync Online. O</w:t>
      </w:r>
      <w:r w:rsidR="00557CB6" w:rsidRPr="008B3916">
        <w:rPr>
          <w:color w:val="000000"/>
          <w:lang w:val="pt-BR"/>
        </w:rPr>
        <w:t> </w:t>
      </w:r>
      <w:r w:rsidRPr="008B3916">
        <w:rPr>
          <w:color w:val="000000"/>
          <w:lang w:val="pt-BR"/>
        </w:rPr>
        <w:t>software só poderá ser usado com o Lync Online, e todos os direitos de uso do software se encerrarão ao</w:t>
      </w:r>
      <w:r w:rsidR="00557CB6" w:rsidRPr="008B3916">
        <w:rPr>
          <w:color w:val="000000"/>
          <w:lang w:val="pt-BR"/>
        </w:rPr>
        <w:t> </w:t>
      </w:r>
      <w:r w:rsidRPr="008B3916">
        <w:rPr>
          <w:color w:val="000000"/>
          <w:lang w:val="pt-BR"/>
        </w:rPr>
        <w:t>término da licença de assinatura básica ou da migração para a próxima nova versão principal do Lync Online, o que ocorrer primeiro.</w:t>
      </w:r>
      <w:r w:rsidR="00CE7FC5" w:rsidRPr="008B3916">
        <w:rPr>
          <w:color w:val="000000"/>
          <w:lang w:val="pt-BR"/>
        </w:rPr>
        <w:t xml:space="preserve"> </w:t>
      </w:r>
      <w:r w:rsidRPr="008B3916">
        <w:rPr>
          <w:lang w:val="pt-BR"/>
        </w:rPr>
        <w:t>Os clientes podem usar o cliente gratuito Lync Basic 2013 para seus usuários</w:t>
      </w:r>
      <w:r w:rsidR="00557CB6" w:rsidRPr="008B3916">
        <w:rPr>
          <w:color w:val="000000"/>
          <w:lang w:val="pt-BR"/>
        </w:rPr>
        <w:t> </w:t>
      </w:r>
      <w:r w:rsidRPr="008B3916">
        <w:rPr>
          <w:lang w:val="pt-BR"/>
        </w:rPr>
        <w:t>finais com base em Windows.</w:t>
      </w:r>
    </w:p>
    <w:p w:rsidR="00A83600" w:rsidRPr="008B3916" w:rsidRDefault="00A83600" w:rsidP="00E62BC4">
      <w:pPr>
        <w:ind w:left="720"/>
        <w:rPr>
          <w:lang w:val="pt-BR"/>
        </w:rPr>
      </w:pPr>
    </w:p>
    <w:p w:rsidR="00A83600" w:rsidRPr="008B3916" w:rsidRDefault="00A83600" w:rsidP="00E62BC4">
      <w:pPr>
        <w:ind w:left="720"/>
        <w:rPr>
          <w:lang w:val="pt-BR"/>
        </w:rPr>
      </w:pPr>
      <w:r w:rsidRPr="008B3916">
        <w:rPr>
          <w:rFonts w:eastAsia="Calibri" w:cs="Tahoma"/>
          <w:color w:val="000000"/>
          <w:szCs w:val="18"/>
          <w:lang w:val="pt-BR"/>
        </w:rPr>
        <w:t>G1-G4 não podem ser implantados no mesmo domínio que os serviços de nuvem da comunidade não governamental específicos.</w:t>
      </w:r>
      <w:r w:rsidR="00FB5496" w:rsidRPr="008B3916">
        <w:rPr>
          <w:rFonts w:eastAsia="Calibri" w:cs="Tahoma"/>
          <w:color w:val="000000"/>
          <w:szCs w:val="18"/>
          <w:lang w:val="pt-BR"/>
        </w:rPr>
        <w:t xml:space="preserve"> </w:t>
      </w:r>
      <w:r w:rsidRPr="008B3916">
        <w:rPr>
          <w:rFonts w:eastAsia="Calibri" w:cs="Tahoma"/>
          <w:color w:val="000000"/>
          <w:szCs w:val="18"/>
          <w:lang w:val="pt-BR"/>
        </w:rPr>
        <w:t>Esta limitação se estende a qualquer serviço online que faça parte da família de</w:t>
      </w:r>
      <w:r w:rsidR="00557CB6" w:rsidRPr="008B3916">
        <w:rPr>
          <w:color w:val="000000"/>
          <w:lang w:val="pt-BR"/>
        </w:rPr>
        <w:t> </w:t>
      </w:r>
      <w:r w:rsidRPr="008B3916">
        <w:rPr>
          <w:rFonts w:eastAsia="Calibri" w:cs="Tahoma"/>
          <w:color w:val="000000"/>
          <w:szCs w:val="18"/>
          <w:lang w:val="pt-BR"/>
        </w:rPr>
        <w:t>produtos do Office 365, incluindo Exchange Online, SharePoint Online e Lync Online.</w:t>
      </w:r>
    </w:p>
    <w:p w:rsidR="00A83600" w:rsidRPr="008B3916" w:rsidRDefault="00A83600" w:rsidP="00E62BC4">
      <w:pPr>
        <w:ind w:left="720"/>
        <w:rPr>
          <w:lang w:val="pt-BR"/>
        </w:rPr>
      </w:pPr>
    </w:p>
    <w:p w:rsidR="00557CB6" w:rsidRPr="008B3916" w:rsidRDefault="00557CB6" w:rsidP="00E62BC4">
      <w:pPr>
        <w:ind w:left="720"/>
        <w:rPr>
          <w:lang w:val="pt-BR"/>
        </w:rPr>
      </w:pPr>
    </w:p>
    <w:p w:rsidR="00557CB6" w:rsidRPr="008B3916" w:rsidRDefault="00557CB6" w:rsidP="00E62BC4">
      <w:pPr>
        <w:ind w:left="720"/>
        <w:rPr>
          <w:lang w:val="pt-BR"/>
        </w:rPr>
      </w:pPr>
    </w:p>
    <w:p w:rsidR="00557CB6" w:rsidRPr="008B3916" w:rsidRDefault="00557CB6" w:rsidP="00E62BC4">
      <w:pPr>
        <w:ind w:left="720"/>
        <w:rPr>
          <w:lang w:val="pt-BR"/>
        </w:rPr>
      </w:pPr>
    </w:p>
    <w:p w:rsidR="00A83600" w:rsidRPr="008B3916" w:rsidRDefault="00A83600" w:rsidP="00E62BC4">
      <w:pPr>
        <w:ind w:left="720"/>
        <w:rPr>
          <w:lang w:val="pt-BR"/>
        </w:rPr>
      </w:pPr>
      <w:r w:rsidRPr="008B3916">
        <w:rPr>
          <w:rFonts w:eastAsia="Calibri" w:cs="Tahoma"/>
          <w:color w:val="000000"/>
          <w:szCs w:val="18"/>
          <w:lang w:val="pt-BR"/>
        </w:rPr>
        <w:t>Assim que um serviço online é provisionado na nuvem de comunidade do governo, ele permanecerá lá pela duração da vigência da assinatura.</w:t>
      </w:r>
      <w:r w:rsidR="00FB5496" w:rsidRPr="008B3916">
        <w:rPr>
          <w:rFonts w:eastAsia="Calibri" w:cs="Tahoma"/>
          <w:color w:val="000000"/>
          <w:szCs w:val="18"/>
          <w:lang w:val="pt-BR"/>
        </w:rPr>
        <w:t xml:space="preserve"> </w:t>
      </w:r>
      <w:r w:rsidRPr="008B3916">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FB5496" w:rsidRPr="008B3916">
        <w:rPr>
          <w:rFonts w:eastAsia="Calibri" w:cs="Tahoma"/>
          <w:color w:val="000000"/>
          <w:szCs w:val="18"/>
          <w:lang w:val="pt-BR"/>
        </w:rPr>
        <w:t xml:space="preserve"> </w:t>
      </w:r>
      <w:r w:rsidRPr="008B3916">
        <w:rPr>
          <w:rFonts w:eastAsia="Calibri" w:cs="Tahoma"/>
          <w:color w:val="000000"/>
          <w:szCs w:val="18"/>
          <w:lang w:val="pt-BR"/>
        </w:rPr>
        <w:t>Os Direitos de Uso para serviços de nuvem da comunidade do governo são equivalentes àqueles dos seus diversos locatários padrão, conforme indicado na tabela a seguir:</w:t>
      </w:r>
    </w:p>
    <w:p w:rsidR="00A83600" w:rsidRPr="008B3916" w:rsidRDefault="00A83600" w:rsidP="00A83600">
      <w:pPr>
        <w:ind w:left="900"/>
        <w:rPr>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2B5F9E" w:rsidTr="00CA14C9">
        <w:tc>
          <w:tcPr>
            <w:tcW w:w="4202" w:type="dxa"/>
            <w:shd w:val="clear" w:color="auto" w:fill="FABF8F"/>
          </w:tcPr>
          <w:p w:rsidR="00A83600" w:rsidRPr="00416070" w:rsidRDefault="00A83600" w:rsidP="00722522">
            <w:pPr>
              <w:rPr>
                <w:rFonts w:eastAsia="Calibri"/>
                <w:b/>
                <w:color w:val="000000"/>
                <w:sz w:val="20"/>
                <w:szCs w:val="20"/>
              </w:rPr>
            </w:pPr>
            <w:r w:rsidRPr="00416070">
              <w:rPr>
                <w:rFonts w:eastAsia="Calibri"/>
                <w:b/>
                <w:color w:val="000000"/>
                <w:sz w:val="20"/>
                <w:szCs w:val="20"/>
              </w:rPr>
              <w:t xml:space="preserve">Office 365 Enterprise E </w:t>
            </w:r>
          </w:p>
        </w:tc>
        <w:tc>
          <w:tcPr>
            <w:tcW w:w="4366" w:type="dxa"/>
            <w:shd w:val="clear" w:color="auto" w:fill="FABF8F"/>
          </w:tcPr>
          <w:p w:rsidR="00A83600" w:rsidRPr="008B3916" w:rsidRDefault="00A83600" w:rsidP="00722522">
            <w:pPr>
              <w:rPr>
                <w:rFonts w:eastAsia="Calibri"/>
                <w:b/>
                <w:color w:val="000000"/>
                <w:sz w:val="20"/>
                <w:szCs w:val="20"/>
                <w:lang w:val="pt-BR"/>
              </w:rPr>
            </w:pPr>
            <w:r w:rsidRPr="008B3916">
              <w:rPr>
                <w:rFonts w:eastAsia="Calibri"/>
                <w:b/>
                <w:color w:val="000000"/>
                <w:sz w:val="20"/>
                <w:szCs w:val="20"/>
                <w:lang w:val="pt-BR"/>
              </w:rPr>
              <w:t>Serviço Office 365 Government G com Direitos de uso equivalentes</w:t>
            </w:r>
          </w:p>
        </w:tc>
      </w:tr>
      <w:tr w:rsidR="00A83600" w:rsidRPr="00416070" w:rsidTr="00CA14C9">
        <w:tc>
          <w:tcPr>
            <w:tcW w:w="4202" w:type="dxa"/>
            <w:shd w:val="clear" w:color="auto" w:fill="auto"/>
          </w:tcPr>
          <w:p w:rsidR="00A83600" w:rsidRPr="00416070" w:rsidRDefault="00A83600" w:rsidP="00722522">
            <w:pPr>
              <w:rPr>
                <w:rFonts w:eastAsia="Calibri"/>
                <w:color w:val="000000"/>
              </w:rPr>
            </w:pPr>
            <w:r w:rsidRPr="00416070">
              <w:rPr>
                <w:rFonts w:eastAsia="Calibri"/>
                <w:color w:val="000000"/>
              </w:rPr>
              <w:t>Office 365 Enterprise E1</w:t>
            </w:r>
          </w:p>
        </w:tc>
        <w:tc>
          <w:tcPr>
            <w:tcW w:w="4366" w:type="dxa"/>
            <w:shd w:val="clear" w:color="auto" w:fill="auto"/>
          </w:tcPr>
          <w:p w:rsidR="00A83600" w:rsidRPr="00416070" w:rsidRDefault="00A83600" w:rsidP="00722522">
            <w:pPr>
              <w:rPr>
                <w:rFonts w:eastAsia="Calibri"/>
                <w:color w:val="000000"/>
              </w:rPr>
            </w:pPr>
            <w:r w:rsidRPr="00416070">
              <w:rPr>
                <w:rFonts w:eastAsia="Calibri"/>
                <w:color w:val="000000"/>
              </w:rPr>
              <w:t>Office 365 Government G1</w:t>
            </w:r>
          </w:p>
        </w:tc>
      </w:tr>
      <w:tr w:rsidR="00A83600" w:rsidRPr="00416070" w:rsidTr="00CA14C9">
        <w:tc>
          <w:tcPr>
            <w:tcW w:w="4202" w:type="dxa"/>
            <w:shd w:val="clear" w:color="auto" w:fill="auto"/>
          </w:tcPr>
          <w:p w:rsidR="00A83600" w:rsidRPr="00416070" w:rsidRDefault="00A83600" w:rsidP="00722522">
            <w:pPr>
              <w:rPr>
                <w:rFonts w:eastAsia="Calibri"/>
                <w:color w:val="000000"/>
              </w:rPr>
            </w:pPr>
            <w:r w:rsidRPr="00416070">
              <w:rPr>
                <w:rFonts w:eastAsia="Calibri"/>
                <w:color w:val="000000"/>
              </w:rPr>
              <w:t>Office 365 Enterprise E2</w:t>
            </w:r>
          </w:p>
        </w:tc>
        <w:tc>
          <w:tcPr>
            <w:tcW w:w="4366" w:type="dxa"/>
            <w:shd w:val="clear" w:color="auto" w:fill="auto"/>
          </w:tcPr>
          <w:p w:rsidR="00A83600" w:rsidRPr="00416070" w:rsidRDefault="00A83600" w:rsidP="00722522">
            <w:pPr>
              <w:rPr>
                <w:rFonts w:eastAsia="Calibri"/>
                <w:color w:val="000000"/>
              </w:rPr>
            </w:pPr>
            <w:r w:rsidRPr="00416070">
              <w:rPr>
                <w:rFonts w:eastAsia="Calibri"/>
                <w:color w:val="000000"/>
              </w:rPr>
              <w:t>Office 365 Government G2</w:t>
            </w:r>
          </w:p>
        </w:tc>
      </w:tr>
      <w:tr w:rsidR="00A83600" w:rsidRPr="00416070" w:rsidTr="00CA14C9">
        <w:tc>
          <w:tcPr>
            <w:tcW w:w="4202" w:type="dxa"/>
            <w:shd w:val="clear" w:color="auto" w:fill="auto"/>
          </w:tcPr>
          <w:p w:rsidR="00A83600" w:rsidRPr="00416070" w:rsidRDefault="00A83600" w:rsidP="00722522">
            <w:pPr>
              <w:rPr>
                <w:rFonts w:eastAsia="Calibri"/>
                <w:color w:val="000000"/>
              </w:rPr>
            </w:pPr>
            <w:r w:rsidRPr="00416070">
              <w:rPr>
                <w:rFonts w:eastAsia="Calibri"/>
                <w:color w:val="000000"/>
              </w:rPr>
              <w:t>Office 365 Enterprise E3</w:t>
            </w:r>
          </w:p>
        </w:tc>
        <w:tc>
          <w:tcPr>
            <w:tcW w:w="4366" w:type="dxa"/>
            <w:shd w:val="clear" w:color="auto" w:fill="auto"/>
          </w:tcPr>
          <w:p w:rsidR="00A83600" w:rsidRPr="00416070" w:rsidRDefault="00A83600" w:rsidP="00722522">
            <w:pPr>
              <w:rPr>
                <w:rFonts w:eastAsia="Calibri"/>
                <w:color w:val="000000"/>
              </w:rPr>
            </w:pPr>
            <w:r w:rsidRPr="00416070">
              <w:rPr>
                <w:rFonts w:eastAsia="Calibri"/>
                <w:color w:val="000000"/>
              </w:rPr>
              <w:t>Office 365 Government G3</w:t>
            </w:r>
          </w:p>
        </w:tc>
      </w:tr>
      <w:tr w:rsidR="00A83600" w:rsidRPr="00416070" w:rsidTr="00CA14C9">
        <w:tc>
          <w:tcPr>
            <w:tcW w:w="4202" w:type="dxa"/>
            <w:shd w:val="clear" w:color="auto" w:fill="auto"/>
          </w:tcPr>
          <w:p w:rsidR="00A83600" w:rsidRPr="00416070" w:rsidRDefault="00A83600" w:rsidP="00722522">
            <w:pPr>
              <w:rPr>
                <w:rFonts w:eastAsia="Calibri"/>
                <w:color w:val="000000"/>
              </w:rPr>
            </w:pPr>
            <w:r w:rsidRPr="00416070">
              <w:rPr>
                <w:rFonts w:eastAsia="Calibri"/>
                <w:color w:val="000000"/>
              </w:rPr>
              <w:t>Office 365 Enterprise E4</w:t>
            </w:r>
          </w:p>
        </w:tc>
        <w:tc>
          <w:tcPr>
            <w:tcW w:w="4366" w:type="dxa"/>
            <w:shd w:val="clear" w:color="auto" w:fill="auto"/>
          </w:tcPr>
          <w:p w:rsidR="00A83600" w:rsidRPr="00416070" w:rsidRDefault="00A83600" w:rsidP="00722522">
            <w:pPr>
              <w:rPr>
                <w:rFonts w:eastAsia="Calibri"/>
                <w:color w:val="000000"/>
              </w:rPr>
            </w:pPr>
            <w:r w:rsidRPr="00416070">
              <w:rPr>
                <w:rFonts w:eastAsia="Calibri"/>
                <w:color w:val="000000"/>
              </w:rPr>
              <w:t>Office 365 Government G4</w:t>
            </w:r>
          </w:p>
        </w:tc>
      </w:tr>
    </w:tbl>
    <w:p w:rsidR="004574E9" w:rsidRPr="00416070" w:rsidRDefault="004574E9" w:rsidP="00194DAF"/>
    <w:p w:rsidR="002512D3" w:rsidRPr="00416070" w:rsidRDefault="002512D3">
      <w:bookmarkStart w:id="1352" w:name="_59_Office_Communications"/>
      <w:bookmarkStart w:id="1353" w:name="_57_Office_Communications"/>
      <w:bookmarkStart w:id="1354" w:name="_59_Office_Groove"/>
      <w:bookmarkStart w:id="1355" w:name="_Toc336338331"/>
      <w:bookmarkStart w:id="1356" w:name="Srv_74Office365PlanK1K2"/>
      <w:bookmarkEnd w:id="1328"/>
      <w:bookmarkEnd w:id="1352"/>
      <w:bookmarkEnd w:id="1353"/>
      <w:bookmarkEnd w:id="1354"/>
    </w:p>
    <w:p w:rsidR="00F42FD5" w:rsidRPr="00416070" w:rsidRDefault="00A7003F" w:rsidP="00F42FD5">
      <w:pPr>
        <w:pStyle w:val="Heading2"/>
        <w:ind w:left="0"/>
      </w:pPr>
      <w:bookmarkStart w:id="1357" w:name="_68_SharePoint_Online"/>
      <w:bookmarkStart w:id="1358" w:name="_71_SharePoint_Online"/>
      <w:bookmarkStart w:id="1359" w:name="_Toc336338334"/>
      <w:bookmarkStart w:id="1360" w:name="_Toc352234397"/>
      <w:bookmarkStart w:id="1361" w:name="Srv_73SharepointOnlinePlan1"/>
      <w:bookmarkStart w:id="1362" w:name="Srv_74SharepointOnlinePlan1"/>
      <w:bookmarkStart w:id="1363" w:name="Srv_62OfficePerfPointSvr07"/>
      <w:bookmarkEnd w:id="1355"/>
      <w:bookmarkEnd w:id="1356"/>
      <w:bookmarkEnd w:id="1357"/>
      <w:bookmarkEnd w:id="1358"/>
      <w:r w:rsidRPr="00416070">
        <w:rPr>
          <w:rFonts w:ascii="Tahoma" w:hAnsi="Tahoma" w:cs="Tahoma"/>
          <w:caps/>
          <w:color w:val="FF6600"/>
          <w:sz w:val="22"/>
          <w:vertAlign w:val="superscript"/>
        </w:rPr>
        <w:t>71</w:t>
      </w:r>
      <w:r w:rsidRPr="00416070">
        <w:rPr>
          <w:rFonts w:ascii="Tahoma" w:hAnsi="Tahoma" w:cs="Tahoma"/>
          <w:color w:val="FF6600"/>
        </w:rPr>
        <w:t xml:space="preserve"> </w:t>
      </w:r>
      <w:r w:rsidRPr="00416070">
        <w:rPr>
          <w:rFonts w:ascii="Tahoma" w:hAnsi="Tahoma" w:cs="Tahoma"/>
          <w:color w:val="FF6600"/>
          <w:sz w:val="22"/>
          <w:szCs w:val="22"/>
        </w:rPr>
        <w:t>SharePoint Online Planos 1 e 2</w:t>
      </w:r>
      <w:bookmarkEnd w:id="1359"/>
      <w:bookmarkEnd w:id="1360"/>
    </w:p>
    <w:bookmarkEnd w:id="1361"/>
    <w:bookmarkEnd w:id="1362"/>
    <w:p w:rsidR="00F42FD5" w:rsidRPr="00416070" w:rsidRDefault="00F42FD5" w:rsidP="00F42FD5"/>
    <w:p w:rsidR="00F42FD5" w:rsidRPr="008C1816" w:rsidRDefault="00F42FD5" w:rsidP="00AC0ED2">
      <w:pPr>
        <w:pStyle w:val="EndnoteText"/>
        <w:ind w:left="720"/>
        <w:rPr>
          <w:rFonts w:ascii="Tahoma" w:hAnsi="Tahoma" w:cs="Tahoma"/>
          <w:sz w:val="18"/>
          <w:szCs w:val="18"/>
        </w:rPr>
      </w:pPr>
      <w:r w:rsidRPr="008C1816">
        <w:rPr>
          <w:rFonts w:ascii="Tahoma" w:hAnsi="Tahoma" w:cs="Tahoma"/>
          <w:color w:val="000000"/>
          <w:sz w:val="18"/>
          <w:szCs w:val="18"/>
        </w:rPr>
        <w:t>O SharePoint Online Plano 1 era conhecido anteriormente como SharePoint Online Standard.</w:t>
      </w:r>
    </w:p>
    <w:p w:rsidR="00F42FD5" w:rsidRPr="008C1816" w:rsidRDefault="00F42FD5" w:rsidP="00AC0ED2">
      <w:pPr>
        <w:pStyle w:val="EndnoteText"/>
        <w:ind w:left="720"/>
        <w:rPr>
          <w:rFonts w:ascii="Tahoma" w:hAnsi="Tahoma" w:cs="Tahoma"/>
          <w:sz w:val="18"/>
          <w:szCs w:val="18"/>
        </w:rPr>
      </w:pPr>
    </w:p>
    <w:p w:rsidR="00F42FD5" w:rsidRPr="008C1816" w:rsidRDefault="00F42FD5" w:rsidP="00AC0ED2">
      <w:pPr>
        <w:pStyle w:val="EndnoteText"/>
        <w:ind w:left="720"/>
        <w:rPr>
          <w:rFonts w:ascii="Tahoma" w:hAnsi="Tahoma" w:cs="Tahoma"/>
          <w:sz w:val="18"/>
          <w:szCs w:val="18"/>
        </w:rPr>
      </w:pPr>
      <w:r w:rsidRPr="008C1816">
        <w:rPr>
          <w:rFonts w:ascii="Tahoma" w:hAnsi="Tahoma" w:cs="Tahoma"/>
          <w:color w:val="000000"/>
          <w:sz w:val="18"/>
          <w:szCs w:val="18"/>
        </w:rPr>
        <w:t>Os Clientes no Brasil ou no Chile que comprarem o SharePoint Online Plano 1 receberão o SharePoint Online</w:t>
      </w:r>
      <w:r w:rsidR="004A1891" w:rsidRPr="008B3916">
        <w:rPr>
          <w:rFonts w:ascii="Tahoma" w:hAnsi="Tahoma" w:cs="Tahoma"/>
          <w:color w:val="000000"/>
          <w:sz w:val="18"/>
          <w:szCs w:val="18"/>
          <w:lang w:val="pt-BR"/>
        </w:rPr>
        <w:t> </w:t>
      </w:r>
      <w:r w:rsidRPr="008C1816">
        <w:rPr>
          <w:rFonts w:ascii="Tahoma" w:hAnsi="Tahoma" w:cs="Tahoma"/>
          <w:color w:val="000000"/>
          <w:sz w:val="18"/>
          <w:szCs w:val="18"/>
        </w:rPr>
        <w:t>Standard.</w:t>
      </w:r>
      <w:r w:rsidR="00FB5496" w:rsidRPr="008C1816">
        <w:rPr>
          <w:rFonts w:ascii="Tahoma" w:hAnsi="Tahoma" w:cs="Tahoma"/>
          <w:color w:val="000000"/>
          <w:sz w:val="18"/>
          <w:szCs w:val="18"/>
        </w:rPr>
        <w:t xml:space="preserve"> </w:t>
      </w:r>
      <w:r w:rsidRPr="008C1816">
        <w:rPr>
          <w:rFonts w:ascii="Tahoma" w:hAnsi="Tahoma" w:cs="Tahoma"/>
          <w:color w:val="000000"/>
          <w:sz w:val="18"/>
          <w:szCs w:val="18"/>
        </w:rPr>
        <w:t>Esses clientes poderão migrar para o SharePoint Online Plano 1 posteriormente.</w:t>
      </w:r>
    </w:p>
    <w:p w:rsidR="007316A1" w:rsidRPr="008C1816" w:rsidRDefault="007316A1" w:rsidP="00AC0ED2">
      <w:pPr>
        <w:pStyle w:val="EndnoteText"/>
        <w:ind w:left="720"/>
        <w:rPr>
          <w:rFonts w:ascii="Tahoma" w:hAnsi="Tahoma" w:cs="Tahoma"/>
          <w:sz w:val="18"/>
          <w:szCs w:val="18"/>
        </w:rPr>
      </w:pPr>
    </w:p>
    <w:p w:rsidR="00DB7BD1" w:rsidRPr="008B3916" w:rsidRDefault="00DB7BD1" w:rsidP="007B699C">
      <w:pPr>
        <w:spacing w:after="60"/>
        <w:ind w:left="720"/>
        <w:rPr>
          <w:rFonts w:cs="Tahoma"/>
          <w:szCs w:val="18"/>
          <w:lang w:val="pt-BR"/>
        </w:rPr>
      </w:pPr>
      <w:r w:rsidRPr="008B3916">
        <w:rPr>
          <w:rFonts w:eastAsia="Calibri" w:cs="Tahoma"/>
          <w:b/>
          <w:color w:val="000000"/>
          <w:szCs w:val="18"/>
          <w:lang w:val="pt-BR"/>
        </w:rPr>
        <w:t>Nuvem da Comunidade do Governo (Apenas para os Estados Unidos)</w:t>
      </w:r>
    </w:p>
    <w:p w:rsidR="00DB7BD1" w:rsidRPr="008B3916" w:rsidRDefault="00DB7BD1" w:rsidP="00AC0ED2">
      <w:pPr>
        <w:ind w:left="720"/>
        <w:rPr>
          <w:rFonts w:cs="Tahoma"/>
          <w:szCs w:val="18"/>
          <w:lang w:val="pt-BR"/>
        </w:rPr>
      </w:pPr>
      <w:r w:rsidRPr="008B3916">
        <w:rPr>
          <w:rFonts w:eastAsia="Calibri" w:cs="Tahoma"/>
          <w:color w:val="000000"/>
          <w:szCs w:val="18"/>
          <w:lang w:val="pt-BR"/>
        </w:rPr>
        <w:t>Alguns serviços online na família de produtos do Office 365 (incluindo SharePoint Online Planos 1 e 2) são oferecidos como serviços de nuvem da comunidade do governo e serviços de nuvem da comunidade não governamental.</w:t>
      </w:r>
      <w:r w:rsidR="00FB5496" w:rsidRPr="008B3916">
        <w:rPr>
          <w:rFonts w:eastAsia="Calibri" w:cs="Tahoma"/>
          <w:color w:val="000000"/>
          <w:szCs w:val="18"/>
          <w:lang w:val="pt-BR"/>
        </w:rPr>
        <w:t xml:space="preserve"> </w:t>
      </w:r>
      <w:r w:rsidRPr="008B3916">
        <w:rPr>
          <w:rFonts w:eastAsia="Calibri" w:cs="Tahoma"/>
          <w:color w:val="000000"/>
          <w:szCs w:val="18"/>
          <w:lang w:val="pt-BR"/>
        </w:rPr>
        <w:t>Os clientes podem ser provisionados como um ou outro, mas não com uma mistura dos dois.</w:t>
      </w:r>
      <w:r w:rsidR="00FB5496" w:rsidRPr="008B3916">
        <w:rPr>
          <w:rFonts w:eastAsia="Calibri" w:cs="Tahoma"/>
          <w:color w:val="000000"/>
          <w:szCs w:val="18"/>
          <w:lang w:val="pt-BR"/>
        </w:rPr>
        <w:t xml:space="preserve"> </w:t>
      </w:r>
      <w:r w:rsidRPr="008B3916">
        <w:rPr>
          <w:rFonts w:eastAsia="Calibri" w:cs="Tahoma"/>
          <w:color w:val="000000"/>
          <w:szCs w:val="18"/>
          <w:lang w:val="pt-BR"/>
        </w:rPr>
        <w:t>Os Serviços Online projetados como nuvem de comunidade do governo não podem ser implantados no</w:t>
      </w:r>
      <w:r w:rsidR="00557CB6" w:rsidRPr="008B3916">
        <w:rPr>
          <w:rFonts w:eastAsia="Calibri" w:cs="Tahoma"/>
          <w:color w:val="000000"/>
          <w:szCs w:val="18"/>
          <w:lang w:val="pt-BR"/>
        </w:rPr>
        <w:t> </w:t>
      </w:r>
      <w:r w:rsidRPr="008B3916">
        <w:rPr>
          <w:rFonts w:eastAsia="Calibri" w:cs="Tahoma"/>
          <w:color w:val="000000"/>
          <w:szCs w:val="18"/>
          <w:lang w:val="pt-BR"/>
        </w:rPr>
        <w:t>mesmo domínio que os serviços de nuvem da comunidade não governamental específicos.</w:t>
      </w:r>
      <w:r w:rsidR="00FB5496" w:rsidRPr="008B3916">
        <w:rPr>
          <w:rFonts w:eastAsia="Calibri" w:cs="Tahoma"/>
          <w:color w:val="000000"/>
          <w:szCs w:val="18"/>
          <w:lang w:val="pt-BR"/>
        </w:rPr>
        <w:t xml:space="preserve"> </w:t>
      </w:r>
      <w:r w:rsidRPr="008B3916">
        <w:rPr>
          <w:rFonts w:eastAsia="Calibri" w:cs="Tahoma"/>
          <w:color w:val="000000"/>
          <w:szCs w:val="18"/>
          <w:lang w:val="pt-BR"/>
        </w:rPr>
        <w:t>Esta limitação</w:t>
      </w:r>
      <w:r w:rsidR="00557CB6" w:rsidRPr="008B3916">
        <w:rPr>
          <w:rFonts w:eastAsia="Calibri" w:cs="Tahoma"/>
          <w:color w:val="000000"/>
          <w:szCs w:val="18"/>
          <w:lang w:val="pt-BR"/>
        </w:rPr>
        <w:t> </w:t>
      </w:r>
      <w:r w:rsidRPr="008B3916">
        <w:rPr>
          <w:rFonts w:eastAsia="Calibri" w:cs="Tahoma"/>
          <w:color w:val="000000"/>
          <w:szCs w:val="18"/>
          <w:lang w:val="pt-BR"/>
        </w:rPr>
        <w:t>se estende a qualquer serviço online que faça parte da família de produtos do Office 365, incluindo</w:t>
      </w:r>
      <w:r w:rsidR="00557CB6" w:rsidRPr="008B3916">
        <w:rPr>
          <w:rFonts w:eastAsia="Calibri" w:cs="Tahoma"/>
          <w:color w:val="000000"/>
          <w:szCs w:val="18"/>
          <w:lang w:val="pt-BR"/>
        </w:rPr>
        <w:t> </w:t>
      </w:r>
      <w:r w:rsidRPr="008B3916">
        <w:rPr>
          <w:rFonts w:eastAsia="Calibri" w:cs="Tahoma"/>
          <w:color w:val="000000"/>
          <w:szCs w:val="18"/>
          <w:lang w:val="pt-BR"/>
        </w:rPr>
        <w:t>Exchange Online, SharePoint Online e Lync Online.</w:t>
      </w:r>
    </w:p>
    <w:p w:rsidR="00DB7BD1" w:rsidRPr="008B3916" w:rsidRDefault="00DB7BD1" w:rsidP="00AC0ED2">
      <w:pPr>
        <w:ind w:left="720"/>
        <w:rPr>
          <w:rFonts w:cs="Tahoma"/>
          <w:szCs w:val="18"/>
          <w:lang w:val="pt-BR"/>
        </w:rPr>
      </w:pPr>
    </w:p>
    <w:p w:rsidR="00DB7BD1" w:rsidRPr="008B3916" w:rsidRDefault="00DB7BD1" w:rsidP="00AC0ED2">
      <w:pPr>
        <w:ind w:left="720"/>
        <w:rPr>
          <w:rFonts w:cs="Tahoma"/>
          <w:szCs w:val="18"/>
          <w:lang w:val="pt-BR"/>
        </w:rPr>
      </w:pPr>
      <w:r w:rsidRPr="008B3916">
        <w:rPr>
          <w:rFonts w:eastAsia="Calibri" w:cs="Tahoma"/>
          <w:color w:val="000000"/>
          <w:szCs w:val="18"/>
          <w:lang w:val="pt-BR"/>
        </w:rPr>
        <w:t>Assim que um serviço online é provisionado na nuvem de comunidade do governo, ele permanecerá lá pela</w:t>
      </w:r>
      <w:r w:rsidR="00557CB6" w:rsidRPr="008B3916">
        <w:rPr>
          <w:rFonts w:eastAsia="Calibri" w:cs="Tahoma"/>
          <w:color w:val="000000"/>
          <w:szCs w:val="18"/>
          <w:lang w:val="pt-BR"/>
        </w:rPr>
        <w:t> </w:t>
      </w:r>
      <w:r w:rsidRPr="008B3916">
        <w:rPr>
          <w:rFonts w:eastAsia="Calibri" w:cs="Tahoma"/>
          <w:color w:val="000000"/>
          <w:szCs w:val="18"/>
          <w:lang w:val="pt-BR"/>
        </w:rPr>
        <w:t>duração da vigência da assinatura.</w:t>
      </w:r>
      <w:r w:rsidR="00FB5496" w:rsidRPr="008B3916">
        <w:rPr>
          <w:rFonts w:eastAsia="Calibri" w:cs="Tahoma"/>
          <w:color w:val="000000"/>
          <w:szCs w:val="18"/>
          <w:lang w:val="pt-BR"/>
        </w:rPr>
        <w:t xml:space="preserve"> </w:t>
      </w:r>
      <w:r w:rsidRPr="008B3916">
        <w:rPr>
          <w:rFonts w:eastAsia="Calibri" w:cs="Tahoma"/>
          <w:color w:val="000000"/>
          <w:szCs w:val="18"/>
          <w:lang w:val="pt-BR"/>
        </w:rPr>
        <w:t>Clientes que são instituições governamentais federais, estaduais, locais ou tribais dos Estados Unidos devem fazer parte de um Registro Enterprise do Governo Americano ou</w:t>
      </w:r>
      <w:r w:rsidR="00557CB6" w:rsidRPr="008B3916">
        <w:rPr>
          <w:rFonts w:eastAsia="Calibri" w:cs="Tahoma"/>
          <w:color w:val="000000"/>
          <w:szCs w:val="18"/>
          <w:lang w:val="pt-BR"/>
        </w:rPr>
        <w:t> </w:t>
      </w:r>
      <w:r w:rsidRPr="008B3916">
        <w:rPr>
          <w:rFonts w:eastAsia="Calibri" w:cs="Tahoma"/>
          <w:color w:val="000000"/>
          <w:szCs w:val="18"/>
          <w:lang w:val="pt-BR"/>
        </w:rPr>
        <w:t>Registro Enterprise Subscription para estar qualificado para comprar serviços online designados como nuvem da comunidade do governo.</w:t>
      </w:r>
      <w:r w:rsidR="00FB5496" w:rsidRPr="008B3916">
        <w:rPr>
          <w:rFonts w:eastAsia="Calibri" w:cs="Tahoma"/>
          <w:color w:val="000000"/>
          <w:szCs w:val="18"/>
          <w:lang w:val="pt-BR"/>
        </w:rPr>
        <w:t xml:space="preserve"> </w:t>
      </w:r>
      <w:r w:rsidRPr="008B3916">
        <w:rPr>
          <w:rFonts w:eastAsia="Calibri" w:cs="Tahoma"/>
          <w:color w:val="000000"/>
          <w:szCs w:val="18"/>
          <w:lang w:val="pt-BR"/>
        </w:rPr>
        <w:t>Os Direitos de Uso para serviços de nuvem da comunidade do governo são equivalentes àqueles dos seus diversos locatários padrão.</w:t>
      </w:r>
    </w:p>
    <w:p w:rsidR="00C737B6" w:rsidRPr="00416070" w:rsidRDefault="00C737B6" w:rsidP="00697E59">
      <w:pPr>
        <w:pStyle w:val="EndnoteText"/>
        <w:ind w:left="0"/>
      </w:pPr>
    </w:p>
    <w:p w:rsidR="007B699C" w:rsidRPr="00416070" w:rsidRDefault="007B699C" w:rsidP="00697E59">
      <w:pPr>
        <w:pStyle w:val="EndnoteText"/>
        <w:ind w:left="0"/>
      </w:pPr>
    </w:p>
    <w:p w:rsidR="002F7FB8" w:rsidRPr="00416070" w:rsidRDefault="00A7003F" w:rsidP="002F7FB8">
      <w:pPr>
        <w:pStyle w:val="Heading2"/>
        <w:ind w:left="0"/>
      </w:pPr>
      <w:bookmarkStart w:id="1364" w:name="_69_SharePoint_Server"/>
      <w:bookmarkStart w:id="1365" w:name="_74_72_SharePoint"/>
      <w:bookmarkStart w:id="1366" w:name="_Toc336338335"/>
      <w:bookmarkStart w:id="1367" w:name="_Toc352234398"/>
      <w:bookmarkStart w:id="1368" w:name="Srv_65ShareptSvr10"/>
      <w:bookmarkStart w:id="1369" w:name="Srv_64OfficeShareptSvr10"/>
      <w:bookmarkStart w:id="1370" w:name="Srv_63OfficeShareptSvr07"/>
      <w:bookmarkStart w:id="1371" w:name="Srv_62OfficeShareptSvr07"/>
      <w:bookmarkEnd w:id="1363"/>
      <w:bookmarkEnd w:id="1364"/>
      <w:bookmarkEnd w:id="1365"/>
      <w:r w:rsidRPr="00416070">
        <w:rPr>
          <w:rFonts w:ascii="Tahoma" w:hAnsi="Tahoma" w:cs="Tahoma"/>
          <w:caps/>
          <w:color w:val="FA6500"/>
          <w:sz w:val="22"/>
          <w:vertAlign w:val="superscript"/>
        </w:rPr>
        <w:t>72</w:t>
      </w:r>
      <w:r w:rsidRPr="00615CB9">
        <w:rPr>
          <w:rFonts w:ascii="Tahoma" w:hAnsi="Tahoma" w:cs="Tahoma"/>
          <w:caps/>
          <w:color w:val="FA6500"/>
          <w:sz w:val="22"/>
        </w:rPr>
        <w:t xml:space="preserve"> </w:t>
      </w:r>
      <w:r w:rsidRPr="00416070">
        <w:rPr>
          <w:rFonts w:ascii="Tahoma" w:hAnsi="Tahoma" w:cs="Tahoma"/>
          <w:color w:val="FA6500"/>
          <w:sz w:val="22"/>
        </w:rPr>
        <w:t xml:space="preserve">SharePoint Server </w:t>
      </w:r>
      <w:bookmarkEnd w:id="1366"/>
      <w:r w:rsidRPr="00416070">
        <w:rPr>
          <w:rFonts w:ascii="Tahoma" w:hAnsi="Tahoma" w:cs="Tahoma"/>
          <w:color w:val="FA6500"/>
          <w:sz w:val="22"/>
        </w:rPr>
        <w:t>2013</w:t>
      </w:r>
      <w:bookmarkEnd w:id="1367"/>
      <w:r w:rsidRPr="00416070">
        <w:rPr>
          <w:rFonts w:ascii="Tahoma" w:hAnsi="Tahoma" w:cs="Tahoma"/>
          <w:color w:val="FA6500"/>
          <w:sz w:val="22"/>
        </w:rPr>
        <w:t xml:space="preserve"> </w:t>
      </w:r>
    </w:p>
    <w:bookmarkEnd w:id="1368"/>
    <w:bookmarkEnd w:id="1369"/>
    <w:bookmarkEnd w:id="1370"/>
    <w:bookmarkEnd w:id="1371"/>
    <w:p w:rsidR="002F7FB8" w:rsidRPr="00416070" w:rsidRDefault="002F7FB8" w:rsidP="002F7FB8">
      <w:pPr>
        <w:ind w:left="720"/>
      </w:pPr>
    </w:p>
    <w:p w:rsidR="002F7FB8" w:rsidRPr="00416070" w:rsidRDefault="002F7FB8" w:rsidP="002F7FB8">
      <w:pPr>
        <w:ind w:left="720"/>
      </w:pPr>
      <w:r w:rsidRPr="00416070">
        <w:rPr>
          <w:rFonts w:cs="Tahoma"/>
          <w:color w:val="000000"/>
          <w:szCs w:val="18"/>
        </w:rPr>
        <w:t>SharePoint Server 2013 é a versão mais recente do SharePoint Server.</w:t>
      </w:r>
    </w:p>
    <w:p w:rsidR="002F7FB8" w:rsidRPr="00416070" w:rsidRDefault="002F7FB8" w:rsidP="002F7FB8">
      <w:pPr>
        <w:ind w:left="720"/>
      </w:pPr>
    </w:p>
    <w:p w:rsidR="002F7FB8" w:rsidRPr="00416070" w:rsidRDefault="002F7FB8" w:rsidP="007B699C">
      <w:pPr>
        <w:spacing w:after="60"/>
        <w:ind w:left="720"/>
      </w:pPr>
      <w:r w:rsidRPr="00416070">
        <w:rPr>
          <w:rFonts w:cs="Tahoma"/>
          <w:b/>
          <w:color w:val="000000"/>
          <w:szCs w:val="18"/>
        </w:rPr>
        <w:t>Outorgas de Licença para SharePoint 2010 para Internet Sites Enterprise, SharePoint Server 2010 para Internet Sites Standard, FAST Search Server 2010 para Clientes do SharePoint Server, Search Server 2010</w:t>
      </w:r>
    </w:p>
    <w:p w:rsidR="002F7FB8" w:rsidRPr="008B3916" w:rsidRDefault="00CD0D74" w:rsidP="002F7FB8">
      <w:pPr>
        <w:ind w:left="720"/>
        <w:rPr>
          <w:lang w:val="pt-BR"/>
        </w:rPr>
      </w:pPr>
      <w:r w:rsidRPr="008B3916">
        <w:rPr>
          <w:rFonts w:cs="Tahoma"/>
          <w:color w:val="000000"/>
          <w:szCs w:val="18"/>
          <w:lang w:val="pt-BR"/>
        </w:rPr>
        <w:t>A versão 2010 do SharePoint Server para Internet Sites Enterprise e SharePoint Server para Internet Sites Standard, FAST Search Server para SharePoint Server e Search Server é a versão final desses produtos.</w:t>
      </w:r>
      <w:r w:rsidR="00FB5496" w:rsidRPr="008B3916">
        <w:rPr>
          <w:rFonts w:cs="Tahoma"/>
          <w:color w:val="000000"/>
          <w:szCs w:val="18"/>
          <w:lang w:val="pt-BR"/>
        </w:rPr>
        <w:t xml:space="preserve"> </w:t>
      </w:r>
      <w:r w:rsidRPr="008B3916">
        <w:rPr>
          <w:rFonts w:cs="Tahoma"/>
          <w:color w:val="000000"/>
          <w:szCs w:val="18"/>
          <w:lang w:val="pt-BR"/>
        </w:rPr>
        <w:t>Tendo isso em visto, os clientes com licenças para SharePoint Server 2010 para Internet Sites Enterprise, SharePoint Server 2010 para Internet Sites Standard, FAST Search Server 2010 para SharePoint, Search Server 2010 com cobertura do Software Assurance ativa a partir de 1</w:t>
      </w:r>
      <w:r w:rsidRPr="008B3916">
        <w:rPr>
          <w:rFonts w:cs="Tahoma"/>
          <w:color w:val="000000"/>
          <w:szCs w:val="18"/>
          <w:vertAlign w:val="superscript"/>
          <w:lang w:val="pt-BR"/>
        </w:rPr>
        <w:t>º</w:t>
      </w:r>
      <w:r w:rsidRPr="008B3916">
        <w:rPr>
          <w:rFonts w:cs="Tahoma"/>
          <w:color w:val="000000"/>
          <w:szCs w:val="18"/>
          <w:lang w:val="pt-BR"/>
        </w:rPr>
        <w:t xml:space="preserve"> de dezembro de 2012 estão qualificados para as seguintes outorgas de licença.</w:t>
      </w:r>
    </w:p>
    <w:p w:rsidR="002F7FB8" w:rsidRPr="008B3916" w:rsidRDefault="002F7FB8" w:rsidP="002F7FB8">
      <w:pPr>
        <w:ind w:left="90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416070" w:rsidTr="002C3AB1">
        <w:trPr>
          <w:trHeight w:val="332"/>
        </w:trPr>
        <w:tc>
          <w:tcPr>
            <w:tcW w:w="4500" w:type="dxa"/>
            <w:shd w:val="clear" w:color="auto" w:fill="FABF8F"/>
          </w:tcPr>
          <w:p w:rsidR="002F7FB8" w:rsidRPr="00416070" w:rsidRDefault="002F7FB8" w:rsidP="007E466C">
            <w:pPr>
              <w:keepNext/>
              <w:keepLines/>
              <w:spacing w:before="60" w:after="60"/>
              <w:rPr>
                <w:rFonts w:cs="Tahoma"/>
                <w:b/>
                <w:color w:val="000000"/>
                <w:szCs w:val="18"/>
              </w:rPr>
            </w:pPr>
            <w:r w:rsidRPr="00416070">
              <w:rPr>
                <w:rFonts w:cs="Tahoma"/>
                <w:b/>
                <w:color w:val="000000"/>
                <w:szCs w:val="18"/>
              </w:rPr>
              <w:t>Licença Qualificada</w:t>
            </w:r>
          </w:p>
        </w:tc>
        <w:tc>
          <w:tcPr>
            <w:tcW w:w="3600" w:type="dxa"/>
            <w:shd w:val="clear" w:color="auto" w:fill="FABF8F"/>
          </w:tcPr>
          <w:p w:rsidR="002F7FB8" w:rsidRPr="00416070" w:rsidRDefault="002F7FB8" w:rsidP="007E466C">
            <w:pPr>
              <w:keepNext/>
              <w:keepLines/>
              <w:spacing w:before="60" w:after="60"/>
              <w:rPr>
                <w:rFonts w:cs="Tahoma"/>
                <w:b/>
                <w:color w:val="000000"/>
                <w:szCs w:val="18"/>
              </w:rPr>
            </w:pPr>
            <w:r w:rsidRPr="00416070">
              <w:rPr>
                <w:rFonts w:cs="Tahoma"/>
                <w:b/>
                <w:color w:val="000000"/>
                <w:szCs w:val="18"/>
              </w:rPr>
              <w:t>Licença Complementar e Benefícios</w:t>
            </w:r>
          </w:p>
        </w:tc>
      </w:tr>
      <w:tr w:rsidR="00CD0D74" w:rsidRPr="002B5F9E" w:rsidTr="002C3AB1">
        <w:trPr>
          <w:trHeight w:val="70"/>
        </w:trPr>
        <w:tc>
          <w:tcPr>
            <w:tcW w:w="4500" w:type="dxa"/>
            <w:shd w:val="clear" w:color="auto" w:fill="auto"/>
          </w:tcPr>
          <w:p w:rsidR="00CD0D74" w:rsidRPr="008B3916" w:rsidRDefault="00CD0D74" w:rsidP="00C066F9">
            <w:pPr>
              <w:keepNext/>
              <w:keepLines/>
              <w:rPr>
                <w:rFonts w:cs="Tahoma"/>
                <w:color w:val="000000"/>
                <w:szCs w:val="18"/>
                <w:lang w:val="pt-BR"/>
              </w:rPr>
            </w:pPr>
            <w:r w:rsidRPr="008B3916">
              <w:rPr>
                <w:rFonts w:cs="Tahoma"/>
                <w:color w:val="000000"/>
                <w:szCs w:val="18"/>
                <w:lang w:val="pt-BR"/>
              </w:rPr>
              <w:t>Licença do SharePoint Server 2010 para Internet Sites Enterprise com Software Assurance ativo em 1</w:t>
            </w:r>
            <w:r w:rsidRPr="008B3916">
              <w:rPr>
                <w:rFonts w:cs="Tahoma"/>
                <w:color w:val="000000"/>
                <w:szCs w:val="18"/>
                <w:vertAlign w:val="superscript"/>
                <w:lang w:val="pt-BR"/>
              </w:rPr>
              <w:t>º</w:t>
            </w:r>
            <w:r w:rsidRPr="008B3916">
              <w:rPr>
                <w:rFonts w:cs="Tahoma"/>
                <w:color w:val="000000"/>
                <w:szCs w:val="18"/>
                <w:lang w:val="pt-BR"/>
              </w:rPr>
              <w:t xml:space="preserve"> de dezembro de 2012</w:t>
            </w:r>
          </w:p>
        </w:tc>
        <w:tc>
          <w:tcPr>
            <w:tcW w:w="3600" w:type="dxa"/>
            <w:shd w:val="clear" w:color="auto" w:fill="auto"/>
          </w:tcPr>
          <w:p w:rsidR="00CD0D74" w:rsidRPr="008B3916" w:rsidRDefault="00CD0D74" w:rsidP="00C066F9">
            <w:pPr>
              <w:keepNext/>
              <w:keepLines/>
              <w:rPr>
                <w:rFonts w:cs="Tahoma"/>
                <w:color w:val="000000"/>
                <w:szCs w:val="18"/>
                <w:lang w:val="pt-BR"/>
              </w:rPr>
            </w:pPr>
            <w:r w:rsidRPr="008B3916">
              <w:rPr>
                <w:rFonts w:cs="Tahoma"/>
                <w:color w:val="000000"/>
                <w:szCs w:val="18"/>
                <w:lang w:val="pt-BR"/>
              </w:rPr>
              <w:t>Uma licença do SharePoint Server 2013</w:t>
            </w:r>
          </w:p>
        </w:tc>
      </w:tr>
      <w:tr w:rsidR="00CD0D74" w:rsidRPr="002B5F9E" w:rsidTr="002C3AB1">
        <w:trPr>
          <w:trHeight w:val="152"/>
        </w:trPr>
        <w:tc>
          <w:tcPr>
            <w:tcW w:w="4500" w:type="dxa"/>
            <w:shd w:val="clear" w:color="auto" w:fill="auto"/>
          </w:tcPr>
          <w:p w:rsidR="00CD0D74" w:rsidRPr="008B3916" w:rsidRDefault="00CD0D74" w:rsidP="00C066F9">
            <w:pPr>
              <w:keepNext/>
              <w:keepLines/>
              <w:rPr>
                <w:rFonts w:cs="Tahoma"/>
                <w:color w:val="000000"/>
                <w:szCs w:val="18"/>
                <w:lang w:val="pt-BR"/>
              </w:rPr>
            </w:pPr>
            <w:r w:rsidRPr="008B3916">
              <w:rPr>
                <w:rFonts w:cs="Tahoma"/>
                <w:color w:val="000000"/>
                <w:szCs w:val="18"/>
                <w:lang w:val="pt-BR"/>
              </w:rPr>
              <w:t>Licença do SharePoint Server 2010 para Internet Sites Standard com Software Assurance ativo em 1</w:t>
            </w:r>
            <w:r w:rsidRPr="008B3916">
              <w:rPr>
                <w:rFonts w:cs="Tahoma"/>
                <w:color w:val="000000"/>
                <w:szCs w:val="18"/>
                <w:vertAlign w:val="superscript"/>
                <w:lang w:val="pt-BR"/>
              </w:rPr>
              <w:t>º</w:t>
            </w:r>
            <w:r w:rsidRPr="008B3916">
              <w:rPr>
                <w:rFonts w:cs="Tahoma"/>
                <w:color w:val="000000"/>
                <w:szCs w:val="18"/>
                <w:lang w:val="pt-BR"/>
              </w:rPr>
              <w:t xml:space="preserve"> de dezembro de 2012 </w:t>
            </w:r>
          </w:p>
        </w:tc>
        <w:tc>
          <w:tcPr>
            <w:tcW w:w="3600" w:type="dxa"/>
            <w:shd w:val="clear" w:color="auto" w:fill="auto"/>
          </w:tcPr>
          <w:p w:rsidR="00CD0D74" w:rsidRPr="008B3916" w:rsidRDefault="00CD0D74" w:rsidP="00C066F9">
            <w:pPr>
              <w:keepNext/>
              <w:keepLines/>
              <w:rPr>
                <w:rFonts w:cs="Tahoma"/>
                <w:color w:val="000000"/>
                <w:szCs w:val="18"/>
                <w:lang w:val="pt-BR"/>
              </w:rPr>
            </w:pPr>
            <w:r w:rsidRPr="008B3916">
              <w:rPr>
                <w:rFonts w:cs="Tahoma"/>
                <w:color w:val="000000"/>
                <w:szCs w:val="18"/>
                <w:lang w:val="pt-BR"/>
              </w:rPr>
              <w:t>Uma licença do SharePoint Server 2013</w:t>
            </w:r>
          </w:p>
        </w:tc>
      </w:tr>
      <w:tr w:rsidR="00CD0D74" w:rsidRPr="002B5F9E" w:rsidTr="002C3AB1">
        <w:trPr>
          <w:trHeight w:val="152"/>
        </w:trPr>
        <w:tc>
          <w:tcPr>
            <w:tcW w:w="4500" w:type="dxa"/>
            <w:shd w:val="clear" w:color="auto" w:fill="auto"/>
          </w:tcPr>
          <w:p w:rsidR="00CD0D74" w:rsidRPr="008B3916" w:rsidRDefault="00CD0D74" w:rsidP="00C066F9">
            <w:pPr>
              <w:keepNext/>
              <w:keepLines/>
              <w:rPr>
                <w:rFonts w:cs="Tahoma"/>
                <w:color w:val="000000"/>
                <w:szCs w:val="18"/>
                <w:lang w:val="pt-BR"/>
              </w:rPr>
            </w:pPr>
            <w:r w:rsidRPr="008B3916">
              <w:rPr>
                <w:rFonts w:cs="Tahoma"/>
                <w:color w:val="000000"/>
                <w:szCs w:val="18"/>
                <w:lang w:val="pt-BR"/>
              </w:rPr>
              <w:t>Licença do FAST Search Server 2010 para SharePoint Server com Software Assurance ativo em 1</w:t>
            </w:r>
            <w:r w:rsidRPr="008B3916">
              <w:rPr>
                <w:rFonts w:cs="Tahoma"/>
                <w:color w:val="000000"/>
                <w:szCs w:val="18"/>
                <w:vertAlign w:val="superscript"/>
                <w:lang w:val="pt-BR"/>
              </w:rPr>
              <w:t>º</w:t>
            </w:r>
            <w:r w:rsidRPr="008B3916">
              <w:rPr>
                <w:rFonts w:cs="Tahoma"/>
                <w:color w:val="000000"/>
                <w:szCs w:val="18"/>
                <w:lang w:val="pt-BR"/>
              </w:rPr>
              <w:t xml:space="preserve"> de dezembro de 2012</w:t>
            </w:r>
          </w:p>
        </w:tc>
        <w:tc>
          <w:tcPr>
            <w:tcW w:w="3600" w:type="dxa"/>
            <w:shd w:val="clear" w:color="auto" w:fill="auto"/>
          </w:tcPr>
          <w:p w:rsidR="00CD0D74" w:rsidRPr="008B3916" w:rsidRDefault="00CD0D74" w:rsidP="00C066F9">
            <w:pPr>
              <w:keepNext/>
              <w:keepLines/>
              <w:rPr>
                <w:rFonts w:cs="Tahoma"/>
                <w:color w:val="000000"/>
                <w:szCs w:val="18"/>
                <w:lang w:val="pt-BR"/>
              </w:rPr>
            </w:pPr>
            <w:r w:rsidRPr="008B3916">
              <w:rPr>
                <w:rFonts w:cs="Tahoma"/>
                <w:color w:val="000000"/>
                <w:szCs w:val="18"/>
                <w:lang w:val="pt-BR"/>
              </w:rPr>
              <w:t>Uma licença do SharePoint Server 2013</w:t>
            </w:r>
          </w:p>
        </w:tc>
      </w:tr>
      <w:tr w:rsidR="00CD0D74" w:rsidRPr="00416070" w:rsidTr="002C3AB1">
        <w:trPr>
          <w:trHeight w:val="233"/>
        </w:trPr>
        <w:tc>
          <w:tcPr>
            <w:tcW w:w="4500" w:type="dxa"/>
            <w:shd w:val="clear" w:color="auto" w:fill="auto"/>
          </w:tcPr>
          <w:p w:rsidR="00CD0D74" w:rsidRPr="008B3916" w:rsidRDefault="00CD0D74" w:rsidP="00C066F9">
            <w:pPr>
              <w:keepNext/>
              <w:keepLines/>
              <w:rPr>
                <w:rFonts w:cs="Tahoma"/>
                <w:color w:val="000000"/>
                <w:szCs w:val="18"/>
                <w:lang w:val="pt-BR"/>
              </w:rPr>
            </w:pPr>
            <w:r w:rsidRPr="008B3916">
              <w:rPr>
                <w:rFonts w:cs="Tahoma"/>
                <w:color w:val="000000"/>
                <w:szCs w:val="18"/>
                <w:lang w:val="pt-BR"/>
              </w:rPr>
              <w:t>Licença do Search Server 2010 com Software Assurance ativo em 1</w:t>
            </w:r>
            <w:r w:rsidRPr="008B3916">
              <w:rPr>
                <w:rFonts w:cs="Tahoma"/>
                <w:color w:val="000000"/>
                <w:szCs w:val="18"/>
                <w:vertAlign w:val="superscript"/>
                <w:lang w:val="pt-BR"/>
              </w:rPr>
              <w:t>º</w:t>
            </w:r>
            <w:r w:rsidRPr="008B3916">
              <w:rPr>
                <w:rFonts w:cs="Tahoma"/>
                <w:color w:val="000000"/>
                <w:szCs w:val="18"/>
                <w:lang w:val="pt-BR"/>
              </w:rPr>
              <w:t xml:space="preserve"> de dezembro de 2012</w:t>
            </w:r>
          </w:p>
        </w:tc>
        <w:tc>
          <w:tcPr>
            <w:tcW w:w="3600" w:type="dxa"/>
            <w:shd w:val="clear" w:color="auto" w:fill="auto"/>
          </w:tcPr>
          <w:p w:rsidR="00CD0D74" w:rsidRPr="008B3916" w:rsidRDefault="00CD0D74" w:rsidP="00C066F9">
            <w:pPr>
              <w:keepNext/>
              <w:keepLines/>
              <w:rPr>
                <w:lang w:val="pt-BR"/>
              </w:rPr>
            </w:pPr>
            <w:r w:rsidRPr="008B3916">
              <w:rPr>
                <w:rFonts w:cs="Tahoma"/>
                <w:color w:val="000000"/>
                <w:szCs w:val="18"/>
                <w:lang w:val="pt-BR"/>
              </w:rPr>
              <w:t xml:space="preserve">Uma licença do SharePoint Server 2013 </w:t>
            </w:r>
            <w:r w:rsidRPr="008B3916">
              <w:rPr>
                <w:rFonts w:cs="Tahoma"/>
                <w:b/>
                <w:color w:val="000000"/>
                <w:szCs w:val="18"/>
                <w:lang w:val="pt-BR"/>
              </w:rPr>
              <w:t>e</w:t>
            </w:r>
          </w:p>
          <w:p w:rsidR="00CD0D74" w:rsidRPr="008B3916" w:rsidRDefault="00CD0D74" w:rsidP="00C066F9">
            <w:pPr>
              <w:keepNext/>
              <w:keepLines/>
              <w:rPr>
                <w:lang w:val="pt-BR"/>
              </w:rPr>
            </w:pPr>
          </w:p>
          <w:p w:rsidR="00CD0D74" w:rsidRPr="00416070" w:rsidRDefault="00CD0D74" w:rsidP="00C066F9">
            <w:pPr>
              <w:keepNext/>
              <w:keepLines/>
              <w:rPr>
                <w:rFonts w:cs="Tahoma"/>
                <w:color w:val="000000"/>
                <w:szCs w:val="18"/>
              </w:rPr>
            </w:pPr>
            <w:r w:rsidRPr="00416070">
              <w:rPr>
                <w:rFonts w:cs="Tahoma"/>
                <w:color w:val="000000"/>
                <w:szCs w:val="18"/>
              </w:rPr>
              <w:t>100 CALs do SharePoint Server 2013 Standard</w:t>
            </w:r>
          </w:p>
        </w:tc>
      </w:tr>
    </w:tbl>
    <w:p w:rsidR="00586FCE" w:rsidRPr="00416070" w:rsidRDefault="00586FCE" w:rsidP="00586FCE"/>
    <w:p w:rsidR="002F7FB8" w:rsidRPr="008B3916" w:rsidRDefault="002F7FB8" w:rsidP="002F7FB8">
      <w:pPr>
        <w:ind w:left="720"/>
        <w:rPr>
          <w:lang w:val="pt-BR"/>
        </w:rPr>
      </w:pPr>
      <w:r w:rsidRPr="008B3916">
        <w:rPr>
          <w:rFonts w:cs="Tahoma"/>
          <w:color w:val="000000"/>
          <w:szCs w:val="18"/>
          <w:lang w:val="pt-BR"/>
        </w:rPr>
        <w:t>Os termos e as condições a seguir se aplicam à outorga de licença acima.</w:t>
      </w:r>
    </w:p>
    <w:p w:rsidR="002F7FB8" w:rsidRPr="008B3916" w:rsidRDefault="002F7FB8" w:rsidP="002F7FB8">
      <w:pPr>
        <w:ind w:left="720"/>
        <w:rPr>
          <w:lang w:val="pt-BR"/>
        </w:rPr>
      </w:pPr>
    </w:p>
    <w:p w:rsidR="002F7FB8" w:rsidRPr="008B3916" w:rsidRDefault="002F7FB8" w:rsidP="008C1816">
      <w:pPr>
        <w:numPr>
          <w:ilvl w:val="0"/>
          <w:numId w:val="124"/>
        </w:numPr>
        <w:spacing w:after="60"/>
        <w:ind w:left="1440"/>
        <w:rPr>
          <w:lang w:val="pt-BR"/>
        </w:rPr>
      </w:pPr>
      <w:r w:rsidRPr="008B3916">
        <w:rPr>
          <w:rFonts w:cs="Tahoma"/>
          <w:bCs/>
          <w:color w:val="000000"/>
          <w:szCs w:val="18"/>
          <w:u w:val="single"/>
          <w:lang w:val="pt-BR"/>
        </w:rPr>
        <w:t>Caminho de Migração</w:t>
      </w:r>
      <w:r w:rsidRPr="008B3916">
        <w:rPr>
          <w:rFonts w:cs="Tahoma"/>
          <w:color w:val="000000"/>
          <w:szCs w:val="18"/>
          <w:lang w:val="pt-BR"/>
        </w:rPr>
        <w:t>: os clientes com cobertura do Software Assurance ativa para uma determinada Licença Qualificada a partir de 1</w:t>
      </w:r>
      <w:r w:rsidRPr="008B3916">
        <w:rPr>
          <w:rFonts w:cs="Tahoma"/>
          <w:color w:val="000000"/>
          <w:szCs w:val="18"/>
          <w:vertAlign w:val="superscript"/>
          <w:lang w:val="pt-BR"/>
        </w:rPr>
        <w:t>º</w:t>
      </w:r>
      <w:r w:rsidRPr="008B3916">
        <w:rPr>
          <w:rFonts w:cs="Tahoma"/>
          <w:color w:val="000000"/>
          <w:szCs w:val="18"/>
          <w:lang w:val="pt-BR"/>
        </w:rPr>
        <w:t xml:space="preserve"> de dezembro de 2012 e mediante o lançamento do SharePoint Server 2013 estão qualificados para atualizar e usar o software SharePoint 2013 sob a</w:t>
      </w:r>
      <w:r w:rsidR="008C1816" w:rsidRPr="008B3916">
        <w:rPr>
          <w:rFonts w:cs="Tahoma"/>
          <w:color w:val="000000"/>
          <w:szCs w:val="18"/>
          <w:lang w:val="pt-BR"/>
        </w:rPr>
        <w:t> </w:t>
      </w:r>
      <w:r w:rsidRPr="008B3916">
        <w:rPr>
          <w:rFonts w:cs="Tahoma"/>
          <w:color w:val="000000"/>
          <w:szCs w:val="18"/>
          <w:lang w:val="pt-BR"/>
        </w:rPr>
        <w:t>Licença Complementar em vez da cópia licenciada correspondente do software de 2010.</w:t>
      </w:r>
    </w:p>
    <w:p w:rsidR="002F7FB8" w:rsidRPr="008B3916" w:rsidRDefault="002F7FB8" w:rsidP="008C1816">
      <w:pPr>
        <w:numPr>
          <w:ilvl w:val="0"/>
          <w:numId w:val="124"/>
        </w:numPr>
        <w:spacing w:after="60"/>
        <w:ind w:left="1440"/>
        <w:rPr>
          <w:lang w:val="pt-BR"/>
        </w:rPr>
      </w:pPr>
      <w:r w:rsidRPr="008B3916">
        <w:rPr>
          <w:rFonts w:cs="Tahoma"/>
          <w:color w:val="000000"/>
          <w:szCs w:val="18"/>
          <w:u w:val="single"/>
          <w:lang w:val="pt-BR"/>
        </w:rPr>
        <w:t>Direitos de uso</w:t>
      </w:r>
      <w:r w:rsidRPr="008B3916">
        <w:rPr>
          <w:rFonts w:cs="Tahoma"/>
          <w:color w:val="000000"/>
          <w:szCs w:val="18"/>
          <w:lang w:val="pt-BR"/>
        </w:rPr>
        <w:t>: O direito de usar o software sob as Licenças Complementares nessa oferta expirará quando o direito de usar o software sob as Licenças Qualificadas expirar.</w:t>
      </w:r>
      <w:r w:rsidR="00FB5496" w:rsidRPr="008B3916">
        <w:rPr>
          <w:rFonts w:cs="Tahoma"/>
          <w:color w:val="000000"/>
          <w:szCs w:val="18"/>
          <w:lang w:val="pt-BR"/>
        </w:rPr>
        <w:t xml:space="preserve"> </w:t>
      </w:r>
      <w:r w:rsidRPr="008B3916">
        <w:rPr>
          <w:rFonts w:cs="Tahoma"/>
          <w:color w:val="000000"/>
          <w:szCs w:val="18"/>
          <w:lang w:val="pt-BR"/>
        </w:rPr>
        <w:t>O uso desse software é regido pelos direitos de uso do software e pelos termos e condições do contrato de licenciamento por volume do cliente.</w:t>
      </w:r>
      <w:r w:rsidR="00FB5496" w:rsidRPr="008B3916">
        <w:rPr>
          <w:rFonts w:cs="Tahoma"/>
          <w:color w:val="000000"/>
          <w:szCs w:val="18"/>
          <w:lang w:val="pt-BR"/>
        </w:rPr>
        <w:t xml:space="preserve"> </w:t>
      </w:r>
      <w:r w:rsidRPr="008B3916">
        <w:rPr>
          <w:rFonts w:cs="Tahoma"/>
          <w:color w:val="000000"/>
          <w:szCs w:val="18"/>
          <w:lang w:val="pt-BR"/>
        </w:rPr>
        <w:t>Essa nota de condição do produto e a evidência do cliente da</w:t>
      </w:r>
      <w:r w:rsidR="008C1816" w:rsidRPr="008B3916">
        <w:rPr>
          <w:rFonts w:cs="Tahoma"/>
          <w:color w:val="000000"/>
          <w:szCs w:val="18"/>
          <w:lang w:val="pt-BR"/>
        </w:rPr>
        <w:t> </w:t>
      </w:r>
      <w:r w:rsidRPr="008B3916">
        <w:rPr>
          <w:rFonts w:cs="Tahoma"/>
          <w:color w:val="000000"/>
          <w:szCs w:val="18"/>
          <w:lang w:val="pt-BR"/>
        </w:rPr>
        <w:t>Licença Qualificada e do Software Assurance do cliente juntas comprovam o direito de usar o</w:t>
      </w:r>
      <w:r w:rsidR="008C1816" w:rsidRPr="008B3916">
        <w:rPr>
          <w:rFonts w:cs="Tahoma"/>
          <w:color w:val="000000"/>
          <w:szCs w:val="18"/>
          <w:lang w:val="pt-BR"/>
        </w:rPr>
        <w:t> </w:t>
      </w:r>
      <w:r w:rsidRPr="008B3916">
        <w:rPr>
          <w:rFonts w:cs="Tahoma"/>
          <w:color w:val="000000"/>
          <w:szCs w:val="18"/>
          <w:lang w:val="pt-BR"/>
        </w:rPr>
        <w:t>software sob a Lic</w:t>
      </w:r>
      <w:r w:rsidR="008C1816" w:rsidRPr="008B3916">
        <w:rPr>
          <w:rFonts w:cs="Tahoma"/>
          <w:color w:val="000000"/>
          <w:szCs w:val="18"/>
          <w:lang w:val="pt-BR"/>
        </w:rPr>
        <w:t>ença Complementar nessa oferta.</w:t>
      </w:r>
    </w:p>
    <w:p w:rsidR="002F7FB8" w:rsidRPr="008B3916" w:rsidRDefault="002F7FB8" w:rsidP="007B699C">
      <w:pPr>
        <w:numPr>
          <w:ilvl w:val="0"/>
          <w:numId w:val="8"/>
        </w:numPr>
        <w:spacing w:after="60"/>
        <w:ind w:left="1440"/>
        <w:rPr>
          <w:lang w:val="pt-BR"/>
        </w:rPr>
      </w:pPr>
      <w:r w:rsidRPr="008B3916">
        <w:rPr>
          <w:rFonts w:cs="Tahoma"/>
          <w:color w:val="000000"/>
          <w:szCs w:val="18"/>
          <w:u w:val="single"/>
          <w:lang w:val="pt-BR"/>
        </w:rPr>
        <w:t>Licença e Software Assurance (L&amp;SA)</w:t>
      </w:r>
      <w:r w:rsidRPr="008B3916">
        <w:rPr>
          <w:rFonts w:cs="Tahoma"/>
          <w:color w:val="000000"/>
          <w:szCs w:val="18"/>
          <w:lang w:val="pt-BR"/>
        </w:rPr>
        <w:t>: A Licença Complementar inclui a cobertura do Software Assurance.</w:t>
      </w:r>
      <w:r w:rsidR="00FB5496" w:rsidRPr="008B3916">
        <w:rPr>
          <w:rFonts w:cs="Tahoma"/>
          <w:color w:val="000000"/>
          <w:szCs w:val="18"/>
          <w:lang w:val="pt-BR"/>
        </w:rPr>
        <w:t xml:space="preserve"> </w:t>
      </w:r>
      <w:r w:rsidRPr="008B3916">
        <w:rPr>
          <w:rFonts w:cs="Tahoma"/>
          <w:color w:val="000000"/>
          <w:szCs w:val="18"/>
          <w:lang w:val="pt-BR"/>
        </w:rPr>
        <w:t>A cobertura do Software Assurance sobre a Licença Complementar expirará quando a cobertura da Licença Qualificada expirar.</w:t>
      </w:r>
      <w:r w:rsidR="00FB5496" w:rsidRPr="008B3916">
        <w:rPr>
          <w:rFonts w:cs="Tahoma"/>
          <w:color w:val="000000"/>
          <w:szCs w:val="18"/>
          <w:lang w:val="pt-BR"/>
        </w:rPr>
        <w:t xml:space="preserve"> </w:t>
      </w:r>
      <w:r w:rsidRPr="008B3916">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p>
    <w:p w:rsidR="002F7FB8" w:rsidRPr="008B3916" w:rsidRDefault="002F7FB8" w:rsidP="007B699C">
      <w:pPr>
        <w:numPr>
          <w:ilvl w:val="0"/>
          <w:numId w:val="125"/>
        </w:numPr>
        <w:spacing w:after="60"/>
        <w:ind w:left="1440"/>
        <w:rPr>
          <w:lang w:val="pt-BR"/>
        </w:rPr>
      </w:pPr>
      <w:r w:rsidRPr="008B3916">
        <w:rPr>
          <w:rFonts w:eastAsia="Calibri" w:cs="Tahoma"/>
          <w:color w:val="000000"/>
          <w:szCs w:val="18"/>
          <w:u w:val="single"/>
          <w:lang w:val="pt-BR"/>
        </w:rPr>
        <w:t>Adequações (“true-ups”)</w:t>
      </w:r>
      <w:r w:rsidRPr="008B3916">
        <w:rPr>
          <w:rFonts w:eastAsia="Calibri" w:cs="Tahoma"/>
          <w:bCs/>
          <w:color w:val="000000"/>
          <w:szCs w:val="18"/>
          <w:lang w:val="pt-BR"/>
        </w:rPr>
        <w:t>.</w:t>
      </w:r>
      <w:r w:rsidR="00FB5496" w:rsidRPr="008B3916">
        <w:rPr>
          <w:rFonts w:eastAsia="Calibri" w:cs="Tahoma"/>
          <w:color w:val="000000"/>
          <w:szCs w:val="18"/>
          <w:lang w:val="pt-BR"/>
        </w:rPr>
        <w:t xml:space="preserve"> </w:t>
      </w:r>
      <w:r w:rsidRPr="008B3916">
        <w:rPr>
          <w:rFonts w:eastAsia="Calibri" w:cs="Tahoma"/>
          <w:color w:val="000000"/>
          <w:szCs w:val="18"/>
          <w:lang w:val="pt-BR"/>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8B3916">
        <w:rPr>
          <w:rFonts w:cs="Tahoma"/>
          <w:color w:val="000000"/>
          <w:szCs w:val="20"/>
          <w:lang w:val="pt-BR"/>
        </w:rPr>
        <w:t xml:space="preserve">e FAST Search Server 2010 para SharePoint Server </w:t>
      </w:r>
      <w:r w:rsidRPr="008B3916">
        <w:rPr>
          <w:rFonts w:eastAsia="Calibri" w:cs="Tahoma"/>
          <w:color w:val="000000"/>
          <w:szCs w:val="18"/>
          <w:lang w:val="pt-BR"/>
        </w:rPr>
        <w:t xml:space="preserve">adquiridas como parte de um processo de adequações </w:t>
      </w:r>
      <w:r w:rsidR="008C1816" w:rsidRPr="008B3916">
        <w:rPr>
          <w:rFonts w:eastAsia="Calibri" w:cs="Tahoma"/>
          <w:color w:val="000000"/>
          <w:szCs w:val="18"/>
          <w:lang w:val="pt-BR"/>
        </w:rPr>
        <w:br/>
      </w:r>
      <w:r w:rsidRPr="008B3916">
        <w:rPr>
          <w:rFonts w:eastAsia="Calibri" w:cs="Tahoma"/>
          <w:color w:val="000000"/>
          <w:szCs w:val="18"/>
          <w:lang w:val="pt-BR"/>
        </w:rPr>
        <w:t xml:space="preserve">(“true-ups”) </w:t>
      </w:r>
      <w:r w:rsidRPr="008B3916">
        <w:rPr>
          <w:rFonts w:cs="Tahoma"/>
          <w:color w:val="000000"/>
          <w:szCs w:val="18"/>
          <w:lang w:val="pt-BR"/>
        </w:rPr>
        <w:t>anuais do cliente ta</w:t>
      </w:r>
      <w:r w:rsidR="008C1816" w:rsidRPr="008B3916">
        <w:rPr>
          <w:rFonts w:cs="Tahoma"/>
          <w:color w:val="000000"/>
          <w:szCs w:val="18"/>
          <w:lang w:val="pt-BR"/>
        </w:rPr>
        <w:t>mbém são licenças qualificadas.</w:t>
      </w:r>
    </w:p>
    <w:p w:rsidR="002F7FB8" w:rsidRPr="008B3916" w:rsidRDefault="002F7FB8" w:rsidP="007B699C">
      <w:pPr>
        <w:numPr>
          <w:ilvl w:val="0"/>
          <w:numId w:val="125"/>
        </w:numPr>
        <w:spacing w:after="60"/>
        <w:ind w:left="1440"/>
        <w:rPr>
          <w:lang w:val="pt-BR"/>
        </w:rPr>
      </w:pPr>
      <w:r w:rsidRPr="008B3916">
        <w:rPr>
          <w:rFonts w:cs="Tahoma"/>
          <w:color w:val="000000"/>
          <w:szCs w:val="18"/>
          <w:u w:val="single"/>
          <w:lang w:val="pt-BR"/>
        </w:rPr>
        <w:t>Contratos Subscription</w:t>
      </w:r>
      <w:r w:rsidRPr="008B3916">
        <w:rPr>
          <w:rFonts w:cs="Tahoma"/>
          <w:color w:val="000000"/>
          <w:szCs w:val="18"/>
          <w:lang w:val="pt-BR"/>
        </w:rPr>
        <w:t>.</w:t>
      </w:r>
      <w:r w:rsidR="00FB5496" w:rsidRPr="008B3916">
        <w:rPr>
          <w:rFonts w:cs="Tahoma"/>
          <w:color w:val="000000"/>
          <w:szCs w:val="18"/>
          <w:lang w:val="pt-BR"/>
        </w:rPr>
        <w:t xml:space="preserve"> </w:t>
      </w:r>
      <w:r w:rsidRPr="008B3916">
        <w:rPr>
          <w:rFonts w:cs="Tahoma"/>
          <w:color w:val="000000"/>
          <w:szCs w:val="18"/>
          <w:lang w:val="pt-BR"/>
        </w:rPr>
        <w:t xml:space="preserve">Para Enterprise Subscription, </w:t>
      </w:r>
      <w:r w:rsidRPr="008B3916">
        <w:rPr>
          <w:rFonts w:cs="Tahoma"/>
          <w:szCs w:val="18"/>
          <w:lang w:val="pt-BR"/>
        </w:rPr>
        <w:t>Open Value Subscription, Campus e School, Enrollment for Education Solutions e Open Value Subscription – Education Solutions, os mesmos direitos serão outorgados temporariamente sob as mesmas condições</w:t>
      </w:r>
      <w:r w:rsidRPr="008B3916">
        <w:rPr>
          <w:rFonts w:cs="Tahoma"/>
          <w:color w:val="000000"/>
          <w:szCs w:val="18"/>
          <w:lang w:val="pt-BR"/>
        </w:rPr>
        <w:t xml:space="preserve"> até o final do prazo do registro atual (ou prazo do contrato no caso do Open Value).</w:t>
      </w:r>
      <w:r w:rsidR="00FB5496" w:rsidRPr="008B3916">
        <w:rPr>
          <w:rFonts w:cs="Tahoma"/>
          <w:color w:val="000000"/>
          <w:szCs w:val="18"/>
          <w:lang w:val="pt-BR"/>
        </w:rPr>
        <w:t xml:space="preserve"> </w:t>
      </w:r>
      <w:r w:rsidRPr="008B3916">
        <w:rPr>
          <w:rFonts w:cs="Tahoma"/>
          <w:color w:val="000000"/>
          <w:szCs w:val="18"/>
          <w:lang w:val="pt-BR"/>
        </w:rPr>
        <w:t>O cliente deverá manter uma cobertura contínua da assinatura.</w:t>
      </w:r>
      <w:r w:rsidR="00FB5496" w:rsidRPr="008B3916">
        <w:rPr>
          <w:rFonts w:cs="Tahoma"/>
          <w:color w:val="000000"/>
          <w:szCs w:val="18"/>
          <w:lang w:val="pt-BR"/>
        </w:rPr>
        <w:t xml:space="preserve"> </w:t>
      </w:r>
      <w:r w:rsidRPr="008B3916">
        <w:rPr>
          <w:rFonts w:cs="Tahoma"/>
          <w:color w:val="000000"/>
          <w:szCs w:val="18"/>
          <w:lang w:val="pt-BR"/>
        </w:rPr>
        <w:t>Esses direitos só se tornarão permanentes se a opção de compra (“buy-out”) for exercida e continuarão sujeitos a todos os termos e condições do contrato de licença do cliente.</w:t>
      </w:r>
    </w:p>
    <w:p w:rsidR="002F7FB8" w:rsidRPr="008B3916" w:rsidRDefault="002F7FB8" w:rsidP="007B699C">
      <w:pPr>
        <w:numPr>
          <w:ilvl w:val="0"/>
          <w:numId w:val="126"/>
        </w:numPr>
        <w:spacing w:after="60"/>
        <w:ind w:left="1440"/>
        <w:rPr>
          <w:rFonts w:cs="Tahoma"/>
          <w:szCs w:val="18"/>
          <w:lang w:val="pt-BR"/>
        </w:rPr>
      </w:pPr>
      <w:r w:rsidRPr="008B3916">
        <w:rPr>
          <w:rFonts w:cs="Tahoma"/>
          <w:szCs w:val="18"/>
          <w:u w:val="single"/>
          <w:lang w:val="pt-BR"/>
        </w:rPr>
        <w:t>Transições do Contrato Campus e Escola</w:t>
      </w:r>
      <w:r w:rsidRPr="008B3916">
        <w:rPr>
          <w:rFonts w:cs="Tahoma"/>
          <w:szCs w:val="18"/>
          <w:lang w:val="pt-BR"/>
        </w:rPr>
        <w:t>. Para os clientes que estão fazendo transição a médio prazo dos contratos Campus e School para os contratos Enrollment for Education Solutions ou Open Value Subscription – Education Solutions enquanto mantêm a cobertura contínua de assinatura:</w:t>
      </w:r>
    </w:p>
    <w:p w:rsidR="002F7FB8" w:rsidRPr="008C1816" w:rsidRDefault="002F7FB8" w:rsidP="007B699C">
      <w:pPr>
        <w:pStyle w:val="ListParagraph"/>
        <w:numPr>
          <w:ilvl w:val="0"/>
          <w:numId w:val="105"/>
        </w:numPr>
        <w:spacing w:after="60"/>
        <w:ind w:left="1800"/>
        <w:rPr>
          <w:rFonts w:ascii="Tahoma" w:hAnsi="Tahoma" w:cs="Tahoma"/>
          <w:sz w:val="18"/>
          <w:szCs w:val="18"/>
        </w:rPr>
      </w:pPr>
      <w:r w:rsidRPr="008C1816">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rsidR="002512D3" w:rsidRPr="008C1816" w:rsidRDefault="002F7FB8" w:rsidP="008D0E85">
      <w:pPr>
        <w:pStyle w:val="ListParagraph"/>
        <w:numPr>
          <w:ilvl w:val="0"/>
          <w:numId w:val="105"/>
        </w:numPr>
        <w:spacing w:after="60"/>
        <w:ind w:left="1800"/>
        <w:rPr>
          <w:rFonts w:ascii="Tahoma" w:hAnsi="Tahoma" w:cs="Tahoma"/>
          <w:sz w:val="18"/>
          <w:szCs w:val="18"/>
        </w:rPr>
      </w:pPr>
      <w:r w:rsidRPr="008C1816">
        <w:rPr>
          <w:rFonts w:ascii="Tahoma" w:hAnsi="Tahoma" w:cs="Tahoma"/>
          <w:sz w:val="18"/>
          <w:szCs w:val="18"/>
        </w:rPr>
        <w:t>Esses direitos só se tornarão permanentes se a opção de compra (“buy-out”) for exercida e</w:t>
      </w:r>
      <w:r w:rsidR="008D0E85" w:rsidRPr="008B3916">
        <w:rPr>
          <w:rFonts w:ascii="Tahoma" w:hAnsi="Tahoma" w:cs="Tahoma"/>
          <w:sz w:val="18"/>
          <w:szCs w:val="18"/>
          <w:lang w:val="pt-BR"/>
        </w:rPr>
        <w:t> </w:t>
      </w:r>
      <w:r w:rsidRPr="008C1816">
        <w:rPr>
          <w:rFonts w:ascii="Tahoma" w:hAnsi="Tahoma" w:cs="Tahoma"/>
          <w:sz w:val="18"/>
          <w:szCs w:val="18"/>
        </w:rPr>
        <w:t>continuarão sujeitos a todos os termos e condições do contrato de licença do cliente.</w:t>
      </w:r>
    </w:p>
    <w:p w:rsidR="0004051B" w:rsidRPr="008B3916" w:rsidRDefault="0004051B" w:rsidP="0004051B">
      <w:pPr>
        <w:ind w:left="720"/>
        <w:rPr>
          <w:lang w:val="pt-BR"/>
        </w:rPr>
      </w:pPr>
    </w:p>
    <w:p w:rsidR="00557CB6" w:rsidRPr="008B3916" w:rsidRDefault="00557CB6" w:rsidP="0004051B">
      <w:pPr>
        <w:ind w:left="720"/>
        <w:rPr>
          <w:lang w:val="pt-BR"/>
        </w:rPr>
      </w:pPr>
    </w:p>
    <w:p w:rsidR="00557CB6" w:rsidRPr="008B3916" w:rsidRDefault="00557CB6" w:rsidP="0004051B">
      <w:pPr>
        <w:ind w:left="720"/>
        <w:rPr>
          <w:lang w:val="pt-BR"/>
        </w:rPr>
      </w:pPr>
    </w:p>
    <w:p w:rsidR="002F7FB8" w:rsidRPr="008B3916" w:rsidRDefault="002F7FB8" w:rsidP="007B699C">
      <w:pPr>
        <w:spacing w:after="60"/>
        <w:ind w:left="720"/>
        <w:rPr>
          <w:lang w:val="pt-BR"/>
        </w:rPr>
      </w:pPr>
      <w:r w:rsidRPr="008B3916">
        <w:rPr>
          <w:rFonts w:cs="Tahoma"/>
          <w:b/>
          <w:color w:val="000000"/>
          <w:szCs w:val="18"/>
          <w:lang w:val="pt-BR"/>
        </w:rPr>
        <w:t>Direitos excepcionais de downgrade do SharePoint Server 2013</w:t>
      </w:r>
    </w:p>
    <w:p w:rsidR="002F7FB8" w:rsidRPr="008B3916" w:rsidRDefault="002F7FB8" w:rsidP="002F7FB8">
      <w:pPr>
        <w:ind w:left="720"/>
        <w:rPr>
          <w:lang w:val="pt-BR"/>
        </w:rPr>
      </w:pPr>
      <w:r w:rsidRPr="008B3916">
        <w:rPr>
          <w:rFonts w:cs="Tahoma"/>
          <w:szCs w:val="18"/>
          <w:lang w:val="pt-BR"/>
        </w:rPr>
        <w:t>Os clientes licenciados para o SharePoint Server 2013 poderão acessar e usar qualquer um dos produtos listados na tabela abaixo em vez do SharePoint Server 2013, como pode ser visto a seguir:</w:t>
      </w:r>
    </w:p>
    <w:p w:rsidR="002F7FB8" w:rsidRPr="008B3916" w:rsidRDefault="002F7FB8" w:rsidP="002F7FB8">
      <w:pPr>
        <w:ind w:left="810"/>
        <w:rPr>
          <w:lang w:val="pt-BR"/>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2B5F9E"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416070" w:rsidRDefault="00BD1A6A" w:rsidP="007E466C">
            <w:pPr>
              <w:spacing w:before="60" w:after="60"/>
              <w:ind w:left="162"/>
              <w:rPr>
                <w:rFonts w:cs="Tahoma"/>
                <w:b/>
                <w:bCs/>
                <w:color w:val="000000"/>
                <w:szCs w:val="18"/>
              </w:rPr>
            </w:pPr>
            <w:r w:rsidRPr="00416070">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8B3916" w:rsidRDefault="00BD1A6A" w:rsidP="007E466C">
            <w:pPr>
              <w:spacing w:before="60" w:after="60"/>
              <w:ind w:left="180"/>
              <w:rPr>
                <w:rFonts w:cs="Tahoma"/>
                <w:b/>
                <w:bCs/>
                <w:color w:val="000000"/>
                <w:szCs w:val="18"/>
                <w:lang w:val="pt-BR"/>
              </w:rPr>
            </w:pPr>
            <w:r w:rsidRPr="008B3916">
              <w:rPr>
                <w:rFonts w:cs="Tahoma"/>
                <w:b/>
                <w:bCs/>
                <w:color w:val="000000"/>
                <w:szCs w:val="18"/>
                <w:lang w:val="pt-BR"/>
              </w:rPr>
              <w:t>Uso de Versão Anterior (Downgrade) para</w:t>
            </w:r>
          </w:p>
        </w:tc>
      </w:tr>
      <w:tr w:rsidR="00BD1A6A" w:rsidRPr="00416070"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416070" w:rsidRDefault="00BD1A6A" w:rsidP="00722522">
            <w:pPr>
              <w:ind w:left="162"/>
              <w:rPr>
                <w:rFonts w:cs="Tahoma"/>
                <w:color w:val="000000"/>
                <w:szCs w:val="18"/>
              </w:rPr>
            </w:pPr>
            <w:r w:rsidRPr="00416070">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rsidR="00BD1A6A" w:rsidRPr="00416070" w:rsidRDefault="00BD1A6A" w:rsidP="00F249BF">
            <w:pPr>
              <w:ind w:left="162" w:right="180"/>
            </w:pPr>
            <w:r w:rsidRPr="00416070">
              <w:rPr>
                <w:rFonts w:cs="Tahoma"/>
                <w:color w:val="000000"/>
                <w:szCs w:val="18"/>
              </w:rPr>
              <w:t xml:space="preserve">SharePoint Server 2010 </w:t>
            </w:r>
            <w:r w:rsidRPr="00416070">
              <w:rPr>
                <w:rFonts w:cs="Tahoma"/>
                <w:b/>
                <w:color w:val="000000"/>
                <w:szCs w:val="18"/>
              </w:rPr>
              <w:t>ou</w:t>
            </w:r>
          </w:p>
          <w:p w:rsidR="00BD1A6A" w:rsidRPr="00416070" w:rsidRDefault="00BD1A6A" w:rsidP="002C3AB1">
            <w:pPr>
              <w:ind w:left="162" w:right="180"/>
              <w:rPr>
                <w:rFonts w:cs="Tahoma"/>
                <w:color w:val="000000"/>
                <w:szCs w:val="18"/>
              </w:rPr>
            </w:pPr>
            <w:r w:rsidRPr="00416070">
              <w:rPr>
                <w:rFonts w:cs="Tahoma"/>
                <w:color w:val="000000"/>
                <w:szCs w:val="18"/>
              </w:rPr>
              <w:t xml:space="preserve">FAST Search Server 2010 para SharePoint Server </w:t>
            </w:r>
          </w:p>
        </w:tc>
      </w:tr>
    </w:tbl>
    <w:p w:rsidR="002F7FB8" w:rsidRPr="00416070" w:rsidRDefault="002F7FB8" w:rsidP="002F7FB8">
      <w:pPr>
        <w:ind w:left="810"/>
      </w:pPr>
    </w:p>
    <w:p w:rsidR="002F7FB8" w:rsidRPr="008B3916" w:rsidRDefault="002F7FB8" w:rsidP="002F7FB8">
      <w:pPr>
        <w:ind w:left="720"/>
        <w:rPr>
          <w:lang w:val="pt-BR"/>
        </w:rPr>
      </w:pPr>
      <w:r w:rsidRPr="008B3916">
        <w:rPr>
          <w:rFonts w:cs="Tahoma"/>
          <w:color w:val="000000"/>
          <w:szCs w:val="18"/>
          <w:lang w:val="pt-BR"/>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w:t>
      </w:r>
      <w:r w:rsidR="00557CB6" w:rsidRPr="008B3916">
        <w:rPr>
          <w:rFonts w:cs="Tahoma"/>
          <w:color w:val="000000"/>
          <w:szCs w:val="18"/>
          <w:lang w:val="pt-BR"/>
        </w:rPr>
        <w:t> </w:t>
      </w:r>
      <w:r w:rsidRPr="008B3916">
        <w:rPr>
          <w:rFonts w:cs="Tahoma"/>
          <w:color w:val="000000"/>
          <w:szCs w:val="18"/>
          <w:lang w:val="pt-BR"/>
        </w:rPr>
        <w:t>das licenças do SharePoint Server.</w:t>
      </w:r>
    </w:p>
    <w:p w:rsidR="002F7FB8" w:rsidRPr="008B3916" w:rsidRDefault="002F7FB8" w:rsidP="002F7FB8">
      <w:pPr>
        <w:ind w:left="720"/>
        <w:rPr>
          <w:lang w:val="pt-BR"/>
        </w:rPr>
      </w:pPr>
    </w:p>
    <w:p w:rsidR="002F7FB8" w:rsidRPr="008B3916" w:rsidRDefault="002F7FB8" w:rsidP="00031ABF">
      <w:pPr>
        <w:spacing w:after="60"/>
        <w:ind w:left="720"/>
        <w:rPr>
          <w:lang w:val="pt-BR"/>
        </w:rPr>
      </w:pPr>
      <w:r w:rsidRPr="008B3916">
        <w:rPr>
          <w:rFonts w:cs="Tahoma"/>
          <w:b/>
          <w:color w:val="000000"/>
          <w:szCs w:val="18"/>
          <w:lang w:val="pt-BR"/>
        </w:rPr>
        <w:t xml:space="preserve">Extensão dos direitos de Aplicativos Auto-hospedados de Software Assurance para Clientes do SharePoint Server </w:t>
      </w:r>
      <w:bookmarkStart w:id="1372" w:name="Srv_65SharepointSvr10IntSites"/>
      <w:bookmarkStart w:id="1373" w:name="_Toc336338336"/>
      <w:bookmarkStart w:id="1374" w:name="Srv_66SharepointSvr10IntSites"/>
      <w:bookmarkStart w:id="1375" w:name="Srv_63SharepointSvr07IntSites"/>
      <w:bookmarkStart w:id="1376" w:name="Srv_64SharepointSvr07IntSites"/>
      <w:r w:rsidRPr="008B3916">
        <w:rPr>
          <w:rFonts w:cs="Tahoma"/>
          <w:b/>
          <w:color w:val="000000"/>
          <w:szCs w:val="18"/>
          <w:lang w:val="pt-BR"/>
        </w:rPr>
        <w:t>para Internet Sites Enterprise</w:t>
      </w:r>
      <w:bookmarkEnd w:id="1372"/>
      <w:bookmarkEnd w:id="1373"/>
      <w:bookmarkEnd w:id="1374"/>
      <w:bookmarkEnd w:id="1375"/>
    </w:p>
    <w:bookmarkEnd w:id="1376"/>
    <w:p w:rsidR="002F7FB8" w:rsidRPr="008B3916" w:rsidRDefault="002F7FB8" w:rsidP="008C1816">
      <w:pPr>
        <w:ind w:left="720"/>
        <w:rPr>
          <w:lang w:val="pt-BR"/>
        </w:rPr>
      </w:pPr>
      <w:r w:rsidRPr="008B3916">
        <w:rPr>
          <w:rFonts w:cs="Tahoma"/>
          <w:color w:val="000000"/>
          <w:szCs w:val="18"/>
          <w:lang w:val="pt-BR"/>
        </w:rPr>
        <w:t>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“Servidores – Aplicativos Auto-hospedados” dos Direitos de Uso do Produto. Uma vez que os clientes mantêm a cobertura de Software Assurance em suas licenças complementares do SharePoint Server 2013, o direito de usar o</w:t>
      </w:r>
      <w:r w:rsidR="008C1816" w:rsidRPr="008B3916">
        <w:rPr>
          <w:rFonts w:cs="Tahoma"/>
          <w:color w:val="000000"/>
          <w:szCs w:val="18"/>
          <w:lang w:val="pt-BR"/>
        </w:rPr>
        <w:t> </w:t>
      </w:r>
      <w:r w:rsidRPr="008B3916">
        <w:rPr>
          <w:rFonts w:cs="Tahoma"/>
          <w:color w:val="000000"/>
          <w:szCs w:val="18"/>
          <w:lang w:val="pt-BR"/>
        </w:rPr>
        <w:t>SharePoint Server 2013 desta forma se aplica até a disponibilidade da versão sucessora do SharePoint Server 2013.</w:t>
      </w:r>
    </w:p>
    <w:p w:rsidR="000D76F0" w:rsidRPr="008B3916" w:rsidRDefault="000D76F0" w:rsidP="00031ABF">
      <w:pPr>
        <w:rPr>
          <w:lang w:val="pt-BR"/>
        </w:rPr>
      </w:pPr>
    </w:p>
    <w:p w:rsidR="00023FE7" w:rsidRPr="00416070" w:rsidRDefault="00023FE7" w:rsidP="00697E59">
      <w:pPr>
        <w:pStyle w:val="EndnoteText"/>
        <w:ind w:left="0"/>
      </w:pPr>
      <w:bookmarkStart w:id="1377" w:name="_78_SharePoint™_Server"/>
      <w:bookmarkStart w:id="1378" w:name="_Toc336338339"/>
      <w:bookmarkStart w:id="1379" w:name="Srv_81SQLSvr08R2DataCenter"/>
      <w:bookmarkEnd w:id="1377"/>
    </w:p>
    <w:p w:rsidR="00A81E83" w:rsidRPr="00416070" w:rsidRDefault="0099402E" w:rsidP="00A81E83">
      <w:pPr>
        <w:pStyle w:val="Heading3"/>
      </w:pPr>
      <w:bookmarkStart w:id="1380" w:name="_75_73_SQL"/>
      <w:bookmarkStart w:id="1381" w:name="_Toc352234399"/>
      <w:bookmarkStart w:id="1382" w:name="Srv_69SQLSvr08EntandEntProc"/>
      <w:bookmarkStart w:id="1383" w:name="Srv_70SQLSvr08EntandEntProc"/>
      <w:bookmarkStart w:id="1384" w:name="Srv_72SQLSvr08R2developer"/>
      <w:bookmarkStart w:id="1385" w:name="Srv_72SQLSvr08R2DataCenter"/>
      <w:bookmarkEnd w:id="1380"/>
      <w:r w:rsidRPr="00416070">
        <w:rPr>
          <w:rFonts w:ascii="Tahoma" w:hAnsi="Tahoma"/>
          <w:caps/>
          <w:color w:val="F66400"/>
          <w:sz w:val="22"/>
          <w:vertAlign w:val="superscript"/>
        </w:rPr>
        <w:t>73</w:t>
      </w:r>
      <w:r w:rsidRPr="00416070">
        <w:rPr>
          <w:rFonts w:ascii="Tahoma" w:hAnsi="Tahoma"/>
          <w:color w:val="F66400"/>
          <w:sz w:val="22"/>
        </w:rPr>
        <w:t xml:space="preserve"> SQL Server</w:t>
      </w:r>
      <w:r w:rsidR="00510A6E" w:rsidRPr="00416070">
        <w:rPr>
          <w:rFonts w:ascii="Tahoma" w:hAnsi="Tahoma"/>
          <w:color w:val="F66400"/>
          <w:sz w:val="22"/>
          <w:vertAlign w:val="superscript"/>
        </w:rPr>
        <w:t>®</w:t>
      </w:r>
      <w:r w:rsidRPr="00416070">
        <w:rPr>
          <w:rFonts w:ascii="Tahoma" w:hAnsi="Tahoma"/>
          <w:color w:val="F66400"/>
          <w:sz w:val="22"/>
        </w:rPr>
        <w:t xml:space="preserve"> 2008 R2 Datacenter</w:t>
      </w:r>
      <w:bookmarkEnd w:id="1378"/>
      <w:bookmarkEnd w:id="1381"/>
    </w:p>
    <w:bookmarkEnd w:id="1379"/>
    <w:p w:rsidR="00A81E83" w:rsidRPr="008B3916" w:rsidRDefault="00A81E83" w:rsidP="00031ABF">
      <w:pPr>
        <w:rPr>
          <w:lang w:val="pt-BR"/>
        </w:rPr>
      </w:pPr>
    </w:p>
    <w:p w:rsidR="00031ABF" w:rsidRPr="008B3916" w:rsidRDefault="00A81E83" w:rsidP="00031ABF">
      <w:pPr>
        <w:spacing w:after="60"/>
        <w:ind w:left="720"/>
        <w:rPr>
          <w:lang w:val="pt-BR"/>
        </w:rPr>
      </w:pPr>
      <w:r w:rsidRPr="008B3916">
        <w:rPr>
          <w:rFonts w:cs="Tahoma"/>
          <w:b/>
          <w:color w:val="000000"/>
          <w:szCs w:val="18"/>
          <w:lang w:val="pt-BR"/>
        </w:rPr>
        <w:t>Outorga de Licença Associadas à Alteração no Modelo de Licenciamento e ao Término da Validade do SQL Server Datacenter</w:t>
      </w:r>
    </w:p>
    <w:p w:rsidR="00A81E83" w:rsidRPr="008B3916" w:rsidRDefault="00A81E83" w:rsidP="008C1816">
      <w:pPr>
        <w:ind w:left="720"/>
        <w:rPr>
          <w:lang w:val="pt-BR"/>
        </w:rPr>
      </w:pPr>
      <w:r w:rsidRPr="008B3916">
        <w:rPr>
          <w:color w:val="000000"/>
          <w:lang w:val="pt-BR"/>
        </w:rPr>
        <w:t>O SQL Server 2008 R2 será a última versão do SQL Server licenciada sob o modelo de licenciamento por processador e a última versão do SQL Server Datacenter.</w:t>
      </w:r>
      <w:r w:rsidR="00FB5496" w:rsidRPr="008B3916">
        <w:rPr>
          <w:color w:val="000000"/>
          <w:lang w:val="pt-BR"/>
        </w:rPr>
        <w:t xml:space="preserve"> </w:t>
      </w:r>
      <w:r w:rsidRPr="008B3916">
        <w:rPr>
          <w:color w:val="000000"/>
          <w:lang w:val="pt-BR"/>
        </w:rPr>
        <w:t>Como uma exceção, aos clientes de licenciamento por volume com Software Assurance ativo para licenças do processador do SQL Server 2008 R2 Datacenter em 1</w:t>
      </w:r>
      <w:r w:rsidRPr="008B3916">
        <w:rPr>
          <w:color w:val="000000"/>
          <w:vertAlign w:val="superscript"/>
          <w:lang w:val="pt-BR"/>
        </w:rPr>
        <w:t>º</w:t>
      </w:r>
      <w:r w:rsidRPr="008B3916">
        <w:rPr>
          <w:color w:val="000000"/>
          <w:lang w:val="pt-BR"/>
        </w:rPr>
        <w:t xml:space="preserve"> de abril de 2012 (“licenças qualificadas”) são concedidas as seguintes opções. As licenças do processador do SQL Server 2008 R2 Datacenter </w:t>
      </w:r>
      <w:r w:rsidRPr="008B3916">
        <w:rPr>
          <w:rFonts w:cs="Tahoma"/>
          <w:bCs/>
          <w:color w:val="000000"/>
          <w:szCs w:val="18"/>
          <w:lang w:val="pt-BR"/>
        </w:rPr>
        <w:t>adquiridas posteriormente no mesmo prazo de registro, mas antes de 1</w:t>
      </w:r>
      <w:r w:rsidRPr="008B3916">
        <w:rPr>
          <w:rFonts w:cs="Tahoma"/>
          <w:bCs/>
          <w:color w:val="000000"/>
          <w:szCs w:val="18"/>
          <w:vertAlign w:val="superscript"/>
          <w:lang w:val="pt-BR"/>
        </w:rPr>
        <w:t>º</w:t>
      </w:r>
      <w:r w:rsidRPr="008B3916">
        <w:rPr>
          <w:rFonts w:cs="Tahoma"/>
          <w:bCs/>
          <w:color w:val="000000"/>
          <w:szCs w:val="18"/>
          <w:lang w:val="pt-BR"/>
        </w:rPr>
        <w:t xml:space="preserve"> de abril de 2015 como parte de um processo de adequação (“true-up”) programado do</w:t>
      </w:r>
      <w:r w:rsidR="008C1816" w:rsidRPr="008B3916">
        <w:rPr>
          <w:rFonts w:cs="Tahoma"/>
          <w:bCs/>
          <w:color w:val="000000"/>
          <w:szCs w:val="18"/>
          <w:lang w:val="pt-BR"/>
        </w:rPr>
        <w:t> </w:t>
      </w:r>
      <w:r w:rsidRPr="008B3916">
        <w:rPr>
          <w:rFonts w:cs="Tahoma"/>
          <w:bCs/>
          <w:color w:val="000000"/>
          <w:szCs w:val="18"/>
          <w:lang w:val="pt-BR"/>
        </w:rPr>
        <w:t>cliente Enterprise, Enterprise Subscription, Open Value Subscription ou EES também são “licenças qualificadas” para fins dessas opções.</w:t>
      </w:r>
      <w:r w:rsidR="00FB5496" w:rsidRPr="008B3916">
        <w:rPr>
          <w:rFonts w:cs="Tahoma"/>
          <w:bCs/>
          <w:color w:val="000000"/>
          <w:szCs w:val="18"/>
          <w:lang w:val="pt-BR"/>
        </w:rPr>
        <w:t xml:space="preserve"> </w:t>
      </w:r>
      <w:r w:rsidRPr="008B3916">
        <w:rPr>
          <w:rFonts w:cs="Tahoma"/>
          <w:bCs/>
          <w:color w:val="000000"/>
          <w:szCs w:val="18"/>
          <w:lang w:val="pt-BR"/>
        </w:rPr>
        <w:t>As licenças adquiridas depois de 1</w:t>
      </w:r>
      <w:r w:rsidRPr="008B3916">
        <w:rPr>
          <w:rFonts w:cs="Tahoma"/>
          <w:bCs/>
          <w:color w:val="000000"/>
          <w:szCs w:val="18"/>
          <w:vertAlign w:val="superscript"/>
          <w:lang w:val="pt-BR"/>
        </w:rPr>
        <w:t>º</w:t>
      </w:r>
      <w:r w:rsidRPr="008B3916">
        <w:rPr>
          <w:rFonts w:cs="Tahoma"/>
          <w:bCs/>
          <w:color w:val="000000"/>
          <w:szCs w:val="18"/>
          <w:lang w:val="pt-BR"/>
        </w:rPr>
        <w:t xml:space="preserve"> de abril de 2015 ou sob um prazo</w:t>
      </w:r>
      <w:r w:rsidR="00557CB6" w:rsidRPr="008B3916">
        <w:rPr>
          <w:rFonts w:cs="Tahoma"/>
          <w:bCs/>
          <w:color w:val="000000"/>
          <w:szCs w:val="18"/>
          <w:lang w:val="pt-BR"/>
        </w:rPr>
        <w:t> </w:t>
      </w:r>
      <w:r w:rsidRPr="008B3916">
        <w:rPr>
          <w:rFonts w:cs="Tahoma"/>
          <w:bCs/>
          <w:color w:val="000000"/>
          <w:szCs w:val="18"/>
          <w:lang w:val="pt-BR"/>
        </w:rPr>
        <w:t>de registro subsequente, um contrato separado ou qualquer registro com uma data de início de vigência após 1</w:t>
      </w:r>
      <w:r w:rsidRPr="008B3916">
        <w:rPr>
          <w:rFonts w:cs="Tahoma"/>
          <w:bCs/>
          <w:color w:val="000000"/>
          <w:szCs w:val="18"/>
          <w:vertAlign w:val="superscript"/>
          <w:lang w:val="pt-BR"/>
        </w:rPr>
        <w:t>º</w:t>
      </w:r>
      <w:r w:rsidRPr="008B3916">
        <w:rPr>
          <w:rFonts w:cs="Tahoma"/>
          <w:bCs/>
          <w:color w:val="000000"/>
          <w:szCs w:val="18"/>
          <w:lang w:val="pt-BR"/>
        </w:rPr>
        <w:t xml:space="preserve"> de abril de 2012 não são licenças qualificadas.</w:t>
      </w:r>
    </w:p>
    <w:p w:rsidR="00031ABF" w:rsidRPr="008B3916" w:rsidRDefault="00031ABF" w:rsidP="00031ABF">
      <w:pPr>
        <w:ind w:left="720"/>
        <w:rPr>
          <w:lang w:val="pt-BR"/>
        </w:rPr>
      </w:pPr>
    </w:p>
    <w:p w:rsidR="00031ABF" w:rsidRPr="008B3916" w:rsidRDefault="00031ABF" w:rsidP="00031ABF">
      <w:pPr>
        <w:spacing w:after="60"/>
        <w:ind w:left="720"/>
        <w:rPr>
          <w:lang w:val="pt-BR"/>
        </w:rPr>
      </w:pPr>
      <w:r w:rsidRPr="008B3916">
        <w:rPr>
          <w:rFonts w:cs="Tahoma"/>
          <w:b/>
          <w:color w:val="000000"/>
          <w:szCs w:val="18"/>
          <w:lang w:val="pt-BR"/>
        </w:rPr>
        <w:t>Prazo Atual</w:t>
      </w:r>
    </w:p>
    <w:p w:rsidR="00A81E83" w:rsidRPr="008B3916" w:rsidRDefault="00A81E83" w:rsidP="00031ABF">
      <w:pPr>
        <w:ind w:left="720"/>
        <w:contextualSpacing/>
        <w:rPr>
          <w:lang w:val="pt-BR"/>
        </w:rPr>
      </w:pPr>
      <w:r w:rsidRPr="008B3916">
        <w:rPr>
          <w:rFonts w:eastAsia="Calibri" w:cs="Tahoma"/>
          <w:szCs w:val="18"/>
          <w:lang w:val="pt-BR"/>
        </w:rPr>
        <w:t>Durante o prazo atual da sua cobertura de Software Assurance a partir de 1</w:t>
      </w:r>
      <w:r w:rsidRPr="008B3916">
        <w:rPr>
          <w:rFonts w:eastAsia="Calibri" w:cs="Tahoma"/>
          <w:szCs w:val="18"/>
          <w:vertAlign w:val="superscript"/>
          <w:lang w:val="pt-BR"/>
        </w:rPr>
        <w:t>º</w:t>
      </w:r>
      <w:r w:rsidRPr="008B3916">
        <w:rPr>
          <w:rFonts w:eastAsia="Calibri" w:cs="Tahoma"/>
          <w:szCs w:val="18"/>
          <w:lang w:val="pt-BR"/>
        </w:rPr>
        <w:t xml:space="preserve"> de abril de 2012, os clientes (incluindo aqueles sob contratos de assinatura) podem, sob qualquer licença qualificada, atualizar e usar o</w:t>
      </w:r>
      <w:r w:rsidR="00557CB6" w:rsidRPr="008B3916">
        <w:rPr>
          <w:rFonts w:eastAsia="Calibri" w:cs="Tahoma"/>
          <w:szCs w:val="18"/>
          <w:lang w:val="pt-BR"/>
        </w:rPr>
        <w:t> </w:t>
      </w:r>
      <w:r w:rsidRPr="008B3916">
        <w:rPr>
          <w:rFonts w:eastAsia="Calibri" w:cs="Tahoma"/>
          <w:szCs w:val="18"/>
          <w:lang w:val="pt-BR"/>
        </w:rPr>
        <w:t>SQL Server 2012 Enterprise Core em vez do SQL Server 2008 R2 Datacenter sujeito aos direitos de uso do</w:t>
      </w:r>
      <w:r w:rsidR="00557CB6" w:rsidRPr="008B3916">
        <w:rPr>
          <w:rFonts w:eastAsia="Calibri" w:cs="Tahoma"/>
          <w:szCs w:val="18"/>
          <w:lang w:val="pt-BR"/>
        </w:rPr>
        <w:t> </w:t>
      </w:r>
      <w:r w:rsidRPr="008B3916">
        <w:rPr>
          <w:rFonts w:eastAsia="Calibri" w:cs="Tahoma"/>
          <w:szCs w:val="18"/>
          <w:lang w:val="pt-BR"/>
        </w:rPr>
        <w:t>produto de licença do processador do SQL Server 2008 R2 Enterprise (conforme os Direitos de Uso do Produto de janeiro de 2012). Esses clientes também têm os direitos de uso da “Virtualização Ilimitada” conforme descrito nas notas do produto do SQL Server 2012 Enterprise nesta Lista de Produtos.</w:t>
      </w:r>
    </w:p>
    <w:p w:rsidR="00031ABF" w:rsidRPr="008B3916" w:rsidRDefault="00031ABF" w:rsidP="00031ABF">
      <w:pPr>
        <w:ind w:left="720"/>
        <w:contextualSpacing/>
        <w:rPr>
          <w:lang w:val="pt-BR"/>
        </w:rPr>
      </w:pPr>
    </w:p>
    <w:p w:rsidR="00557CB6" w:rsidRPr="008B3916" w:rsidRDefault="00557CB6" w:rsidP="00031ABF">
      <w:pPr>
        <w:ind w:left="720"/>
        <w:contextualSpacing/>
        <w:rPr>
          <w:lang w:val="pt-BR"/>
        </w:rPr>
      </w:pPr>
    </w:p>
    <w:p w:rsidR="00557CB6" w:rsidRPr="008B3916" w:rsidRDefault="00557CB6" w:rsidP="00031ABF">
      <w:pPr>
        <w:ind w:left="720"/>
        <w:contextualSpacing/>
        <w:rPr>
          <w:lang w:val="pt-BR"/>
        </w:rPr>
      </w:pPr>
    </w:p>
    <w:p w:rsidR="00557CB6" w:rsidRPr="008B3916" w:rsidRDefault="00557CB6" w:rsidP="00031ABF">
      <w:pPr>
        <w:ind w:left="720"/>
        <w:contextualSpacing/>
        <w:rPr>
          <w:lang w:val="pt-BR"/>
        </w:rPr>
      </w:pPr>
    </w:p>
    <w:p w:rsidR="00557CB6" w:rsidRPr="008B3916" w:rsidRDefault="00557CB6" w:rsidP="00031ABF">
      <w:pPr>
        <w:ind w:left="720"/>
        <w:contextualSpacing/>
        <w:rPr>
          <w:lang w:val="pt-BR"/>
        </w:rPr>
      </w:pPr>
    </w:p>
    <w:p w:rsidR="00557CB6" w:rsidRPr="008B3916" w:rsidRDefault="00557CB6" w:rsidP="00031ABF">
      <w:pPr>
        <w:ind w:left="720"/>
        <w:contextualSpacing/>
        <w:rPr>
          <w:lang w:val="pt-BR"/>
        </w:rPr>
      </w:pPr>
    </w:p>
    <w:p w:rsidR="00557CB6" w:rsidRPr="008B3916" w:rsidRDefault="00557CB6" w:rsidP="00031ABF">
      <w:pPr>
        <w:ind w:left="720"/>
        <w:contextualSpacing/>
        <w:rPr>
          <w:lang w:val="pt-BR"/>
        </w:rPr>
      </w:pPr>
    </w:p>
    <w:p w:rsidR="00557CB6" w:rsidRPr="008B3916" w:rsidRDefault="00557CB6" w:rsidP="00031ABF">
      <w:pPr>
        <w:ind w:left="720"/>
        <w:contextualSpacing/>
        <w:rPr>
          <w:lang w:val="pt-BR"/>
        </w:rPr>
      </w:pPr>
    </w:p>
    <w:p w:rsidR="00557CB6" w:rsidRPr="008B3916" w:rsidRDefault="00557CB6" w:rsidP="00031ABF">
      <w:pPr>
        <w:ind w:left="720"/>
        <w:contextualSpacing/>
        <w:rPr>
          <w:lang w:val="pt-BR"/>
        </w:rPr>
      </w:pPr>
    </w:p>
    <w:p w:rsidR="00031ABF" w:rsidRPr="008B3916" w:rsidRDefault="00A81E83" w:rsidP="00031ABF">
      <w:pPr>
        <w:spacing w:after="60"/>
        <w:ind w:left="720"/>
        <w:rPr>
          <w:lang w:val="pt-BR"/>
        </w:rPr>
      </w:pPr>
      <w:r w:rsidRPr="008B3916">
        <w:rPr>
          <w:rFonts w:cs="Tahoma"/>
          <w:b/>
          <w:color w:val="000000"/>
          <w:szCs w:val="18"/>
          <w:lang w:val="pt-BR"/>
        </w:rPr>
        <w:t>Primeiro Prazo de Renovação (antes de 1</w:t>
      </w:r>
      <w:r w:rsidRPr="008B3916">
        <w:rPr>
          <w:rFonts w:cs="Tahoma"/>
          <w:b/>
          <w:color w:val="000000"/>
          <w:szCs w:val="18"/>
          <w:vertAlign w:val="superscript"/>
          <w:lang w:val="pt-BR"/>
        </w:rPr>
        <w:t>º</w:t>
      </w:r>
      <w:r w:rsidRPr="008B3916">
        <w:rPr>
          <w:rFonts w:cs="Tahoma"/>
          <w:b/>
          <w:color w:val="000000"/>
          <w:szCs w:val="18"/>
          <w:lang w:val="pt-BR"/>
        </w:rPr>
        <w:t xml:space="preserve"> de abril de 2015)</w:t>
      </w:r>
    </w:p>
    <w:p w:rsidR="00A81E83" w:rsidRPr="008B3916" w:rsidRDefault="00A81E83" w:rsidP="00031ABF">
      <w:pPr>
        <w:tabs>
          <w:tab w:val="left" w:pos="720"/>
        </w:tabs>
        <w:ind w:left="720"/>
        <w:contextualSpacing/>
        <w:rPr>
          <w:lang w:val="pt-BR"/>
        </w:rPr>
      </w:pPr>
      <w:r w:rsidRPr="008B3916">
        <w:rPr>
          <w:rFonts w:eastAsia="Calibri" w:cs="Tahoma"/>
          <w:szCs w:val="18"/>
          <w:lang w:val="pt-BR"/>
        </w:rPr>
        <w:t>Na sua primeira renovação de Software Assurance em ou depois de 1</w:t>
      </w:r>
      <w:r w:rsidRPr="008B3916">
        <w:rPr>
          <w:rFonts w:eastAsia="Calibri" w:cs="Tahoma"/>
          <w:szCs w:val="18"/>
          <w:vertAlign w:val="superscript"/>
          <w:lang w:val="pt-BR"/>
        </w:rPr>
        <w:t>º</w:t>
      </w:r>
      <w:r w:rsidRPr="008B3916">
        <w:rPr>
          <w:rFonts w:eastAsia="Calibri" w:cs="Tahoma"/>
          <w:szCs w:val="18"/>
          <w:lang w:val="pt-BR"/>
        </w:rPr>
        <w:t xml:space="preserve"> de abril de 2012 (mas antes de </w:t>
      </w:r>
      <w:r w:rsidR="00557CB6" w:rsidRPr="008B3916">
        <w:rPr>
          <w:rFonts w:eastAsia="Calibri" w:cs="Tahoma"/>
          <w:szCs w:val="18"/>
          <w:lang w:val="pt-BR"/>
        </w:rPr>
        <w:br/>
      </w:r>
      <w:r w:rsidRPr="008B3916">
        <w:rPr>
          <w:rFonts w:eastAsia="Calibri" w:cs="Tahoma"/>
          <w:szCs w:val="18"/>
          <w:lang w:val="pt-BR"/>
        </w:rPr>
        <w:t>1</w:t>
      </w:r>
      <w:r w:rsidRPr="008B3916">
        <w:rPr>
          <w:rFonts w:eastAsia="Calibri" w:cs="Tahoma"/>
          <w:szCs w:val="18"/>
          <w:vertAlign w:val="superscript"/>
          <w:lang w:val="pt-BR"/>
        </w:rPr>
        <w:t>º</w:t>
      </w:r>
      <w:r w:rsidRPr="008B3916">
        <w:rPr>
          <w:rFonts w:eastAsia="Calibri" w:cs="Tahoma"/>
          <w:szCs w:val="18"/>
          <w:lang w:val="pt-BR"/>
        </w:rPr>
        <w:t xml:space="preserve"> de abril de 2015), para cada servidor que um cliente tiver licenciado corretamente sob os direitos de uso do</w:t>
      </w:r>
      <w:r w:rsidR="00557CB6" w:rsidRPr="008B3916">
        <w:rPr>
          <w:rFonts w:eastAsia="Calibri" w:cs="Tahoma"/>
          <w:szCs w:val="18"/>
          <w:lang w:val="pt-BR"/>
        </w:rPr>
        <w:t> </w:t>
      </w:r>
      <w:r w:rsidRPr="008B3916">
        <w:rPr>
          <w:rFonts w:eastAsia="Calibri" w:cs="Tahoma"/>
          <w:szCs w:val="18"/>
          <w:lang w:val="pt-BR"/>
        </w:rPr>
        <w:t>produto da licença do processador do SQL Server 2008 R2, o cliente poderá adquirir licenças principais do Software Assurance para SQL Server Enterprise sem adquirir as licenças principais subjacentes para uma</w:t>
      </w:r>
      <w:r w:rsidR="00557CB6" w:rsidRPr="008B3916">
        <w:rPr>
          <w:rFonts w:eastAsia="Calibri" w:cs="Tahoma"/>
          <w:szCs w:val="18"/>
          <w:lang w:val="pt-BR"/>
        </w:rPr>
        <w:t> </w:t>
      </w:r>
      <w:r w:rsidRPr="008B3916">
        <w:rPr>
          <w:rFonts w:eastAsia="Calibri" w:cs="Tahoma"/>
          <w:szCs w:val="18"/>
          <w:lang w:val="pt-BR"/>
        </w:rPr>
        <w:t>série de licenças principais iguais à soma de (a) e (b):</w:t>
      </w:r>
    </w:p>
    <w:p w:rsidR="00A81E83" w:rsidRPr="008B3916" w:rsidRDefault="00A81E83" w:rsidP="00031ABF">
      <w:pPr>
        <w:numPr>
          <w:ilvl w:val="1"/>
          <w:numId w:val="64"/>
        </w:numPr>
        <w:tabs>
          <w:tab w:val="left" w:pos="1440"/>
        </w:tabs>
        <w:contextualSpacing/>
        <w:rPr>
          <w:lang w:val="pt-BR"/>
        </w:rPr>
      </w:pPr>
      <w:r w:rsidRPr="008B3916">
        <w:rPr>
          <w:rFonts w:eastAsia="Calibri" w:cs="Tahoma"/>
          <w:szCs w:val="18"/>
          <w:lang w:val="pt-BR"/>
        </w:rPr>
        <w:t>um número igual ao menor número de licenças qualificadas atribuído ao servidor ou o número total</w:t>
      </w:r>
      <w:r w:rsidR="00557CB6" w:rsidRPr="008B3916">
        <w:rPr>
          <w:rFonts w:eastAsia="Calibri" w:cs="Tahoma"/>
          <w:szCs w:val="18"/>
          <w:lang w:val="pt-BR"/>
        </w:rPr>
        <w:t> </w:t>
      </w:r>
      <w:r w:rsidRPr="008B3916">
        <w:rPr>
          <w:rFonts w:eastAsia="Calibri" w:cs="Tahoma"/>
          <w:szCs w:val="18"/>
          <w:lang w:val="pt-BR"/>
        </w:rPr>
        <w:t xml:space="preserve">de processadores físicos no servidor multiplicado pelo maior de: </w:t>
      </w:r>
    </w:p>
    <w:p w:rsidR="00A81E83" w:rsidRPr="00416070" w:rsidRDefault="00A81E83" w:rsidP="00031ABF">
      <w:pPr>
        <w:numPr>
          <w:ilvl w:val="2"/>
          <w:numId w:val="68"/>
        </w:numPr>
        <w:tabs>
          <w:tab w:val="left" w:pos="1800"/>
        </w:tabs>
        <w:ind w:left="1800" w:hanging="360"/>
        <w:contextualSpacing/>
      </w:pPr>
      <w:r w:rsidRPr="00416070">
        <w:rPr>
          <w:rFonts w:eastAsia="Calibri" w:cs="Tahoma"/>
          <w:szCs w:val="18"/>
        </w:rPr>
        <w:t>Oito OU</w:t>
      </w:r>
    </w:p>
    <w:p w:rsidR="00A81E83" w:rsidRPr="008B3916" w:rsidRDefault="00A81E83" w:rsidP="00031ABF">
      <w:pPr>
        <w:numPr>
          <w:ilvl w:val="2"/>
          <w:numId w:val="68"/>
        </w:numPr>
        <w:tabs>
          <w:tab w:val="left" w:pos="1800"/>
        </w:tabs>
        <w:ind w:left="1800" w:hanging="360"/>
        <w:contextualSpacing/>
        <w:rPr>
          <w:lang w:val="pt-BR"/>
        </w:rPr>
      </w:pPr>
      <w:r w:rsidRPr="008B3916">
        <w:rPr>
          <w:rFonts w:eastAsia="Calibri" w:cs="Tahoma"/>
          <w:szCs w:val="18"/>
          <w:lang w:val="pt-BR"/>
        </w:rPr>
        <w:t>o número real de núcleos por processador físico multiplicado pelo fator do núcleo apropriado.</w:t>
      </w:r>
      <w:r w:rsidR="00FB5496" w:rsidRPr="008B3916">
        <w:rPr>
          <w:rFonts w:eastAsia="Calibri" w:cs="Tahoma"/>
          <w:szCs w:val="18"/>
          <w:lang w:val="pt-BR"/>
        </w:rPr>
        <w:t xml:space="preserve"> </w:t>
      </w:r>
      <w:r w:rsidRPr="008B3916">
        <w:rPr>
          <w:rFonts w:eastAsia="Calibri" w:cs="Tahoma"/>
          <w:szCs w:val="18"/>
          <w:lang w:val="pt-BR"/>
        </w:rPr>
        <w:t xml:space="preserve">(Nos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w:t>
      </w:r>
      <w:r w:rsidR="008D0E85" w:rsidRPr="008B3916">
        <w:rPr>
          <w:rFonts w:eastAsia="Calibri" w:cs="Tahoma"/>
          <w:szCs w:val="18"/>
          <w:lang w:val="pt-BR"/>
        </w:rPr>
        <w:t>qualquer software equivalente.)</w:t>
      </w:r>
    </w:p>
    <w:p w:rsidR="00A81E83" w:rsidRPr="008B3916" w:rsidRDefault="00A81E83" w:rsidP="00031ABF">
      <w:pPr>
        <w:numPr>
          <w:ilvl w:val="1"/>
          <w:numId w:val="64"/>
        </w:numPr>
        <w:tabs>
          <w:tab w:val="left" w:pos="1440"/>
          <w:tab w:val="left" w:pos="2970"/>
        </w:tabs>
        <w:contextualSpacing/>
        <w:rPr>
          <w:lang w:val="pt-BR"/>
        </w:rPr>
      </w:pPr>
      <w:r w:rsidRPr="008B3916">
        <w:rPr>
          <w:rFonts w:eastAsia="Calibri" w:cs="Tahoma"/>
          <w:szCs w:val="18"/>
          <w:lang w:val="pt-BR"/>
        </w:rPr>
        <w:t>um número igual ao número das licenças qatribuído ao servidor em excesso do número real de processadores físicos no servidor multiplicado por oito.</w:t>
      </w:r>
    </w:p>
    <w:p w:rsidR="00031ABF" w:rsidRPr="008B3916" w:rsidRDefault="00031ABF" w:rsidP="00031ABF">
      <w:pPr>
        <w:ind w:left="720"/>
        <w:contextualSpacing/>
        <w:rPr>
          <w:lang w:val="pt-BR"/>
        </w:rPr>
      </w:pPr>
    </w:p>
    <w:p w:rsidR="00031ABF" w:rsidRPr="008B3916" w:rsidRDefault="00A81E83" w:rsidP="00031ABF">
      <w:pPr>
        <w:spacing w:after="60"/>
        <w:ind w:left="720"/>
        <w:rPr>
          <w:lang w:val="pt-BR"/>
        </w:rPr>
      </w:pPr>
      <w:r w:rsidRPr="008B3916">
        <w:rPr>
          <w:rFonts w:eastAsia="Calibri" w:cs="Tahoma"/>
          <w:b/>
          <w:szCs w:val="18"/>
          <w:lang w:val="pt-BR"/>
        </w:rPr>
        <w:t>Primeiro Prazo de Renovação (em ou após 1</w:t>
      </w:r>
      <w:r w:rsidRPr="008B3916">
        <w:rPr>
          <w:rFonts w:eastAsia="Calibri" w:cs="Tahoma"/>
          <w:b/>
          <w:szCs w:val="18"/>
          <w:vertAlign w:val="superscript"/>
          <w:lang w:val="pt-BR"/>
        </w:rPr>
        <w:t>º</w:t>
      </w:r>
      <w:r w:rsidRPr="008B3916">
        <w:rPr>
          <w:rFonts w:eastAsia="Calibri" w:cs="Tahoma"/>
          <w:b/>
          <w:szCs w:val="18"/>
          <w:lang w:val="pt-BR"/>
        </w:rPr>
        <w:t xml:space="preserve"> de abril de 2015)</w:t>
      </w:r>
    </w:p>
    <w:p w:rsidR="00A81E83" w:rsidRPr="008B3916" w:rsidRDefault="00A81E83" w:rsidP="00031ABF">
      <w:pPr>
        <w:ind w:left="720"/>
        <w:contextualSpacing/>
        <w:rPr>
          <w:lang w:val="pt-BR"/>
        </w:rPr>
      </w:pPr>
      <w:r w:rsidRPr="008B3916">
        <w:rPr>
          <w:rFonts w:eastAsia="Calibri" w:cs="Tahoma"/>
          <w:color w:val="000000"/>
          <w:szCs w:val="18"/>
          <w:lang w:val="pt-BR"/>
        </w:rPr>
        <w:t>Os clientes que renovaram primeiro a cobertura em ou depois de 1</w:t>
      </w:r>
      <w:r w:rsidR="00557CB6" w:rsidRPr="008B3916">
        <w:rPr>
          <w:rFonts w:eastAsia="Calibri" w:cs="Tahoma"/>
          <w:szCs w:val="18"/>
          <w:vertAlign w:val="superscript"/>
          <w:lang w:val="pt-BR"/>
        </w:rPr>
        <w:t>º</w:t>
      </w:r>
      <w:r w:rsidRPr="008B3916">
        <w:rPr>
          <w:rFonts w:eastAsia="Calibri" w:cs="Tahoma"/>
          <w:color w:val="000000"/>
          <w:szCs w:val="18"/>
          <w:lang w:val="pt-BR"/>
        </w:rPr>
        <w:t>. de abril de 2015</w:t>
      </w:r>
      <w:r w:rsidRPr="008B3916">
        <w:rPr>
          <w:rFonts w:eastAsia="Calibri" w:cs="Tahoma"/>
          <w:szCs w:val="18"/>
          <w:lang w:val="pt-BR"/>
        </w:rPr>
        <w:t xml:space="preserve"> poderão, para qualquer servidor no qual eles estejam devidamente licenciados sob os direitos de uso do produto da licença</w:t>
      </w:r>
      <w:r w:rsidR="00557CB6" w:rsidRPr="008B3916">
        <w:rPr>
          <w:rFonts w:eastAsia="Calibri" w:cs="Tahoma"/>
          <w:szCs w:val="18"/>
          <w:lang w:val="pt-BR"/>
        </w:rPr>
        <w:t> </w:t>
      </w:r>
      <w:r w:rsidRPr="008B3916">
        <w:rPr>
          <w:rFonts w:eastAsia="Calibri" w:cs="Tahoma"/>
          <w:szCs w:val="18"/>
          <w:lang w:val="pt-BR"/>
        </w:rPr>
        <w:t>do processador SQK Server 2008 R2, adquirir o Software Assurance, como pode ser visto a seguir:</w:t>
      </w:r>
    </w:p>
    <w:p w:rsidR="00031ABF" w:rsidRPr="008B3916" w:rsidRDefault="00031ABF" w:rsidP="00031ABF">
      <w:pPr>
        <w:ind w:left="720"/>
        <w:contextualSpacing/>
        <w:rPr>
          <w:lang w:val="pt-BR"/>
        </w:rPr>
      </w:pPr>
    </w:p>
    <w:p w:rsidR="00A81E83" w:rsidRPr="008B3916" w:rsidRDefault="00A81E83" w:rsidP="00031ABF">
      <w:pPr>
        <w:numPr>
          <w:ilvl w:val="2"/>
          <w:numId w:val="64"/>
        </w:numPr>
        <w:spacing w:after="60"/>
        <w:ind w:left="1440"/>
        <w:rPr>
          <w:lang w:val="pt-BR"/>
        </w:rPr>
      </w:pPr>
      <w:r w:rsidRPr="008B3916">
        <w:rPr>
          <w:rFonts w:eastAsia="Calibri" w:cs="Tahoma"/>
          <w:szCs w:val="18"/>
          <w:lang w:val="pt-BR"/>
        </w:rPr>
        <w:t>Conforme fornecido no primeiro parágrafo desta nota do produto, as licenças adquiridas antes de</w:t>
      </w:r>
      <w:r w:rsidR="00557CB6" w:rsidRPr="008B3916">
        <w:rPr>
          <w:rFonts w:eastAsia="Calibri" w:cs="Tahoma"/>
          <w:szCs w:val="18"/>
          <w:lang w:val="pt-BR"/>
        </w:rPr>
        <w:t> </w:t>
      </w:r>
      <w:r w:rsidRPr="008B3916">
        <w:rPr>
          <w:rFonts w:eastAsia="Calibri" w:cs="Tahoma"/>
          <w:szCs w:val="18"/>
          <w:lang w:val="pt-BR"/>
        </w:rPr>
        <w:t>1</w:t>
      </w:r>
      <w:r w:rsidRPr="008B3916">
        <w:rPr>
          <w:rFonts w:eastAsia="Calibri" w:cs="Tahoma"/>
          <w:szCs w:val="18"/>
          <w:vertAlign w:val="superscript"/>
          <w:lang w:val="pt-BR"/>
        </w:rPr>
        <w:t>º</w:t>
      </w:r>
      <w:r w:rsidRPr="008B3916">
        <w:rPr>
          <w:rFonts w:eastAsia="Calibri" w:cs="Tahoma"/>
          <w:szCs w:val="18"/>
          <w:lang w:val="pt-BR"/>
        </w:rPr>
        <w:t xml:space="preserve"> de abril de 2015 são licenças qualificadas, e os clientes poderão renovar o SA de acordo com</w:t>
      </w:r>
      <w:r w:rsidR="00557CB6" w:rsidRPr="008B3916">
        <w:rPr>
          <w:rFonts w:eastAsia="Calibri" w:cs="Tahoma"/>
          <w:szCs w:val="18"/>
          <w:lang w:val="pt-BR"/>
        </w:rPr>
        <w:t> </w:t>
      </w:r>
      <w:r w:rsidRPr="008B3916">
        <w:rPr>
          <w:rFonts w:eastAsia="Calibri" w:cs="Tahoma"/>
          <w:szCs w:val="18"/>
          <w:lang w:val="pt-BR"/>
        </w:rPr>
        <w:t>os termos na seção “Primeiro Prazo de Renovação (Antes de 1</w:t>
      </w:r>
      <w:r w:rsidRPr="008B3916">
        <w:rPr>
          <w:rFonts w:eastAsia="Calibri" w:cs="Tahoma"/>
          <w:szCs w:val="18"/>
          <w:vertAlign w:val="superscript"/>
          <w:lang w:val="pt-BR"/>
        </w:rPr>
        <w:t>º</w:t>
      </w:r>
      <w:r w:rsidRPr="008B3916">
        <w:rPr>
          <w:rFonts w:eastAsia="Calibri" w:cs="Tahoma"/>
          <w:szCs w:val="18"/>
          <w:lang w:val="pt-BR"/>
        </w:rPr>
        <w:t xml:space="preserve"> de abril de 2015)</w:t>
      </w:r>
      <w:r w:rsidR="00910E93" w:rsidRPr="008B3916">
        <w:rPr>
          <w:rFonts w:eastAsia="Calibri" w:cs="Tahoma"/>
          <w:szCs w:val="18"/>
          <w:lang w:val="pt-BR"/>
        </w:rPr>
        <w:t>”</w:t>
      </w:r>
      <w:r w:rsidRPr="008B3916">
        <w:rPr>
          <w:rFonts w:eastAsia="Calibri" w:cs="Tahoma"/>
          <w:szCs w:val="18"/>
          <w:lang w:val="pt-BR"/>
        </w:rPr>
        <w:t xml:space="preserve"> acima e</w:t>
      </w:r>
    </w:p>
    <w:p w:rsidR="00A81E83" w:rsidRPr="008B3916" w:rsidRDefault="00A81E83" w:rsidP="00031ABF">
      <w:pPr>
        <w:numPr>
          <w:ilvl w:val="2"/>
          <w:numId w:val="64"/>
        </w:numPr>
        <w:spacing w:after="60"/>
        <w:ind w:left="1440"/>
        <w:rPr>
          <w:lang w:val="pt-BR"/>
        </w:rPr>
      </w:pPr>
      <w:r w:rsidRPr="008B3916">
        <w:rPr>
          <w:rFonts w:eastAsia="Calibri" w:cs="Tahoma"/>
          <w:szCs w:val="18"/>
          <w:lang w:val="pt-BR"/>
        </w:rPr>
        <w:t>Para as licenças adquiridas depois de 1</w:t>
      </w:r>
      <w:r w:rsidRPr="008B3916">
        <w:rPr>
          <w:rFonts w:eastAsia="Calibri" w:cs="Tahoma"/>
          <w:szCs w:val="18"/>
          <w:vertAlign w:val="superscript"/>
          <w:lang w:val="pt-BR"/>
        </w:rPr>
        <w:t>º</w:t>
      </w:r>
      <w:r w:rsidRPr="008B3916">
        <w:rPr>
          <w:rFonts w:eastAsia="Calibri" w:cs="Tahoma"/>
          <w:szCs w:val="18"/>
          <w:lang w:val="pt-BR"/>
        </w:rPr>
        <w:t xml:space="preserve"> de abril de 2015, os clientes poderão renovar a SA para oito licenças principais do SQL Server Enterprise sem adquirir as licenças principais subjacentes para cada licença do processador SQL Server 2008 R2 Datacenter. Para o uso contínuo do SQL</w:t>
      </w:r>
      <w:r w:rsidR="00615CB9" w:rsidRPr="008B3916">
        <w:rPr>
          <w:rFonts w:eastAsia="Calibri" w:cs="Tahoma"/>
          <w:szCs w:val="18"/>
          <w:lang w:val="pt-BR"/>
        </w:rPr>
        <w:t> </w:t>
      </w:r>
      <w:r w:rsidRPr="008B3916">
        <w:rPr>
          <w:rFonts w:eastAsia="Calibri" w:cs="Tahoma"/>
          <w:szCs w:val="18"/>
          <w:lang w:val="pt-BR"/>
        </w:rPr>
        <w:t>Server 2012 em processadores que exigem mais de oito licenças principais por processador, o</w:t>
      </w:r>
      <w:r w:rsidR="00615CB9" w:rsidRPr="008B3916">
        <w:rPr>
          <w:rFonts w:eastAsia="Calibri" w:cs="Tahoma"/>
          <w:szCs w:val="18"/>
          <w:lang w:val="pt-BR"/>
        </w:rPr>
        <w:t> </w:t>
      </w:r>
      <w:r w:rsidRPr="008B3916">
        <w:rPr>
          <w:rFonts w:eastAsia="Calibri" w:cs="Tahoma"/>
          <w:szCs w:val="18"/>
          <w:lang w:val="pt-BR"/>
        </w:rPr>
        <w:t>cliente tem que adquirir licenças principais adicionais.</w:t>
      </w:r>
    </w:p>
    <w:p w:rsidR="00031ABF" w:rsidRPr="008B3916" w:rsidRDefault="00031ABF" w:rsidP="00031ABF">
      <w:pPr>
        <w:ind w:left="1440"/>
        <w:contextualSpacing/>
        <w:rPr>
          <w:lang w:val="pt-BR"/>
        </w:rPr>
      </w:pPr>
    </w:p>
    <w:p w:rsidR="00A81E83" w:rsidRPr="008B3916" w:rsidRDefault="00A81E83" w:rsidP="00031ABF">
      <w:pPr>
        <w:ind w:left="720"/>
        <w:contextualSpacing/>
        <w:rPr>
          <w:lang w:val="pt-BR"/>
        </w:rPr>
      </w:pPr>
      <w:r w:rsidRPr="008B3916">
        <w:rPr>
          <w:rFonts w:eastAsia="Calibri" w:cs="Tahoma"/>
          <w:szCs w:val="18"/>
          <w:lang w:val="pt-BR"/>
        </w:rPr>
        <w:t>As licenças do processador dos clientes não são mais válidas na aquisição do Software Assurance para as</w:t>
      </w:r>
      <w:r w:rsidR="00557CB6" w:rsidRPr="008B3916">
        <w:rPr>
          <w:rFonts w:eastAsia="Calibri" w:cs="Tahoma"/>
          <w:szCs w:val="18"/>
          <w:lang w:val="pt-BR"/>
        </w:rPr>
        <w:t> </w:t>
      </w:r>
      <w:r w:rsidRPr="008B3916">
        <w:rPr>
          <w:rFonts w:eastAsia="Calibri" w:cs="Tahoma"/>
          <w:szCs w:val="18"/>
          <w:lang w:val="pt-BR"/>
        </w:rPr>
        <w:t>licenças principais sob esta oferta. A opção de adquirir o Software Assurance para licenças principais do</w:t>
      </w:r>
      <w:r w:rsidR="00557CB6" w:rsidRPr="008B3916">
        <w:rPr>
          <w:rFonts w:eastAsia="Calibri" w:cs="Tahoma"/>
          <w:szCs w:val="18"/>
          <w:lang w:val="pt-BR"/>
        </w:rPr>
        <w:t> </w:t>
      </w:r>
      <w:r w:rsidRPr="008B3916">
        <w:rPr>
          <w:rFonts w:eastAsia="Calibri" w:cs="Tahoma"/>
          <w:szCs w:val="18"/>
          <w:lang w:val="pt-BR"/>
        </w:rPr>
        <w:t>SQL Server não é aplicável à renovação de cobertura sob os programas de assinatura.</w:t>
      </w:r>
    </w:p>
    <w:p w:rsidR="00031ABF" w:rsidRPr="008B3916" w:rsidRDefault="00031ABF" w:rsidP="00031ABF">
      <w:pPr>
        <w:tabs>
          <w:tab w:val="left" w:pos="720"/>
        </w:tabs>
        <w:ind w:left="720"/>
        <w:contextualSpacing/>
        <w:rPr>
          <w:lang w:val="pt-BR"/>
        </w:rPr>
      </w:pPr>
    </w:p>
    <w:p w:rsidR="00031ABF" w:rsidRPr="008B3916" w:rsidRDefault="00A81E83" w:rsidP="00031ABF">
      <w:pPr>
        <w:tabs>
          <w:tab w:val="left" w:pos="720"/>
        </w:tabs>
        <w:spacing w:after="60"/>
        <w:ind w:left="720"/>
        <w:rPr>
          <w:lang w:val="pt-BR"/>
        </w:rPr>
      </w:pPr>
      <w:r w:rsidRPr="008B3916">
        <w:rPr>
          <w:rFonts w:eastAsia="Calibri" w:cs="Tahoma"/>
          <w:b/>
          <w:szCs w:val="18"/>
          <w:lang w:val="pt-BR"/>
        </w:rPr>
        <w:t>Para os clientes com cobertura de Software Assurance que expiram antes de 1</w:t>
      </w:r>
      <w:r w:rsidRPr="008B3916">
        <w:rPr>
          <w:rFonts w:eastAsia="Calibri" w:cs="Tahoma"/>
          <w:b/>
          <w:szCs w:val="18"/>
          <w:vertAlign w:val="superscript"/>
          <w:lang w:val="pt-BR"/>
        </w:rPr>
        <w:t>º</w:t>
      </w:r>
      <w:r w:rsidRPr="008B3916">
        <w:rPr>
          <w:rFonts w:eastAsia="Calibri" w:cs="Tahoma"/>
          <w:b/>
          <w:szCs w:val="18"/>
          <w:lang w:val="pt-BR"/>
        </w:rPr>
        <w:t xml:space="preserve"> de abril de 2015 que optaram pela não renovação</w:t>
      </w:r>
    </w:p>
    <w:p w:rsidR="00A81E83" w:rsidRPr="008B3916" w:rsidRDefault="00A81E83" w:rsidP="00031ABF">
      <w:pPr>
        <w:tabs>
          <w:tab w:val="left" w:pos="720"/>
        </w:tabs>
        <w:ind w:left="720"/>
        <w:contextualSpacing/>
        <w:rPr>
          <w:lang w:val="pt-BR"/>
        </w:rPr>
      </w:pPr>
      <w:r w:rsidRPr="008B3916">
        <w:rPr>
          <w:rFonts w:eastAsia="Calibri" w:cs="Tahoma"/>
          <w:szCs w:val="18"/>
          <w:lang w:val="pt-BR"/>
        </w:rPr>
        <w:t xml:space="preserve">Os clientes do Enterprise Subscription </w:t>
      </w:r>
      <w:r w:rsidRPr="008B3916">
        <w:rPr>
          <w:rFonts w:cs="Tahoma"/>
          <w:bCs/>
          <w:color w:val="000000"/>
          <w:szCs w:val="18"/>
          <w:lang w:val="pt-BR"/>
        </w:rPr>
        <w:t xml:space="preserve">e Open Value Subscription </w:t>
      </w:r>
      <w:r w:rsidRPr="008B3916">
        <w:rPr>
          <w:rFonts w:eastAsia="Calibri" w:cs="Tahoma"/>
          <w:szCs w:val="18"/>
          <w:lang w:val="pt-BR"/>
        </w:rPr>
        <w:t xml:space="preserve">com cobertura expirando antes de </w:t>
      </w:r>
      <w:r w:rsidR="00557CB6" w:rsidRPr="008B3916">
        <w:rPr>
          <w:rFonts w:eastAsia="Calibri" w:cs="Tahoma"/>
          <w:szCs w:val="18"/>
          <w:lang w:val="pt-BR"/>
        </w:rPr>
        <w:br/>
      </w:r>
      <w:r w:rsidRPr="008B3916">
        <w:rPr>
          <w:rFonts w:eastAsia="Calibri" w:cs="Tahoma"/>
          <w:szCs w:val="18"/>
          <w:lang w:val="pt-BR"/>
        </w:rPr>
        <w:t>1</w:t>
      </w:r>
      <w:r w:rsidRPr="008B3916">
        <w:rPr>
          <w:rFonts w:eastAsia="Calibri" w:cs="Tahoma"/>
          <w:szCs w:val="18"/>
          <w:vertAlign w:val="superscript"/>
          <w:lang w:val="pt-BR"/>
        </w:rPr>
        <w:t>º</w:t>
      </w:r>
      <w:r w:rsidRPr="008B3916">
        <w:rPr>
          <w:rFonts w:eastAsia="Calibri" w:cs="Tahoma"/>
          <w:szCs w:val="18"/>
          <w:lang w:val="pt-BR"/>
        </w:rPr>
        <w:t xml:space="preserve"> de abril de 2015 que optarem por comprar licenças de processador e quaisquer outros clientes que adquirirem licenças perpétuas sob este contrato e optarem por não renovar o Software Assurance poderão</w:t>
      </w:r>
      <w:r w:rsidR="00557CB6" w:rsidRPr="008B3916">
        <w:rPr>
          <w:rFonts w:eastAsia="Calibri" w:cs="Tahoma"/>
          <w:szCs w:val="18"/>
          <w:lang w:val="pt-BR"/>
        </w:rPr>
        <w:t> </w:t>
      </w:r>
      <w:r w:rsidRPr="008B3916">
        <w:rPr>
          <w:rFonts w:eastAsia="Calibri" w:cs="Tahoma"/>
          <w:szCs w:val="18"/>
          <w:lang w:val="pt-BR"/>
        </w:rPr>
        <w:t>executar o SQL Server 2008 R2 ou SQL Server 2012 sob essas licenças da seguinte forma:</w:t>
      </w:r>
    </w:p>
    <w:p w:rsidR="00CA0E2D" w:rsidRPr="008B3916" w:rsidRDefault="00CA0E2D" w:rsidP="00031ABF">
      <w:pPr>
        <w:tabs>
          <w:tab w:val="left" w:pos="720"/>
        </w:tabs>
        <w:ind w:left="720"/>
        <w:contextualSpacing/>
        <w:rPr>
          <w:lang w:val="pt-BR"/>
        </w:rPr>
      </w:pPr>
    </w:p>
    <w:p w:rsidR="00A81E83" w:rsidRPr="008B3916" w:rsidRDefault="00A81E83" w:rsidP="00CA0E2D">
      <w:pPr>
        <w:numPr>
          <w:ilvl w:val="0"/>
          <w:numId w:val="65"/>
        </w:numPr>
        <w:tabs>
          <w:tab w:val="left" w:pos="1440"/>
        </w:tabs>
        <w:spacing w:after="60"/>
        <w:rPr>
          <w:lang w:val="pt-BR"/>
        </w:rPr>
      </w:pPr>
      <w:r w:rsidRPr="008B3916">
        <w:rPr>
          <w:rFonts w:eastAsia="Calibri" w:cs="Tahoma"/>
          <w:b/>
          <w:szCs w:val="18"/>
          <w:lang w:val="pt-BR"/>
        </w:rPr>
        <w:t>SQL Server 2008 R2 Datacenter:</w:t>
      </w:r>
      <w:r w:rsidRPr="008B3916">
        <w:rPr>
          <w:rFonts w:eastAsia="Calibri" w:cs="Tahoma"/>
          <w:szCs w:val="18"/>
          <w:lang w:val="pt-BR"/>
        </w:rPr>
        <w:t xml:space="preserve"> O uso contínuo desta versão do software está sujeito aos direitos de uso do produto de licença do processador do SQL Server 2008 R2 Datacenter. </w:t>
      </w:r>
    </w:p>
    <w:p w:rsidR="00A81E83" w:rsidRPr="008B3916" w:rsidRDefault="00A81E83" w:rsidP="00CA0E2D">
      <w:pPr>
        <w:numPr>
          <w:ilvl w:val="0"/>
          <w:numId w:val="65"/>
        </w:numPr>
        <w:tabs>
          <w:tab w:val="left" w:pos="1440"/>
          <w:tab w:val="left" w:pos="2970"/>
        </w:tabs>
        <w:spacing w:after="60"/>
        <w:rPr>
          <w:lang w:val="pt-BR"/>
        </w:rPr>
      </w:pPr>
      <w:r w:rsidRPr="008B3916">
        <w:rPr>
          <w:rFonts w:eastAsia="Calibri" w:cs="Tahoma"/>
          <w:b/>
          <w:szCs w:val="18"/>
          <w:lang w:val="pt-BR"/>
        </w:rPr>
        <w:t xml:space="preserve">SQL Server 2012 Enterprise Core: </w:t>
      </w:r>
      <w:r w:rsidRPr="008B3916">
        <w:rPr>
          <w:rFonts w:eastAsia="Calibri" w:cs="Tahoma"/>
          <w:szCs w:val="18"/>
          <w:lang w:val="pt-BR"/>
        </w:rPr>
        <w:t>O uso desta versão do software está sujeito aos direitos de</w:t>
      </w:r>
      <w:r w:rsidR="00557CB6" w:rsidRPr="008B3916">
        <w:rPr>
          <w:rFonts w:eastAsia="Calibri" w:cs="Tahoma"/>
          <w:szCs w:val="18"/>
          <w:lang w:val="pt-BR"/>
        </w:rPr>
        <w:t> </w:t>
      </w:r>
      <w:r w:rsidRPr="008B3916">
        <w:rPr>
          <w:rFonts w:eastAsia="Calibri" w:cs="Tahoma"/>
          <w:szCs w:val="18"/>
          <w:lang w:val="pt-BR"/>
        </w:rPr>
        <w:t xml:space="preserve">uso do produto de licença do processador do SQL Server 2008 R2 Enterprise, no entanto: </w:t>
      </w:r>
    </w:p>
    <w:p w:rsidR="00A81E83" w:rsidRPr="008B3916" w:rsidRDefault="00A81E83" w:rsidP="00CA0E2D">
      <w:pPr>
        <w:numPr>
          <w:ilvl w:val="1"/>
          <w:numId w:val="65"/>
        </w:numPr>
        <w:tabs>
          <w:tab w:val="left" w:pos="1800"/>
        </w:tabs>
        <w:spacing w:after="60"/>
        <w:ind w:left="1800"/>
        <w:rPr>
          <w:lang w:val="pt-BR"/>
        </w:rPr>
      </w:pPr>
      <w:r w:rsidRPr="008B3916">
        <w:rPr>
          <w:rFonts w:eastAsia="Calibri" w:cs="Tahoma"/>
          <w:szCs w:val="18"/>
          <w:lang w:val="pt-BR"/>
        </w:rPr>
        <w:t>os clientes não têm mais direitos de uso de Virtualização Ilimitada, Mobilidade de Licença nos</w:t>
      </w:r>
      <w:r w:rsidR="00557CB6" w:rsidRPr="008B3916">
        <w:rPr>
          <w:rFonts w:eastAsia="Calibri" w:cs="Tahoma"/>
          <w:szCs w:val="18"/>
          <w:lang w:val="pt-BR"/>
        </w:rPr>
        <w:t> </w:t>
      </w:r>
      <w:r w:rsidRPr="008B3916">
        <w:rPr>
          <w:rFonts w:eastAsia="Calibri" w:cs="Tahoma"/>
          <w:szCs w:val="18"/>
          <w:lang w:val="pt-BR"/>
        </w:rPr>
        <w:t xml:space="preserve">Farms de Servidores nem Mobilidade de Licença por meio de Software Assurance e </w:t>
      </w:r>
    </w:p>
    <w:p w:rsidR="00557CB6" w:rsidRPr="008B3916" w:rsidRDefault="00557CB6" w:rsidP="00557CB6">
      <w:pPr>
        <w:tabs>
          <w:tab w:val="left" w:pos="1800"/>
        </w:tabs>
        <w:spacing w:after="60"/>
        <w:ind w:left="1800"/>
        <w:rPr>
          <w:rFonts w:eastAsia="Calibri" w:cs="Tahoma"/>
          <w:szCs w:val="18"/>
          <w:lang w:val="pt-BR"/>
        </w:rPr>
      </w:pPr>
    </w:p>
    <w:p w:rsidR="00557CB6" w:rsidRPr="008B3916" w:rsidRDefault="00557CB6" w:rsidP="00557CB6">
      <w:pPr>
        <w:tabs>
          <w:tab w:val="left" w:pos="1800"/>
        </w:tabs>
        <w:spacing w:after="60"/>
        <w:ind w:left="1800"/>
        <w:rPr>
          <w:rFonts w:eastAsia="Calibri" w:cs="Tahoma"/>
          <w:szCs w:val="18"/>
          <w:lang w:val="pt-BR"/>
        </w:rPr>
      </w:pPr>
    </w:p>
    <w:p w:rsidR="00557CB6" w:rsidRPr="008B3916" w:rsidRDefault="00557CB6" w:rsidP="00557CB6">
      <w:pPr>
        <w:tabs>
          <w:tab w:val="left" w:pos="1800"/>
        </w:tabs>
        <w:spacing w:after="60"/>
        <w:ind w:left="1800"/>
        <w:rPr>
          <w:rFonts w:eastAsia="Calibri" w:cs="Tahoma"/>
          <w:szCs w:val="18"/>
          <w:lang w:val="pt-BR"/>
        </w:rPr>
      </w:pPr>
    </w:p>
    <w:p w:rsidR="00557CB6" w:rsidRPr="008B3916" w:rsidRDefault="00557CB6" w:rsidP="00557CB6">
      <w:pPr>
        <w:tabs>
          <w:tab w:val="left" w:pos="1800"/>
        </w:tabs>
        <w:spacing w:after="60"/>
        <w:ind w:left="1800"/>
        <w:rPr>
          <w:rFonts w:eastAsia="Calibri" w:cs="Tahoma"/>
          <w:szCs w:val="18"/>
          <w:lang w:val="pt-BR"/>
        </w:rPr>
      </w:pPr>
    </w:p>
    <w:p w:rsidR="00557CB6" w:rsidRPr="008B3916" w:rsidRDefault="00557CB6" w:rsidP="00557CB6">
      <w:pPr>
        <w:tabs>
          <w:tab w:val="left" w:pos="1800"/>
        </w:tabs>
        <w:spacing w:after="60"/>
        <w:ind w:left="1800"/>
        <w:rPr>
          <w:rFonts w:eastAsia="Calibri" w:cs="Tahoma"/>
          <w:szCs w:val="18"/>
          <w:lang w:val="pt-BR"/>
        </w:rPr>
      </w:pPr>
    </w:p>
    <w:p w:rsidR="00557CB6" w:rsidRPr="008B3916" w:rsidRDefault="00557CB6" w:rsidP="00557CB6">
      <w:pPr>
        <w:tabs>
          <w:tab w:val="left" w:pos="1800"/>
        </w:tabs>
        <w:spacing w:after="60"/>
        <w:ind w:left="1800"/>
        <w:rPr>
          <w:lang w:val="pt-BR"/>
        </w:rPr>
      </w:pPr>
    </w:p>
    <w:p w:rsidR="00A81E83" w:rsidRPr="008B3916" w:rsidRDefault="00A81E83" w:rsidP="00CA0E2D">
      <w:pPr>
        <w:numPr>
          <w:ilvl w:val="1"/>
          <w:numId w:val="65"/>
        </w:numPr>
        <w:tabs>
          <w:tab w:val="left" w:pos="1800"/>
        </w:tabs>
        <w:spacing w:after="60"/>
        <w:ind w:left="1800"/>
        <w:rPr>
          <w:lang w:val="pt-BR"/>
        </w:rPr>
      </w:pPr>
      <w:r w:rsidRPr="008B3916">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rsidR="00A81E83" w:rsidRPr="008B3916" w:rsidRDefault="00A81E83" w:rsidP="00CA0E2D">
      <w:pPr>
        <w:numPr>
          <w:ilvl w:val="2"/>
          <w:numId w:val="65"/>
        </w:numPr>
        <w:tabs>
          <w:tab w:val="left" w:pos="2160"/>
        </w:tabs>
        <w:spacing w:after="60"/>
        <w:ind w:left="2160" w:hanging="360"/>
        <w:rPr>
          <w:lang w:val="pt-BR"/>
        </w:rPr>
      </w:pPr>
      <w:r w:rsidRPr="008B3916">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557CB6" w:rsidRPr="008B3916">
        <w:rPr>
          <w:rFonts w:eastAsia="Calibri" w:cs="Tahoma"/>
          <w:szCs w:val="18"/>
          <w:lang w:val="pt-BR"/>
        </w:rPr>
        <w:t> </w:t>
      </w:r>
      <w:r w:rsidRPr="008B3916">
        <w:rPr>
          <w:rFonts w:eastAsia="Calibri" w:cs="Tahoma"/>
          <w:szCs w:val="18"/>
          <w:lang w:val="pt-BR"/>
        </w:rPr>
        <w:t xml:space="preserve">equivalência de licença principal é maior do que: </w:t>
      </w:r>
    </w:p>
    <w:p w:rsidR="00A81E83" w:rsidRPr="008B3916" w:rsidRDefault="00A81E83" w:rsidP="00CA0E2D">
      <w:pPr>
        <w:numPr>
          <w:ilvl w:val="4"/>
          <w:numId w:val="64"/>
        </w:numPr>
        <w:tabs>
          <w:tab w:val="left" w:pos="2520"/>
        </w:tabs>
        <w:spacing w:after="60"/>
        <w:ind w:left="2520"/>
        <w:rPr>
          <w:lang w:val="pt-BR"/>
        </w:rPr>
      </w:pPr>
      <w:r w:rsidRPr="008B3916">
        <w:rPr>
          <w:rFonts w:eastAsia="Calibri" w:cs="Tahoma"/>
          <w:szCs w:val="18"/>
          <w:lang w:val="pt-BR"/>
        </w:rPr>
        <w:t xml:space="preserve">oito núcleos por licença de processador OU </w:t>
      </w:r>
    </w:p>
    <w:p w:rsidR="00A81E83" w:rsidRPr="008B3916" w:rsidRDefault="00A81E83" w:rsidP="008C1816">
      <w:pPr>
        <w:numPr>
          <w:ilvl w:val="4"/>
          <w:numId w:val="64"/>
        </w:numPr>
        <w:tabs>
          <w:tab w:val="left" w:pos="2520"/>
        </w:tabs>
        <w:spacing w:after="60"/>
        <w:ind w:left="2520"/>
        <w:rPr>
          <w:lang w:val="pt-BR"/>
        </w:rPr>
      </w:pPr>
      <w:r w:rsidRPr="008B3916">
        <w:rPr>
          <w:rFonts w:eastAsia="Calibri" w:cs="Tahoma"/>
          <w:szCs w:val="18"/>
          <w:lang w:val="pt-BR"/>
        </w:rPr>
        <w:t>um número de núcleos por licença do processador com base no número real de</w:t>
      </w:r>
      <w:r w:rsidR="008C1816" w:rsidRPr="008B3916">
        <w:rPr>
          <w:rFonts w:eastAsia="Calibri" w:cs="Tahoma"/>
          <w:szCs w:val="18"/>
          <w:lang w:val="pt-BR"/>
        </w:rPr>
        <w:t> </w:t>
      </w:r>
      <w:r w:rsidRPr="008B3916">
        <w:rPr>
          <w:rFonts w:eastAsia="Calibri" w:cs="Tahoma"/>
          <w:szCs w:val="18"/>
          <w:lang w:val="pt-BR"/>
        </w:rPr>
        <w:t>núcleos por processador físico multiplicado pelo fator de núcleo apropriado. (Nos</w:t>
      </w:r>
      <w:r w:rsidR="00557CB6" w:rsidRPr="008B3916">
        <w:rPr>
          <w:rFonts w:eastAsia="Calibri" w:cs="Tahoma"/>
          <w:szCs w:val="18"/>
          <w:lang w:val="pt-BR"/>
        </w:rPr>
        <w:t> </w:t>
      </w:r>
      <w:r w:rsidRPr="008B3916">
        <w:rPr>
          <w:rFonts w:eastAsia="Calibri" w:cs="Tahoma"/>
          <w:szCs w:val="18"/>
          <w:lang w:val="pt-BR"/>
        </w:rPr>
        <w:t>casos em que o número real de núcleos por processador físico excede oito, os</w:t>
      </w:r>
      <w:r w:rsidR="00557CB6" w:rsidRPr="008B3916">
        <w:rPr>
          <w:rFonts w:eastAsia="Calibri" w:cs="Tahoma"/>
          <w:szCs w:val="18"/>
          <w:lang w:val="pt-BR"/>
        </w:rPr>
        <w:t> </w:t>
      </w:r>
      <w:r w:rsidRPr="008B3916">
        <w:rPr>
          <w:rFonts w:eastAsia="Calibri" w:cs="Tahoma"/>
          <w:szCs w:val="18"/>
          <w:lang w:val="pt-BR"/>
        </w:rPr>
        <w:t>clientes devem manter um registro da configuração do software SQL Server executando no servidor) instâncias licenciadas executando em ambientes do sistema</w:t>
      </w:r>
      <w:r w:rsidR="00557CB6" w:rsidRPr="008B3916">
        <w:rPr>
          <w:rFonts w:eastAsia="Calibri" w:cs="Tahoma"/>
          <w:szCs w:val="18"/>
          <w:lang w:val="pt-BR"/>
        </w:rPr>
        <w:t> </w:t>
      </w:r>
      <w:r w:rsidRPr="008B3916">
        <w:rPr>
          <w:rFonts w:eastAsia="Calibri" w:cs="Tahoma"/>
          <w:szCs w:val="18"/>
          <w:lang w:val="pt-BR"/>
        </w:rPr>
        <w:t>operacional no servidor licenciado) e o hardware físico oferecendo suporte ao</w:t>
      </w:r>
      <w:r w:rsidR="00557CB6" w:rsidRPr="008B3916">
        <w:rPr>
          <w:rFonts w:eastAsia="Calibri" w:cs="Tahoma"/>
          <w:szCs w:val="18"/>
          <w:lang w:val="pt-BR"/>
        </w:rPr>
        <w:t> </w:t>
      </w:r>
      <w:r w:rsidRPr="008B3916">
        <w:rPr>
          <w:rFonts w:eastAsia="Calibri" w:cs="Tahoma"/>
          <w:szCs w:val="18"/>
          <w:lang w:val="pt-BR"/>
        </w:rPr>
        <w:t>software que está antecedendo a expiração do Software Assurance usando a</w:t>
      </w:r>
      <w:r w:rsidR="00557CB6" w:rsidRPr="008B3916">
        <w:rPr>
          <w:rFonts w:eastAsia="Calibri" w:cs="Tahoma"/>
          <w:szCs w:val="18"/>
          <w:lang w:val="pt-BR"/>
        </w:rPr>
        <w:t> </w:t>
      </w:r>
      <w:r w:rsidRPr="008B3916">
        <w:rPr>
          <w:rFonts w:eastAsia="Calibri" w:cs="Tahoma"/>
          <w:szCs w:val="18"/>
          <w:lang w:val="pt-BR"/>
        </w:rPr>
        <w:t xml:space="preserve">ferramenta Microsoft MAP ou </w:t>
      </w:r>
      <w:r w:rsidR="008D0E85" w:rsidRPr="008B3916">
        <w:rPr>
          <w:rFonts w:eastAsia="Calibri" w:cs="Tahoma"/>
          <w:szCs w:val="18"/>
          <w:lang w:val="pt-BR"/>
        </w:rPr>
        <w:t>qualquer software equivalente.)</w:t>
      </w:r>
    </w:p>
    <w:p w:rsidR="00A81E83" w:rsidRPr="008B3916" w:rsidRDefault="00A81E83" w:rsidP="00CA0E2D">
      <w:pPr>
        <w:numPr>
          <w:ilvl w:val="2"/>
          <w:numId w:val="65"/>
        </w:numPr>
        <w:tabs>
          <w:tab w:val="left" w:pos="2160"/>
        </w:tabs>
        <w:spacing w:after="60"/>
        <w:ind w:left="2160" w:hanging="360"/>
        <w:rPr>
          <w:lang w:val="pt-BR"/>
        </w:rPr>
      </w:pPr>
      <w:r w:rsidRPr="008B3916">
        <w:rPr>
          <w:rFonts w:eastAsia="Calibri" w:cs="Tahoma"/>
          <w:szCs w:val="18"/>
          <w:lang w:val="pt-BR"/>
        </w:rPr>
        <w:t>Para qualquer licença de processador com um Software Assurance expirando atribuído ao</w:t>
      </w:r>
      <w:r w:rsidR="00557CB6" w:rsidRPr="008B3916">
        <w:rPr>
          <w:rFonts w:eastAsia="Calibri" w:cs="Tahoma"/>
          <w:szCs w:val="18"/>
          <w:lang w:val="pt-BR"/>
        </w:rPr>
        <w:t> </w:t>
      </w:r>
      <w:r w:rsidRPr="008B3916">
        <w:rPr>
          <w:rFonts w:eastAsia="Calibri" w:cs="Tahoma"/>
          <w:szCs w:val="18"/>
          <w:lang w:val="pt-BR"/>
        </w:rPr>
        <w:t>mesmo servidor licenciado em excesso do número real de processadores físicos no</w:t>
      </w:r>
      <w:r w:rsidR="00557CB6" w:rsidRPr="008B3916">
        <w:rPr>
          <w:rFonts w:eastAsia="Calibri" w:cs="Tahoma"/>
          <w:szCs w:val="18"/>
          <w:lang w:val="pt-BR"/>
        </w:rPr>
        <w:t> </w:t>
      </w:r>
      <w:r w:rsidRPr="008B3916">
        <w:rPr>
          <w:rFonts w:eastAsia="Calibri" w:cs="Tahoma"/>
          <w:szCs w:val="18"/>
          <w:lang w:val="pt-BR"/>
        </w:rPr>
        <w:t>servidor, a equivalência de núcleo é de oito núcleos por licença de processador.</w:t>
      </w:r>
    </w:p>
    <w:p w:rsidR="00A81E83" w:rsidRPr="008B3916" w:rsidRDefault="00A81E83" w:rsidP="00CA0E2D">
      <w:pPr>
        <w:numPr>
          <w:ilvl w:val="1"/>
          <w:numId w:val="65"/>
        </w:numPr>
        <w:tabs>
          <w:tab w:val="left" w:pos="1800"/>
          <w:tab w:val="left" w:pos="2970"/>
        </w:tabs>
        <w:spacing w:after="60"/>
        <w:ind w:left="1800"/>
        <w:rPr>
          <w:lang w:val="pt-BR"/>
        </w:rPr>
      </w:pPr>
      <w:r w:rsidRPr="008B3916">
        <w:rPr>
          <w:rFonts w:eastAsia="Calibri" w:cs="Tahoma"/>
          <w:szCs w:val="18"/>
          <w:lang w:val="pt-BR"/>
        </w:rPr>
        <w:t>Os Clientes poderão transferir as Licenças para outro servidor. No entanto, se o cliente transferir uma licença para outro servidor, o cliente terá que seguir os direitos de uso do SQL</w:t>
      </w:r>
      <w:r w:rsidR="00557CB6" w:rsidRPr="008B3916">
        <w:rPr>
          <w:rFonts w:eastAsia="Calibri" w:cs="Tahoma"/>
          <w:szCs w:val="18"/>
          <w:lang w:val="pt-BR"/>
        </w:rPr>
        <w:t> </w:t>
      </w:r>
      <w:r w:rsidRPr="008B3916">
        <w:rPr>
          <w:rFonts w:eastAsia="Calibri" w:cs="Tahoma"/>
          <w:szCs w:val="18"/>
          <w:lang w:val="pt-BR"/>
        </w:rPr>
        <w:t>Server 2012. Ao transferir licenças principais para servidores sob os direitos de uso do SQL 2012, o cliente poderá combinar a equivalência de núcleo de suas licenças existentes com</w:t>
      </w:r>
      <w:r w:rsidR="00557CB6" w:rsidRPr="008B3916">
        <w:rPr>
          <w:rFonts w:eastAsia="Calibri" w:cs="Tahoma"/>
          <w:szCs w:val="18"/>
          <w:lang w:val="pt-BR"/>
        </w:rPr>
        <w:t> </w:t>
      </w:r>
      <w:r w:rsidRPr="008B3916">
        <w:rPr>
          <w:rFonts w:eastAsia="Calibri" w:cs="Tahoma"/>
          <w:szCs w:val="18"/>
          <w:lang w:val="pt-BR"/>
        </w:rPr>
        <w:t>as licenças principais do SQL Server 2012 adicionais.</w:t>
      </w:r>
    </w:p>
    <w:p w:rsidR="00A81E83" w:rsidRPr="008B3916" w:rsidRDefault="00A81E83" w:rsidP="00CA0E2D">
      <w:pPr>
        <w:numPr>
          <w:ilvl w:val="1"/>
          <w:numId w:val="65"/>
        </w:numPr>
        <w:tabs>
          <w:tab w:val="left" w:pos="1800"/>
        </w:tabs>
        <w:spacing w:after="60"/>
        <w:ind w:left="1800"/>
        <w:rPr>
          <w:lang w:val="pt-BR"/>
        </w:rPr>
      </w:pPr>
      <w:r w:rsidRPr="008B3916">
        <w:rPr>
          <w:rFonts w:eastAsia="Calibri" w:cs="Tahoma"/>
          <w:szCs w:val="18"/>
          <w:lang w:val="pt-BR"/>
        </w:rPr>
        <w:t>A equivalência de licença principal dos clientes não implica que eles podem atribuir uma única licença de processador a núcleos por dois ou mais processadores.</w:t>
      </w:r>
    </w:p>
    <w:p w:rsidR="00CA0E2D" w:rsidRPr="008B3916" w:rsidRDefault="00CA0E2D" w:rsidP="00CA0E2D">
      <w:pPr>
        <w:tabs>
          <w:tab w:val="left" w:pos="720"/>
        </w:tabs>
        <w:ind w:left="720"/>
        <w:contextualSpacing/>
        <w:rPr>
          <w:lang w:val="pt-BR"/>
        </w:rPr>
      </w:pPr>
    </w:p>
    <w:p w:rsidR="00CA0E2D" w:rsidRPr="008B3916" w:rsidRDefault="00A81E83" w:rsidP="00CA0E2D">
      <w:pPr>
        <w:tabs>
          <w:tab w:val="left" w:pos="720"/>
        </w:tabs>
        <w:spacing w:after="60"/>
        <w:ind w:left="720"/>
        <w:rPr>
          <w:lang w:val="pt-BR"/>
        </w:rPr>
      </w:pPr>
      <w:r w:rsidRPr="008B3916">
        <w:rPr>
          <w:rFonts w:eastAsia="Calibri" w:cs="Tahoma"/>
          <w:b/>
          <w:szCs w:val="18"/>
          <w:lang w:val="pt-BR"/>
        </w:rPr>
        <w:t xml:space="preserve">Para os clientes com cobertura de Software Assurance que expiram em ou depois de </w:t>
      </w:r>
      <w:r w:rsidR="00615CB9" w:rsidRPr="008B3916">
        <w:rPr>
          <w:rFonts w:eastAsia="Calibri" w:cs="Tahoma"/>
          <w:b/>
          <w:szCs w:val="18"/>
          <w:lang w:val="pt-BR"/>
        </w:rPr>
        <w:br/>
      </w:r>
      <w:r w:rsidRPr="008B3916">
        <w:rPr>
          <w:rFonts w:eastAsia="Calibri" w:cs="Tahoma"/>
          <w:b/>
          <w:szCs w:val="18"/>
          <w:lang w:val="pt-BR"/>
        </w:rPr>
        <w:t>1</w:t>
      </w:r>
      <w:r w:rsidRPr="008B3916">
        <w:rPr>
          <w:rFonts w:eastAsia="Calibri" w:cs="Tahoma"/>
          <w:b/>
          <w:szCs w:val="18"/>
          <w:vertAlign w:val="superscript"/>
          <w:lang w:val="pt-BR"/>
        </w:rPr>
        <w:t>º</w:t>
      </w:r>
      <w:r w:rsidRPr="008B3916">
        <w:rPr>
          <w:rFonts w:eastAsia="Calibri" w:cs="Tahoma"/>
          <w:b/>
          <w:szCs w:val="18"/>
          <w:lang w:val="pt-BR"/>
        </w:rPr>
        <w:t xml:space="preserve"> de abril de 2015 que optaram pela não renovação</w:t>
      </w:r>
    </w:p>
    <w:p w:rsidR="00A81E83" w:rsidRPr="008B3916" w:rsidRDefault="00A81E83" w:rsidP="008C1816">
      <w:pPr>
        <w:tabs>
          <w:tab w:val="left" w:pos="720"/>
        </w:tabs>
        <w:ind w:left="720"/>
        <w:contextualSpacing/>
        <w:rPr>
          <w:lang w:val="pt-BR"/>
        </w:rPr>
      </w:pPr>
      <w:r w:rsidRPr="008B3916">
        <w:rPr>
          <w:rFonts w:eastAsia="Calibri" w:cs="Tahoma"/>
          <w:color w:val="000000"/>
          <w:szCs w:val="18"/>
          <w:lang w:val="pt-BR"/>
        </w:rPr>
        <w:t xml:space="preserve">Os clientes do Enterprise Subscription </w:t>
      </w:r>
      <w:r w:rsidRPr="008B3916">
        <w:rPr>
          <w:rFonts w:cs="Tahoma"/>
          <w:bCs/>
          <w:color w:val="000000"/>
          <w:szCs w:val="18"/>
          <w:lang w:val="pt-BR"/>
        </w:rPr>
        <w:t xml:space="preserve">e Open Value Subscription </w:t>
      </w:r>
      <w:r w:rsidRPr="008B3916">
        <w:rPr>
          <w:rFonts w:eastAsia="Calibri" w:cs="Tahoma"/>
          <w:color w:val="000000"/>
          <w:szCs w:val="18"/>
          <w:lang w:val="pt-BR"/>
        </w:rPr>
        <w:t>com cobertura expirando em ou depois de</w:t>
      </w:r>
      <w:r w:rsidR="008C1816" w:rsidRPr="008B3916">
        <w:rPr>
          <w:rFonts w:eastAsia="Calibri" w:cs="Tahoma"/>
          <w:color w:val="000000"/>
          <w:szCs w:val="18"/>
          <w:lang w:val="pt-BR"/>
        </w:rPr>
        <w:t> </w:t>
      </w:r>
      <w:r w:rsidRPr="008B3916">
        <w:rPr>
          <w:rFonts w:eastAsia="Calibri" w:cs="Tahoma"/>
          <w:color w:val="000000"/>
          <w:szCs w:val="18"/>
          <w:lang w:val="pt-BR"/>
        </w:rPr>
        <w:t>1</w:t>
      </w:r>
      <w:r w:rsidRPr="008B3916">
        <w:rPr>
          <w:rFonts w:eastAsia="Calibri" w:cs="Tahoma"/>
          <w:color w:val="000000"/>
          <w:szCs w:val="18"/>
          <w:vertAlign w:val="superscript"/>
          <w:lang w:val="pt-BR"/>
        </w:rPr>
        <w:t>º</w:t>
      </w:r>
      <w:r w:rsidRPr="008B3916">
        <w:rPr>
          <w:rFonts w:eastAsia="Calibri" w:cs="Tahoma"/>
          <w:color w:val="000000"/>
          <w:szCs w:val="18"/>
          <w:lang w:val="pt-BR"/>
        </w:rPr>
        <w:t xml:space="preserve"> de abril de 2015 que optarem por comprar licenças de processador e quaisquer outros clientes que adquirirem licenças perpétuas sob este contrato terão as seguintes opções: </w:t>
      </w:r>
    </w:p>
    <w:p w:rsidR="00CA0E2D" w:rsidRPr="008B3916" w:rsidRDefault="00CA0E2D" w:rsidP="00CA0E2D">
      <w:pPr>
        <w:tabs>
          <w:tab w:val="left" w:pos="720"/>
        </w:tabs>
        <w:ind w:left="720"/>
        <w:contextualSpacing/>
        <w:rPr>
          <w:lang w:val="pt-BR"/>
        </w:rPr>
      </w:pPr>
    </w:p>
    <w:p w:rsidR="00A81E83" w:rsidRPr="008B3916" w:rsidRDefault="00A81E83" w:rsidP="00CA0E2D">
      <w:pPr>
        <w:numPr>
          <w:ilvl w:val="2"/>
          <w:numId w:val="64"/>
        </w:numPr>
        <w:tabs>
          <w:tab w:val="left" w:pos="1440"/>
        </w:tabs>
        <w:spacing w:after="60"/>
        <w:ind w:left="1440"/>
        <w:rPr>
          <w:lang w:val="pt-BR"/>
        </w:rPr>
      </w:pPr>
      <w:r w:rsidRPr="008B3916">
        <w:rPr>
          <w:rFonts w:eastAsia="Calibri" w:cs="Tahoma"/>
          <w:szCs w:val="18"/>
          <w:lang w:val="pt-BR"/>
        </w:rPr>
        <w:t>Conforme fornecido no primeiro parágrafo desta nota de produto, as licenças adquiridas antes de 1</w:t>
      </w:r>
      <w:r w:rsidRPr="008B3916">
        <w:rPr>
          <w:rFonts w:eastAsia="Calibri" w:cs="Tahoma"/>
          <w:szCs w:val="18"/>
          <w:vertAlign w:val="superscript"/>
          <w:lang w:val="pt-BR"/>
        </w:rPr>
        <w:t>º</w:t>
      </w:r>
      <w:r w:rsidRPr="008B3916">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w:t>
      </w:r>
      <w:r w:rsidRPr="008B3916">
        <w:rPr>
          <w:rFonts w:eastAsia="Calibri" w:cs="Tahoma"/>
          <w:szCs w:val="18"/>
          <w:vertAlign w:val="superscript"/>
          <w:lang w:val="pt-BR"/>
        </w:rPr>
        <w:t>º</w:t>
      </w:r>
      <w:r w:rsidRPr="008B3916">
        <w:rPr>
          <w:rFonts w:eastAsia="Calibri" w:cs="Tahoma"/>
          <w:szCs w:val="18"/>
          <w:lang w:val="pt-BR"/>
        </w:rPr>
        <w:t xml:space="preserve"> de abril de 2015, que optou por não renovar” acima e</w:t>
      </w:r>
    </w:p>
    <w:p w:rsidR="00A81E83" w:rsidRPr="008B3916" w:rsidRDefault="00A81E83" w:rsidP="00CA0E2D">
      <w:pPr>
        <w:numPr>
          <w:ilvl w:val="2"/>
          <w:numId w:val="64"/>
        </w:numPr>
        <w:tabs>
          <w:tab w:val="left" w:pos="1440"/>
        </w:tabs>
        <w:spacing w:after="60"/>
        <w:ind w:left="1440"/>
        <w:rPr>
          <w:lang w:val="pt-BR"/>
        </w:rPr>
      </w:pPr>
      <w:r w:rsidRPr="008B3916">
        <w:rPr>
          <w:rFonts w:eastAsia="Calibri" w:cs="Tahoma"/>
          <w:szCs w:val="18"/>
          <w:lang w:val="pt-BR"/>
        </w:rPr>
        <w:t>Para as licenças adquiridas depois de 1</w:t>
      </w:r>
      <w:r w:rsidRPr="008B3916">
        <w:rPr>
          <w:rFonts w:eastAsia="Calibri" w:cs="Tahoma"/>
          <w:szCs w:val="18"/>
          <w:vertAlign w:val="superscript"/>
          <w:lang w:val="pt-BR"/>
        </w:rPr>
        <w:t>º</w:t>
      </w:r>
      <w:r w:rsidRPr="008B3916">
        <w:rPr>
          <w:rFonts w:eastAsia="Calibri" w:cs="Tahoma"/>
          <w:szCs w:val="18"/>
          <w:lang w:val="pt-BR"/>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rsidR="00CA0E2D" w:rsidRPr="008B3916" w:rsidRDefault="00CA0E2D" w:rsidP="00CA0E2D">
      <w:pPr>
        <w:tabs>
          <w:tab w:val="left" w:pos="1440"/>
        </w:tabs>
        <w:ind w:left="1440"/>
        <w:contextualSpacing/>
        <w:rPr>
          <w:lang w:val="pt-BR"/>
        </w:rPr>
      </w:pPr>
    </w:p>
    <w:p w:rsidR="00CA0E2D" w:rsidRPr="008B3916" w:rsidRDefault="00A81E83" w:rsidP="00CA0E2D">
      <w:pPr>
        <w:tabs>
          <w:tab w:val="left" w:pos="720"/>
        </w:tabs>
        <w:spacing w:after="60"/>
        <w:ind w:left="720"/>
        <w:rPr>
          <w:lang w:val="pt-BR"/>
        </w:rPr>
      </w:pPr>
      <w:r w:rsidRPr="008B3916">
        <w:rPr>
          <w:rFonts w:eastAsia="Calibri" w:cs="Tahoma"/>
          <w:b/>
          <w:szCs w:val="18"/>
          <w:lang w:val="pt-BR"/>
        </w:rPr>
        <w:t>Para os clientes localizados na República Popular da China e para os que estão adquirindo licenças de processador e Software Assurance para SQL Server 2008 R2</w:t>
      </w:r>
    </w:p>
    <w:p w:rsidR="00A81E83" w:rsidRPr="008B3916" w:rsidRDefault="00A81E83" w:rsidP="00CA0E2D">
      <w:pPr>
        <w:tabs>
          <w:tab w:val="left" w:pos="720"/>
        </w:tabs>
        <w:ind w:left="720"/>
        <w:contextualSpacing/>
        <w:rPr>
          <w:lang w:val="pt-BR"/>
        </w:rPr>
      </w:pPr>
      <w:r w:rsidRPr="008B3916">
        <w:rPr>
          <w:lang w:val="pt-BR"/>
        </w:rPr>
        <w:t>As referências a 1</w:t>
      </w:r>
      <w:r w:rsidRPr="008B3916">
        <w:rPr>
          <w:vertAlign w:val="superscript"/>
          <w:lang w:val="pt-BR"/>
        </w:rPr>
        <w:t>º</w:t>
      </w:r>
      <w:r w:rsidRPr="008B3916">
        <w:rPr>
          <w:lang w:val="pt-BR"/>
        </w:rPr>
        <w:t xml:space="preserve"> de abril de 2012 e 1</w:t>
      </w:r>
      <w:r w:rsidRPr="008B3916">
        <w:rPr>
          <w:vertAlign w:val="superscript"/>
          <w:lang w:val="pt-BR"/>
        </w:rPr>
        <w:t>º</w:t>
      </w:r>
      <w:r w:rsidRPr="008B3916">
        <w:rPr>
          <w:lang w:val="pt-BR"/>
        </w:rPr>
        <w:t xml:space="preserve"> de abril de 2015 nesta nota da lista de produtos não são aplicáveis. As datas aplicáveis para esses clientes são 1</w:t>
      </w:r>
      <w:r w:rsidRPr="008B3916">
        <w:rPr>
          <w:vertAlign w:val="superscript"/>
          <w:lang w:val="pt-BR"/>
        </w:rPr>
        <w:t>º</w:t>
      </w:r>
      <w:r w:rsidRPr="008B3916">
        <w:rPr>
          <w:lang w:val="pt-BR"/>
        </w:rPr>
        <w:t xml:space="preserve"> de julho de 2012 e 1</w:t>
      </w:r>
      <w:r w:rsidRPr="008B3916">
        <w:rPr>
          <w:vertAlign w:val="superscript"/>
          <w:lang w:val="pt-BR"/>
        </w:rPr>
        <w:t>º</w:t>
      </w:r>
      <w:r w:rsidRPr="008B3916">
        <w:rPr>
          <w:lang w:val="pt-BR"/>
        </w:rPr>
        <w:t xml:space="preserve"> de julho de 2015, respectivamente.</w:t>
      </w:r>
    </w:p>
    <w:p w:rsidR="00A81E83" w:rsidRPr="008B3916" w:rsidRDefault="00A81E83" w:rsidP="00A5643F">
      <w:pPr>
        <w:rPr>
          <w:lang w:val="pt-BR"/>
        </w:rPr>
      </w:pPr>
    </w:p>
    <w:p w:rsidR="00A81E83" w:rsidRPr="008B3916" w:rsidRDefault="00A81E83" w:rsidP="00A81E83">
      <w:pPr>
        <w:ind w:left="900"/>
        <w:rPr>
          <w:lang w:val="pt-BR"/>
        </w:rPr>
      </w:pPr>
    </w:p>
    <w:p w:rsidR="00557CB6" w:rsidRPr="008B3916" w:rsidRDefault="00557CB6" w:rsidP="00A81E83">
      <w:pPr>
        <w:ind w:left="900"/>
        <w:rPr>
          <w:lang w:val="pt-BR"/>
        </w:rPr>
      </w:pPr>
    </w:p>
    <w:p w:rsidR="00557CB6" w:rsidRPr="008B3916" w:rsidRDefault="00557CB6" w:rsidP="00A81E83">
      <w:pPr>
        <w:ind w:left="900"/>
        <w:rPr>
          <w:lang w:val="pt-BR"/>
        </w:rPr>
      </w:pPr>
    </w:p>
    <w:p w:rsidR="00557CB6" w:rsidRPr="008B3916" w:rsidRDefault="00557CB6" w:rsidP="00A81E83">
      <w:pPr>
        <w:ind w:left="900"/>
        <w:rPr>
          <w:lang w:val="pt-BR"/>
        </w:rPr>
      </w:pPr>
    </w:p>
    <w:p w:rsidR="00557CB6" w:rsidRPr="008B3916" w:rsidRDefault="00557CB6" w:rsidP="00A81E83">
      <w:pPr>
        <w:ind w:left="900"/>
        <w:rPr>
          <w:lang w:val="pt-BR"/>
        </w:rPr>
      </w:pPr>
    </w:p>
    <w:p w:rsidR="00557CB6" w:rsidRPr="008B3916" w:rsidRDefault="00557CB6" w:rsidP="00A81E83">
      <w:pPr>
        <w:ind w:left="900"/>
        <w:rPr>
          <w:lang w:val="pt-BR"/>
        </w:rPr>
      </w:pPr>
    </w:p>
    <w:p w:rsidR="00557CB6" w:rsidRPr="008B3916" w:rsidRDefault="00557CB6" w:rsidP="00A81E83">
      <w:pPr>
        <w:ind w:left="900"/>
        <w:rPr>
          <w:lang w:val="pt-BR"/>
        </w:rPr>
      </w:pPr>
    </w:p>
    <w:p w:rsidR="00557CB6" w:rsidRPr="008B3916" w:rsidRDefault="00557CB6" w:rsidP="00A81E83">
      <w:pPr>
        <w:ind w:left="900"/>
        <w:rPr>
          <w:lang w:val="pt-BR"/>
        </w:rPr>
      </w:pPr>
    </w:p>
    <w:p w:rsidR="00557CB6" w:rsidRPr="008B3916" w:rsidRDefault="00557CB6" w:rsidP="00A81E83">
      <w:pPr>
        <w:ind w:left="900"/>
        <w:rPr>
          <w:lang w:val="pt-BR"/>
        </w:rPr>
      </w:pPr>
    </w:p>
    <w:p w:rsidR="00A81E83" w:rsidRPr="00416070" w:rsidRDefault="0099402E" w:rsidP="00A81E83">
      <w:pPr>
        <w:pStyle w:val="Heading3"/>
      </w:pPr>
      <w:bookmarkStart w:id="1386" w:name="_76_74_SQL"/>
      <w:bookmarkStart w:id="1387" w:name="_Toc336338341"/>
      <w:bookmarkStart w:id="1388" w:name="_Toc352234400"/>
      <w:bookmarkStart w:id="1389" w:name="Srv_83SQL2008R2Smallbiz"/>
      <w:bookmarkEnd w:id="1386"/>
      <w:r w:rsidRPr="00416070">
        <w:rPr>
          <w:rFonts w:ascii="Tahoma" w:hAnsi="Tahoma" w:cs="Tahoma"/>
          <w:caps/>
          <w:color w:val="FE6700"/>
          <w:sz w:val="22"/>
          <w:vertAlign w:val="superscript"/>
        </w:rPr>
        <w:t>74</w:t>
      </w:r>
      <w:r w:rsidRPr="00615CB9">
        <w:rPr>
          <w:rFonts w:ascii="Tahoma" w:hAnsi="Tahoma" w:cs="Tahoma"/>
          <w:caps/>
          <w:color w:val="FE6700"/>
          <w:sz w:val="22"/>
        </w:rPr>
        <w:t xml:space="preserve"> </w:t>
      </w:r>
      <w:r w:rsidRPr="00416070">
        <w:rPr>
          <w:rFonts w:ascii="Tahoma" w:hAnsi="Tahoma" w:cs="Tahoma"/>
          <w:color w:val="FE6700"/>
          <w:sz w:val="22"/>
        </w:rPr>
        <w:t>SQL Server</w:t>
      </w:r>
      <w:r w:rsidR="00510A6E" w:rsidRPr="00416070">
        <w:rPr>
          <w:rFonts w:ascii="Tahoma" w:hAnsi="Tahoma" w:cs="Tahoma"/>
          <w:color w:val="FE6700"/>
          <w:sz w:val="22"/>
          <w:vertAlign w:val="superscript"/>
        </w:rPr>
        <w:t>®</w:t>
      </w:r>
      <w:r w:rsidRPr="00416070">
        <w:rPr>
          <w:rFonts w:ascii="Tahoma" w:hAnsi="Tahoma" w:cs="Tahoma"/>
          <w:color w:val="FE6700"/>
          <w:sz w:val="22"/>
        </w:rPr>
        <w:t xml:space="preserve"> 2008 R2 Small Business</w:t>
      </w:r>
      <w:bookmarkEnd w:id="1387"/>
      <w:bookmarkEnd w:id="1388"/>
    </w:p>
    <w:bookmarkEnd w:id="1389"/>
    <w:p w:rsidR="00A81E83" w:rsidRPr="008B3916" w:rsidRDefault="00A81E83" w:rsidP="00BD4B91">
      <w:pPr>
        <w:rPr>
          <w:lang w:val="pt-BR"/>
        </w:rPr>
      </w:pPr>
    </w:p>
    <w:p w:rsidR="00CA0E2D" w:rsidRPr="008B3916" w:rsidRDefault="00A81E83" w:rsidP="00CA0E2D">
      <w:pPr>
        <w:spacing w:after="60" w:line="276" w:lineRule="auto"/>
        <w:ind w:left="720"/>
        <w:rPr>
          <w:lang w:val="pt-BR"/>
        </w:rPr>
      </w:pPr>
      <w:r w:rsidRPr="008B3916">
        <w:rPr>
          <w:rFonts w:eastAsia="Calibri" w:cs="Tahoma"/>
          <w:b/>
          <w:szCs w:val="18"/>
          <w:lang w:val="pt-BR"/>
        </w:rPr>
        <w:t>Outorgas de Licença Associadas ao término da validade da edição do SQL Server Small</w:t>
      </w:r>
      <w:r w:rsidR="00557CB6" w:rsidRPr="008B3916">
        <w:rPr>
          <w:rFonts w:eastAsia="Calibri" w:cs="Tahoma"/>
          <w:b/>
          <w:szCs w:val="18"/>
          <w:lang w:val="pt-BR"/>
        </w:rPr>
        <w:t> </w:t>
      </w:r>
      <w:r w:rsidRPr="008B3916">
        <w:rPr>
          <w:rFonts w:eastAsia="Calibri" w:cs="Tahoma"/>
          <w:b/>
          <w:szCs w:val="18"/>
          <w:lang w:val="pt-BR"/>
        </w:rPr>
        <w:t>Business</w:t>
      </w:r>
    </w:p>
    <w:p w:rsidR="00A81E83" w:rsidRPr="008B3916" w:rsidRDefault="00A81E83" w:rsidP="008C1816">
      <w:pPr>
        <w:spacing w:after="200"/>
        <w:ind w:left="720"/>
        <w:rPr>
          <w:lang w:val="pt-BR"/>
        </w:rPr>
      </w:pPr>
      <w:r w:rsidRPr="008B3916">
        <w:rPr>
          <w:rFonts w:eastAsia="Calibri" w:cs="Tahoma"/>
          <w:szCs w:val="18"/>
          <w:lang w:val="pt-BR"/>
        </w:rPr>
        <w:t>O SQL Server 2008 R2 para Small Business será a última versão da edição do SQL Server para Small Business.</w:t>
      </w:r>
      <w:r w:rsidR="00FB5496" w:rsidRPr="008B3916">
        <w:rPr>
          <w:rFonts w:eastAsia="Calibri" w:cs="Tahoma"/>
          <w:szCs w:val="18"/>
          <w:lang w:val="pt-BR"/>
        </w:rPr>
        <w:t xml:space="preserve"> </w:t>
      </w:r>
      <w:r w:rsidRPr="008B3916">
        <w:rPr>
          <w:rFonts w:eastAsia="Calibri" w:cs="Tahoma"/>
          <w:szCs w:val="18"/>
          <w:lang w:val="pt-BR"/>
        </w:rPr>
        <w:t>Como exceção, os clientes de licenciamento por volume com Software Assurance ativo para licenças do SQL Server 2008 R2 para Small Business em 1</w:t>
      </w:r>
      <w:r w:rsidRPr="008B3916">
        <w:rPr>
          <w:rFonts w:eastAsia="Calibri" w:cs="Tahoma"/>
          <w:szCs w:val="18"/>
          <w:vertAlign w:val="superscript"/>
          <w:lang w:val="pt-BR"/>
        </w:rPr>
        <w:t>º</w:t>
      </w:r>
      <w:r w:rsidRPr="008B3916">
        <w:rPr>
          <w:rFonts w:eastAsia="Calibri" w:cs="Tahoma"/>
          <w:szCs w:val="18"/>
          <w:lang w:val="pt-BR"/>
        </w:rPr>
        <w:t xml:space="preserve"> de abril de 2012 poderão fazer atualização e</w:t>
      </w:r>
      <w:r w:rsidR="008C1816" w:rsidRPr="008B3916">
        <w:rPr>
          <w:rFonts w:eastAsia="Calibri" w:cs="Tahoma"/>
          <w:szCs w:val="18"/>
          <w:lang w:val="pt-BR"/>
        </w:rPr>
        <w:t> </w:t>
      </w:r>
      <w:r w:rsidRPr="008B3916">
        <w:rPr>
          <w:rFonts w:eastAsia="Calibri" w:cs="Tahoma"/>
          <w:szCs w:val="18"/>
          <w:lang w:val="pt-BR"/>
        </w:rPr>
        <w:t>usar o SQL Server 2012 Standard Server (ou qualquer versão posterior desse produto disponibilizado durante sua cobertura) no lugar da edição do SQL Server Workgroup e adquirir o Software Assurance para</w:t>
      </w:r>
      <w:r w:rsidR="008C1816" w:rsidRPr="008B3916">
        <w:rPr>
          <w:rFonts w:eastAsia="Calibri" w:cs="Tahoma"/>
          <w:szCs w:val="18"/>
          <w:lang w:val="pt-BR"/>
        </w:rPr>
        <w:t> </w:t>
      </w:r>
      <w:r w:rsidRPr="008B3916">
        <w:rPr>
          <w:rFonts w:eastAsia="Calibri" w:cs="Tahoma"/>
          <w:szCs w:val="18"/>
          <w:lang w:val="pt-BR"/>
        </w:rPr>
        <w:t>SQL Server Standard quando sua cobertura atual expirar. Além disso, os clientes de licenciamento por</w:t>
      </w:r>
      <w:r w:rsidR="008C1816" w:rsidRPr="008B3916">
        <w:rPr>
          <w:rFonts w:eastAsia="Calibri" w:cs="Tahoma"/>
          <w:szCs w:val="18"/>
          <w:lang w:val="pt-BR"/>
        </w:rPr>
        <w:t> </w:t>
      </w:r>
      <w:r w:rsidRPr="008B3916">
        <w:rPr>
          <w:rFonts w:eastAsia="Calibri" w:cs="Tahoma"/>
          <w:szCs w:val="18"/>
          <w:lang w:val="pt-BR"/>
        </w:rPr>
        <w:t xml:space="preserve">volume com Software Assurance ativo para CALs do SQL Server 2008 R2 para Small Business em </w:t>
      </w:r>
      <w:r w:rsidR="00557CB6" w:rsidRPr="008B3916">
        <w:rPr>
          <w:rFonts w:eastAsia="Calibri" w:cs="Tahoma"/>
          <w:szCs w:val="18"/>
          <w:lang w:val="pt-BR"/>
        </w:rPr>
        <w:br/>
      </w:r>
      <w:r w:rsidRPr="008B3916">
        <w:rPr>
          <w:rFonts w:eastAsia="Calibri" w:cs="Tahoma"/>
          <w:szCs w:val="18"/>
          <w:lang w:val="pt-BR"/>
        </w:rPr>
        <w:t>1</w:t>
      </w:r>
      <w:r w:rsidRPr="008B3916">
        <w:rPr>
          <w:rFonts w:eastAsia="Calibri" w:cs="Tahoma"/>
          <w:szCs w:val="18"/>
          <w:vertAlign w:val="superscript"/>
          <w:lang w:val="pt-BR"/>
        </w:rPr>
        <w:t>º</w:t>
      </w:r>
      <w:r w:rsidRPr="008B3916">
        <w:rPr>
          <w:rFonts w:eastAsia="Calibri" w:cs="Tahoma"/>
          <w:szCs w:val="18"/>
          <w:lang w:val="pt-BR"/>
        </w:rPr>
        <w:t xml:space="preserve"> de abril de 2012 poderão fazer atualização e usar as CALs do SQL Server 2012 (ou qualquer versão posterior dessa CAL disponibilizada durante sua cobertura) no lugar da CAL do SQL Server Small Business e</w:t>
      </w:r>
      <w:r w:rsidR="008C1816" w:rsidRPr="008B3916">
        <w:rPr>
          <w:rFonts w:eastAsia="Calibri" w:cs="Tahoma"/>
          <w:szCs w:val="18"/>
          <w:lang w:val="pt-BR"/>
        </w:rPr>
        <w:t> </w:t>
      </w:r>
      <w:r w:rsidRPr="008B3916">
        <w:rPr>
          <w:rFonts w:eastAsia="Calibri" w:cs="Tahoma"/>
          <w:szCs w:val="18"/>
          <w:lang w:val="pt-BR"/>
        </w:rPr>
        <w:t>adquirir o Software Assurance para CAL do SQL Server quando sua cobertura atual expirar.</w:t>
      </w:r>
      <w:r w:rsidR="00FB5496" w:rsidRPr="008B3916">
        <w:rPr>
          <w:rFonts w:eastAsia="Calibri" w:cs="Tahoma"/>
          <w:szCs w:val="18"/>
          <w:lang w:val="pt-BR"/>
        </w:rPr>
        <w:t xml:space="preserve"> </w:t>
      </w:r>
      <w:r w:rsidRPr="008B3916">
        <w:rPr>
          <w:rFonts w:eastAsia="Calibri" w:cs="Tahoma"/>
          <w:szCs w:val="18"/>
          <w:lang w:val="pt-BR"/>
        </w:rPr>
        <w:t>As licenças do SQL Server Small Business dos clientes não são mais válidas quando eles adquirem o Software Assurance do</w:t>
      </w:r>
      <w:r w:rsidR="00EB0F1B" w:rsidRPr="008B3916">
        <w:rPr>
          <w:rFonts w:eastAsia="Calibri" w:cs="Tahoma"/>
          <w:szCs w:val="18"/>
          <w:lang w:val="pt-BR"/>
        </w:rPr>
        <w:t> </w:t>
      </w:r>
      <w:r w:rsidRPr="008B3916">
        <w:rPr>
          <w:rFonts w:eastAsia="Calibri" w:cs="Tahoma"/>
          <w:szCs w:val="18"/>
          <w:lang w:val="pt-BR"/>
        </w:rPr>
        <w:t>SQL Server Standard sob esta oferta.</w:t>
      </w:r>
    </w:p>
    <w:p w:rsidR="00CA0E2D" w:rsidRPr="008B3916" w:rsidRDefault="00A81E83" w:rsidP="00CA0E2D">
      <w:pPr>
        <w:spacing w:after="60" w:line="276" w:lineRule="auto"/>
        <w:ind w:left="720"/>
        <w:rPr>
          <w:lang w:val="pt-BR"/>
        </w:rPr>
      </w:pPr>
      <w:r w:rsidRPr="008B3916">
        <w:rPr>
          <w:b/>
          <w:lang w:val="pt-BR"/>
        </w:rPr>
        <w:t>Para os clientes localizados na República Popular da</w:t>
      </w:r>
      <w:r w:rsidRPr="008B3916">
        <w:rPr>
          <w:lang w:val="pt-BR"/>
        </w:rPr>
        <w:t xml:space="preserve"> </w:t>
      </w:r>
      <w:r w:rsidRPr="008B3916">
        <w:rPr>
          <w:b/>
          <w:lang w:val="pt-BR"/>
        </w:rPr>
        <w:t>China e para os que estão adquirindo licenças e Software Assurance para SQL Server 2008 R2</w:t>
      </w:r>
    </w:p>
    <w:p w:rsidR="00CA0E2D" w:rsidRPr="008B3916" w:rsidRDefault="00A81E83" w:rsidP="00CA0E2D">
      <w:pPr>
        <w:ind w:left="720"/>
        <w:rPr>
          <w:lang w:val="pt-BR"/>
        </w:rPr>
      </w:pPr>
      <w:r w:rsidRPr="008B3916">
        <w:rPr>
          <w:lang w:val="pt-BR"/>
        </w:rPr>
        <w:t>As referências a 1</w:t>
      </w:r>
      <w:r w:rsidRPr="008B3916">
        <w:rPr>
          <w:vertAlign w:val="superscript"/>
          <w:lang w:val="pt-BR"/>
        </w:rPr>
        <w:t>º</w:t>
      </w:r>
      <w:r w:rsidRPr="008B3916">
        <w:rPr>
          <w:lang w:val="pt-BR"/>
        </w:rPr>
        <w:t xml:space="preserve"> de abril de 2012 nesta nota da lista de produtos não são aplicáveis. A data aplicável para</w:t>
      </w:r>
      <w:r w:rsidR="00557CB6" w:rsidRPr="008B3916">
        <w:rPr>
          <w:lang w:val="pt-BR"/>
        </w:rPr>
        <w:t> </w:t>
      </w:r>
      <w:r w:rsidRPr="008B3916">
        <w:rPr>
          <w:lang w:val="pt-BR"/>
        </w:rPr>
        <w:t>esses clientes é 1</w:t>
      </w:r>
      <w:r w:rsidRPr="008B3916">
        <w:rPr>
          <w:vertAlign w:val="superscript"/>
          <w:lang w:val="pt-BR"/>
        </w:rPr>
        <w:t>º</w:t>
      </w:r>
      <w:r w:rsidRPr="008B3916">
        <w:rPr>
          <w:lang w:val="pt-BR"/>
        </w:rPr>
        <w:t xml:space="preserve"> de julho de 2012.</w:t>
      </w:r>
    </w:p>
    <w:p w:rsidR="00CA0E2D" w:rsidRPr="008B3916" w:rsidRDefault="00CA0E2D" w:rsidP="00CA0E2D">
      <w:pPr>
        <w:ind w:left="720"/>
        <w:rPr>
          <w:lang w:val="pt-BR"/>
        </w:rPr>
      </w:pPr>
    </w:p>
    <w:p w:rsidR="002512D3" w:rsidRPr="008B3916" w:rsidRDefault="002512D3">
      <w:pPr>
        <w:rPr>
          <w:lang w:val="pt-BR"/>
        </w:rPr>
      </w:pPr>
      <w:bookmarkStart w:id="1390" w:name="_Toc336338342"/>
      <w:bookmarkStart w:id="1391" w:name="Srv_84SQL2008R2Webproc"/>
    </w:p>
    <w:p w:rsidR="00A81E83" w:rsidRPr="00416070" w:rsidRDefault="0099402E" w:rsidP="00A81E83">
      <w:pPr>
        <w:pStyle w:val="Heading3"/>
      </w:pPr>
      <w:bookmarkStart w:id="1392" w:name="_77_75_SQL"/>
      <w:bookmarkStart w:id="1393" w:name="_Toc352234401"/>
      <w:bookmarkEnd w:id="1392"/>
      <w:r w:rsidRPr="00416070">
        <w:rPr>
          <w:rFonts w:ascii="Tahoma" w:hAnsi="Tahoma" w:cs="Tahoma"/>
          <w:caps/>
          <w:color w:val="F66400"/>
          <w:sz w:val="22"/>
          <w:vertAlign w:val="superscript"/>
        </w:rPr>
        <w:t>75</w:t>
      </w:r>
      <w:r w:rsidRPr="00416070">
        <w:rPr>
          <w:rFonts w:ascii="Tahoma" w:hAnsi="Tahoma" w:cs="Tahoma"/>
          <w:color w:val="F66400"/>
          <w:sz w:val="22"/>
        </w:rPr>
        <w:t xml:space="preserve"> SQL Server</w:t>
      </w:r>
      <w:r w:rsidR="00510A6E" w:rsidRPr="00416070">
        <w:rPr>
          <w:rFonts w:ascii="Tahoma" w:hAnsi="Tahoma" w:cs="Tahoma"/>
          <w:color w:val="F66400"/>
          <w:sz w:val="22"/>
          <w:vertAlign w:val="superscript"/>
        </w:rPr>
        <w:t>®</w:t>
      </w:r>
      <w:r w:rsidRPr="00416070">
        <w:rPr>
          <w:rFonts w:ascii="Tahoma" w:hAnsi="Tahoma" w:cs="Tahoma"/>
          <w:color w:val="F66400"/>
          <w:sz w:val="22"/>
        </w:rPr>
        <w:t xml:space="preserve"> 2008 R2 Web Processor</w:t>
      </w:r>
      <w:bookmarkEnd w:id="1390"/>
      <w:bookmarkEnd w:id="1393"/>
    </w:p>
    <w:bookmarkEnd w:id="1391"/>
    <w:p w:rsidR="00A81E83" w:rsidRPr="008B3916" w:rsidRDefault="00A81E83" w:rsidP="008558DC">
      <w:pPr>
        <w:rPr>
          <w:lang w:val="pt-BR"/>
        </w:rPr>
      </w:pPr>
    </w:p>
    <w:p w:rsidR="008558DC" w:rsidRPr="008B3916" w:rsidRDefault="00A81E83" w:rsidP="008558DC">
      <w:pPr>
        <w:spacing w:after="60"/>
        <w:ind w:left="720"/>
        <w:rPr>
          <w:lang w:val="pt-BR"/>
        </w:rPr>
      </w:pPr>
      <w:r w:rsidRPr="008B3916">
        <w:rPr>
          <w:rFonts w:eastAsia="Calibri" w:cs="Tahoma"/>
          <w:b/>
          <w:szCs w:val="18"/>
          <w:lang w:val="pt-BR"/>
        </w:rPr>
        <w:t>Outorgas de Licença Associadas à Alteração no Modelo de Licenciamento</w:t>
      </w:r>
    </w:p>
    <w:p w:rsidR="00A81E83" w:rsidRPr="008B3916" w:rsidRDefault="00A81E83" w:rsidP="008D0E85">
      <w:pPr>
        <w:ind w:left="720"/>
        <w:rPr>
          <w:lang w:val="pt-BR"/>
        </w:rPr>
      </w:pPr>
      <w:r w:rsidRPr="008B3916">
        <w:rPr>
          <w:rFonts w:eastAsia="Calibri" w:cs="Tahoma"/>
          <w:szCs w:val="18"/>
          <w:lang w:val="pt-BR"/>
        </w:rPr>
        <w:t>O SQL Server 2008 R2 será a última versão do SQL Server licenciada sob o modelo de licenciamento por</w:t>
      </w:r>
      <w:r w:rsidR="008C1816" w:rsidRPr="008B3916">
        <w:rPr>
          <w:rFonts w:eastAsia="Calibri" w:cs="Tahoma"/>
          <w:szCs w:val="18"/>
          <w:lang w:val="pt-BR"/>
        </w:rPr>
        <w:t> </w:t>
      </w:r>
      <w:r w:rsidRPr="008B3916">
        <w:rPr>
          <w:rFonts w:eastAsia="Calibri" w:cs="Tahoma"/>
          <w:szCs w:val="18"/>
          <w:lang w:val="pt-BR"/>
        </w:rPr>
        <w:t>processador e a última versão da edição da Web do SQL Server sob programas de usuário final de licenciamento por volume.</w:t>
      </w:r>
      <w:r w:rsidR="00FB5496" w:rsidRPr="008B3916">
        <w:rPr>
          <w:rFonts w:eastAsia="Calibri" w:cs="Tahoma"/>
          <w:szCs w:val="18"/>
          <w:lang w:val="pt-BR"/>
        </w:rPr>
        <w:t xml:space="preserve"> </w:t>
      </w:r>
      <w:r w:rsidRPr="008B3916">
        <w:rPr>
          <w:rFonts w:eastAsia="Calibri" w:cs="Tahoma"/>
          <w:szCs w:val="18"/>
          <w:lang w:val="pt-BR"/>
        </w:rPr>
        <w:t>Como uma exceção, aos clientes de licenciamento por volume com Software Assurance ativo para licenças do processador do SQL Server 2008 R2 Web em 1</w:t>
      </w:r>
      <w:r w:rsidRPr="008B3916">
        <w:rPr>
          <w:rFonts w:eastAsia="Calibri" w:cs="Tahoma"/>
          <w:szCs w:val="18"/>
          <w:vertAlign w:val="superscript"/>
          <w:lang w:val="pt-BR"/>
        </w:rPr>
        <w:t>º</w:t>
      </w:r>
      <w:r w:rsidRPr="008B3916">
        <w:rPr>
          <w:rFonts w:eastAsia="Calibri" w:cs="Tahoma"/>
          <w:szCs w:val="18"/>
          <w:lang w:val="pt-BR"/>
        </w:rPr>
        <w:t xml:space="preserve"> de abril de 2012 (“licenças</w:t>
      </w:r>
      <w:r w:rsidR="00557CB6" w:rsidRPr="008B3916">
        <w:rPr>
          <w:rFonts w:eastAsia="Calibri" w:cs="Tahoma"/>
          <w:szCs w:val="18"/>
          <w:lang w:val="pt-BR"/>
        </w:rPr>
        <w:t> </w:t>
      </w:r>
      <w:r w:rsidRPr="008B3916">
        <w:rPr>
          <w:rFonts w:eastAsia="Calibri" w:cs="Tahoma"/>
          <w:szCs w:val="18"/>
          <w:lang w:val="pt-BR"/>
        </w:rPr>
        <w:t xml:space="preserve">qualificadas”) são concedidas as seguintes opções. </w:t>
      </w:r>
      <w:r w:rsidRPr="008B3916">
        <w:rPr>
          <w:lang w:val="pt-BR"/>
        </w:rPr>
        <w:t>As licenças do processador do SQL Server 2008 R2 Web</w:t>
      </w:r>
      <w:r w:rsidRPr="008B3916">
        <w:rPr>
          <w:rFonts w:cs="Tahoma"/>
          <w:bCs/>
          <w:color w:val="000000"/>
          <w:szCs w:val="18"/>
          <w:lang w:val="pt-BR"/>
        </w:rPr>
        <w:t xml:space="preserve"> adquiridas posteriormente no mesmo prazo de registro, mas antes de 1</w:t>
      </w:r>
      <w:r w:rsidRPr="008B3916">
        <w:rPr>
          <w:rFonts w:cs="Tahoma"/>
          <w:bCs/>
          <w:color w:val="000000"/>
          <w:szCs w:val="18"/>
          <w:vertAlign w:val="superscript"/>
          <w:lang w:val="pt-BR"/>
        </w:rPr>
        <w:t>º</w:t>
      </w:r>
      <w:r w:rsidRPr="008B3916">
        <w:rPr>
          <w:rFonts w:cs="Tahoma"/>
          <w:bCs/>
          <w:color w:val="000000"/>
          <w:szCs w:val="18"/>
          <w:lang w:val="pt-BR"/>
        </w:rPr>
        <w:t xml:space="preserve"> de abril de 2015 como parte de um processo de adequação (“true-up”) programado do cliente Enterprise, Enterprise Subscription, Open Value Subscription ou EES também são “licenças qualificadas” para fins dessas opções.</w:t>
      </w:r>
      <w:r w:rsidR="00FB5496" w:rsidRPr="008B3916">
        <w:rPr>
          <w:rFonts w:cs="Tahoma"/>
          <w:bCs/>
          <w:color w:val="000000"/>
          <w:szCs w:val="18"/>
          <w:lang w:val="pt-BR"/>
        </w:rPr>
        <w:t xml:space="preserve"> </w:t>
      </w:r>
      <w:r w:rsidRPr="008B3916">
        <w:rPr>
          <w:rFonts w:cs="Tahoma"/>
          <w:bCs/>
          <w:color w:val="000000"/>
          <w:szCs w:val="18"/>
          <w:lang w:val="pt-BR"/>
        </w:rPr>
        <w:t>As licenças adquiridas depois de 1</w:t>
      </w:r>
      <w:r w:rsidRPr="008B3916">
        <w:rPr>
          <w:rFonts w:cs="Tahoma"/>
          <w:bCs/>
          <w:color w:val="000000"/>
          <w:szCs w:val="18"/>
          <w:vertAlign w:val="superscript"/>
          <w:lang w:val="pt-BR"/>
        </w:rPr>
        <w:t>º</w:t>
      </w:r>
      <w:r w:rsidRPr="008B3916">
        <w:rPr>
          <w:rFonts w:cs="Tahoma"/>
          <w:bCs/>
          <w:color w:val="000000"/>
          <w:szCs w:val="18"/>
          <w:lang w:val="pt-BR"/>
        </w:rPr>
        <w:t xml:space="preserve"> de abril de 2015 ou sob um prazo de registro subsequente, um contrato</w:t>
      </w:r>
      <w:r w:rsidR="00EB0F1B" w:rsidRPr="008B3916">
        <w:rPr>
          <w:rFonts w:cs="Tahoma"/>
          <w:bCs/>
          <w:color w:val="000000"/>
          <w:szCs w:val="18"/>
          <w:lang w:val="pt-BR"/>
        </w:rPr>
        <w:t> </w:t>
      </w:r>
      <w:r w:rsidRPr="008B3916">
        <w:rPr>
          <w:rFonts w:cs="Tahoma"/>
          <w:bCs/>
          <w:color w:val="000000"/>
          <w:szCs w:val="18"/>
          <w:lang w:val="pt-BR"/>
        </w:rPr>
        <w:t>separado ou qualquer registro com uma data de início de vigência após 1</w:t>
      </w:r>
      <w:r w:rsidRPr="008B3916">
        <w:rPr>
          <w:rFonts w:cs="Tahoma"/>
          <w:bCs/>
          <w:color w:val="000000"/>
          <w:szCs w:val="18"/>
          <w:vertAlign w:val="superscript"/>
          <w:lang w:val="pt-BR"/>
        </w:rPr>
        <w:t>º</w:t>
      </w:r>
      <w:r w:rsidRPr="008B3916">
        <w:rPr>
          <w:rFonts w:cs="Tahoma"/>
          <w:bCs/>
          <w:color w:val="000000"/>
          <w:szCs w:val="18"/>
          <w:lang w:val="pt-BR"/>
        </w:rPr>
        <w:t xml:space="preserve"> de abril de 2012 não</w:t>
      </w:r>
      <w:r w:rsidR="008D0E85" w:rsidRPr="008B3916">
        <w:rPr>
          <w:rFonts w:cs="Tahoma"/>
          <w:bCs/>
          <w:color w:val="000000"/>
          <w:szCs w:val="18"/>
          <w:lang w:val="pt-BR"/>
        </w:rPr>
        <w:t> </w:t>
      </w:r>
      <w:r w:rsidRPr="008B3916">
        <w:rPr>
          <w:rFonts w:cs="Tahoma"/>
          <w:bCs/>
          <w:color w:val="000000"/>
          <w:szCs w:val="18"/>
          <w:lang w:val="pt-BR"/>
        </w:rPr>
        <w:t>são</w:t>
      </w:r>
      <w:r w:rsidR="008C1816" w:rsidRPr="008B3916">
        <w:rPr>
          <w:rFonts w:cs="Tahoma"/>
          <w:bCs/>
          <w:color w:val="000000"/>
          <w:szCs w:val="18"/>
          <w:lang w:val="pt-BR"/>
        </w:rPr>
        <w:t> </w:t>
      </w:r>
      <w:r w:rsidRPr="008B3916">
        <w:rPr>
          <w:rFonts w:cs="Tahoma"/>
          <w:bCs/>
          <w:color w:val="000000"/>
          <w:szCs w:val="18"/>
          <w:lang w:val="pt-BR"/>
        </w:rPr>
        <w:t>licenças qualificadas.</w:t>
      </w:r>
    </w:p>
    <w:p w:rsidR="008558DC" w:rsidRPr="008B3916" w:rsidRDefault="008558DC" w:rsidP="008558DC">
      <w:pPr>
        <w:ind w:left="720"/>
        <w:rPr>
          <w:lang w:val="pt-BR"/>
        </w:rPr>
      </w:pPr>
    </w:p>
    <w:p w:rsidR="008558DC" w:rsidRPr="008B3916" w:rsidRDefault="008558DC" w:rsidP="008558DC">
      <w:pPr>
        <w:spacing w:after="60"/>
        <w:ind w:left="720"/>
        <w:rPr>
          <w:lang w:val="pt-BR"/>
        </w:rPr>
      </w:pPr>
      <w:r w:rsidRPr="008B3916">
        <w:rPr>
          <w:rFonts w:eastAsia="Calibri" w:cs="Tahoma"/>
          <w:b/>
          <w:szCs w:val="18"/>
          <w:lang w:val="pt-BR"/>
        </w:rPr>
        <w:t>Prazo Atual</w:t>
      </w:r>
    </w:p>
    <w:p w:rsidR="008558DC" w:rsidRPr="008B3916" w:rsidRDefault="00A81E83" w:rsidP="008558DC">
      <w:pPr>
        <w:ind w:left="720"/>
        <w:rPr>
          <w:lang w:val="pt-BR"/>
        </w:rPr>
      </w:pPr>
      <w:r w:rsidRPr="008B3916">
        <w:rPr>
          <w:rFonts w:eastAsia="Calibri" w:cs="Tahoma"/>
          <w:szCs w:val="18"/>
          <w:lang w:val="pt-BR"/>
        </w:rPr>
        <w:t>Durante o prazo atual da sua cobertura de Software Assurance a partir de 1</w:t>
      </w:r>
      <w:r w:rsidRPr="008B3916">
        <w:rPr>
          <w:rFonts w:eastAsia="Calibri" w:cs="Tahoma"/>
          <w:szCs w:val="18"/>
          <w:vertAlign w:val="superscript"/>
          <w:lang w:val="pt-BR"/>
        </w:rPr>
        <w:t>º</w:t>
      </w:r>
      <w:r w:rsidRPr="008B3916">
        <w:rPr>
          <w:rFonts w:eastAsia="Calibri" w:cs="Tahoma"/>
          <w:szCs w:val="18"/>
          <w:lang w:val="pt-BR"/>
        </w:rPr>
        <w:t xml:space="preserve"> de abril de 2012, os clientes (incluindo aqueles sob contratos de assinatura) podem, sob qualquer licença qualificada, atualizar e usar o</w:t>
      </w:r>
      <w:r w:rsidR="00557CB6" w:rsidRPr="008B3916">
        <w:rPr>
          <w:rFonts w:eastAsia="Calibri" w:cs="Tahoma"/>
          <w:szCs w:val="18"/>
          <w:lang w:val="pt-BR"/>
        </w:rPr>
        <w:t> </w:t>
      </w:r>
      <w:r w:rsidRPr="008B3916">
        <w:rPr>
          <w:rFonts w:eastAsia="Calibri" w:cs="Tahoma"/>
          <w:szCs w:val="18"/>
          <w:lang w:val="pt-BR"/>
        </w:rPr>
        <w:t>SQL 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w:t>
      </w:r>
      <w:r w:rsidR="00557CB6" w:rsidRPr="008B3916">
        <w:rPr>
          <w:rFonts w:eastAsia="Calibri" w:cs="Tahoma"/>
          <w:szCs w:val="18"/>
          <w:lang w:val="pt-BR"/>
        </w:rPr>
        <w:t> </w:t>
      </w:r>
      <w:r w:rsidRPr="008B3916">
        <w:rPr>
          <w:rFonts w:eastAsia="Calibri" w:cs="Tahoma"/>
          <w:szCs w:val="18"/>
          <w:lang w:val="pt-BR"/>
        </w:rPr>
        <w:t>meio de Software Assurance e Mobilidade de Licença nos Farms de Servidores.</w:t>
      </w:r>
      <w:r w:rsidR="00FB5496" w:rsidRPr="008B3916">
        <w:rPr>
          <w:rFonts w:eastAsia="Calibri" w:cs="Tahoma"/>
          <w:szCs w:val="18"/>
          <w:lang w:val="pt-BR"/>
        </w:rPr>
        <w:t xml:space="preserve"> </w:t>
      </w:r>
      <w:r w:rsidRPr="008B3916">
        <w:rPr>
          <w:rFonts w:eastAsia="Calibri" w:cs="Tahoma"/>
          <w:szCs w:val="18"/>
          <w:lang w:val="pt-BR"/>
        </w:rPr>
        <w:t>Os clientes devem consultar os Direitos de Uso do Produto para SQL Server 2012 Standard Core quanto aos termos de licença</w:t>
      </w:r>
      <w:r w:rsidR="00EB0F1B" w:rsidRPr="008B3916">
        <w:rPr>
          <w:rFonts w:eastAsia="Calibri" w:cs="Tahoma"/>
          <w:szCs w:val="18"/>
          <w:lang w:val="pt-BR"/>
        </w:rPr>
        <w:t> </w:t>
      </w:r>
      <w:r w:rsidRPr="008B3916">
        <w:rPr>
          <w:rFonts w:eastAsia="Calibri" w:cs="Tahoma"/>
          <w:szCs w:val="18"/>
          <w:lang w:val="pt-BR"/>
        </w:rPr>
        <w:t>para Mobilidade de Licença.</w:t>
      </w:r>
    </w:p>
    <w:p w:rsidR="00557CB6" w:rsidRPr="008B3916" w:rsidRDefault="00557CB6" w:rsidP="008558DC">
      <w:pPr>
        <w:ind w:left="720"/>
        <w:rPr>
          <w:lang w:val="pt-BR"/>
        </w:rPr>
      </w:pPr>
    </w:p>
    <w:p w:rsidR="008558DC" w:rsidRPr="008B3916" w:rsidRDefault="00A81E83" w:rsidP="008558DC">
      <w:pPr>
        <w:spacing w:after="60"/>
        <w:ind w:left="720"/>
        <w:rPr>
          <w:lang w:val="pt-BR"/>
        </w:rPr>
      </w:pPr>
      <w:r w:rsidRPr="008B3916">
        <w:rPr>
          <w:rFonts w:eastAsia="Calibri" w:cs="Tahoma"/>
          <w:b/>
          <w:szCs w:val="18"/>
          <w:lang w:val="pt-BR"/>
        </w:rPr>
        <w:t>Primeiro Prazo de Renovação (antes de 1</w:t>
      </w:r>
      <w:r w:rsidRPr="008B3916">
        <w:rPr>
          <w:rFonts w:eastAsia="Calibri" w:cs="Tahoma"/>
          <w:b/>
          <w:szCs w:val="18"/>
          <w:vertAlign w:val="superscript"/>
          <w:lang w:val="pt-BR"/>
        </w:rPr>
        <w:t>º</w:t>
      </w:r>
      <w:r w:rsidRPr="008B3916">
        <w:rPr>
          <w:rFonts w:eastAsia="Calibri" w:cs="Tahoma"/>
          <w:b/>
          <w:szCs w:val="18"/>
          <w:lang w:val="pt-BR"/>
        </w:rPr>
        <w:t xml:space="preserve"> de abril de 2015)</w:t>
      </w:r>
    </w:p>
    <w:p w:rsidR="00A81E83" w:rsidRPr="008B3916" w:rsidRDefault="00A81E83" w:rsidP="008558DC">
      <w:pPr>
        <w:ind w:left="720"/>
        <w:rPr>
          <w:lang w:val="pt-BR"/>
        </w:rPr>
      </w:pPr>
      <w:r w:rsidRPr="008B3916">
        <w:rPr>
          <w:rFonts w:eastAsia="Calibri" w:cs="Tahoma"/>
          <w:szCs w:val="18"/>
          <w:lang w:val="pt-BR"/>
        </w:rPr>
        <w:t>Na sua primeira renovação de Software Assurance em ou depois de 1</w:t>
      </w:r>
      <w:r w:rsidRPr="008B3916">
        <w:rPr>
          <w:rFonts w:eastAsia="Calibri" w:cs="Tahoma"/>
          <w:szCs w:val="18"/>
          <w:vertAlign w:val="superscript"/>
          <w:lang w:val="pt-BR"/>
        </w:rPr>
        <w:t>º</w:t>
      </w:r>
      <w:r w:rsidRPr="008B3916">
        <w:rPr>
          <w:rFonts w:eastAsia="Calibri" w:cs="Tahoma"/>
          <w:szCs w:val="18"/>
          <w:lang w:val="pt-BR"/>
        </w:rPr>
        <w:t xml:space="preserve"> de abril de 2012 (mas antes de </w:t>
      </w:r>
      <w:r w:rsidR="00557CB6" w:rsidRPr="008B3916">
        <w:rPr>
          <w:rFonts w:eastAsia="Calibri" w:cs="Tahoma"/>
          <w:szCs w:val="18"/>
          <w:lang w:val="pt-BR"/>
        </w:rPr>
        <w:br/>
      </w:r>
      <w:r w:rsidRPr="008B3916">
        <w:rPr>
          <w:rFonts w:eastAsia="Calibri" w:cs="Tahoma"/>
          <w:szCs w:val="18"/>
          <w:lang w:val="pt-BR"/>
        </w:rPr>
        <w:t>1</w:t>
      </w:r>
      <w:r w:rsidRPr="008B3916">
        <w:rPr>
          <w:rFonts w:eastAsia="Calibri" w:cs="Tahoma"/>
          <w:szCs w:val="18"/>
          <w:vertAlign w:val="superscript"/>
          <w:lang w:val="pt-BR"/>
        </w:rPr>
        <w:t>º</w:t>
      </w:r>
      <w:r w:rsidRPr="008B3916">
        <w:rPr>
          <w:rFonts w:eastAsia="Calibri" w:cs="Tahoma"/>
          <w:szCs w:val="18"/>
          <w:lang w:val="pt-BR"/>
        </w:rPr>
        <w:t xml:space="preserve"> 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8B3916" w:rsidRDefault="00A81E83" w:rsidP="008558DC">
      <w:pPr>
        <w:numPr>
          <w:ilvl w:val="0"/>
          <w:numId w:val="142"/>
        </w:numPr>
        <w:tabs>
          <w:tab w:val="left" w:pos="1800"/>
        </w:tabs>
        <w:spacing w:after="60"/>
        <w:rPr>
          <w:lang w:val="pt-BR"/>
        </w:rPr>
      </w:pPr>
      <w:r w:rsidRPr="008B3916">
        <w:rPr>
          <w:rFonts w:eastAsia="Calibri" w:cs="Tahoma"/>
          <w:szCs w:val="18"/>
          <w:lang w:val="pt-BR"/>
        </w:rPr>
        <w:t>um número igual ao menor número de licenças qualificadas atribuído ao servidor ou o número total</w:t>
      </w:r>
      <w:r w:rsidR="00557CB6" w:rsidRPr="008B3916">
        <w:rPr>
          <w:rFonts w:eastAsia="Calibri" w:cs="Tahoma"/>
          <w:szCs w:val="18"/>
          <w:lang w:val="pt-BR"/>
        </w:rPr>
        <w:t> </w:t>
      </w:r>
      <w:r w:rsidRPr="008B3916">
        <w:rPr>
          <w:rFonts w:eastAsia="Calibri" w:cs="Tahoma"/>
          <w:szCs w:val="18"/>
          <w:lang w:val="pt-BR"/>
        </w:rPr>
        <w:t xml:space="preserve">de processadores físicos no servidor multiplicado pelo maior de: </w:t>
      </w:r>
    </w:p>
    <w:p w:rsidR="00A81E83" w:rsidRPr="00416070" w:rsidRDefault="00A81E83" w:rsidP="008558DC">
      <w:pPr>
        <w:numPr>
          <w:ilvl w:val="3"/>
          <w:numId w:val="69"/>
        </w:numPr>
        <w:spacing w:after="60"/>
        <w:ind w:left="2160"/>
      </w:pPr>
      <w:r w:rsidRPr="00416070">
        <w:rPr>
          <w:rFonts w:eastAsia="Calibri" w:cs="Tahoma"/>
          <w:szCs w:val="18"/>
        </w:rPr>
        <w:t>Quatro OU</w:t>
      </w:r>
    </w:p>
    <w:p w:rsidR="00A81E83" w:rsidRPr="008B3916" w:rsidRDefault="00A81E83" w:rsidP="008558DC">
      <w:pPr>
        <w:numPr>
          <w:ilvl w:val="3"/>
          <w:numId w:val="69"/>
        </w:numPr>
        <w:spacing w:after="60"/>
        <w:ind w:left="2160"/>
        <w:rPr>
          <w:lang w:val="pt-BR"/>
        </w:rPr>
      </w:pPr>
      <w:r w:rsidRPr="008B3916">
        <w:rPr>
          <w:rFonts w:eastAsia="Calibri" w:cs="Tahoma"/>
          <w:szCs w:val="18"/>
          <w:lang w:val="pt-BR"/>
        </w:rPr>
        <w:t>o número real de núcleos por processador físico multiplicado pelo fator do núcleo apropriado.</w:t>
      </w:r>
      <w:r w:rsidR="00FB5496" w:rsidRPr="008B3916">
        <w:rPr>
          <w:rFonts w:eastAsia="Calibri" w:cs="Tahoma"/>
          <w:szCs w:val="18"/>
          <w:lang w:val="pt-BR"/>
        </w:rPr>
        <w:t xml:space="preserve"> </w:t>
      </w:r>
      <w:r w:rsidRPr="008B3916">
        <w:rPr>
          <w:rFonts w:eastAsia="Calibri" w:cs="Tahoma"/>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w:t>
      </w:r>
      <w:r w:rsidR="00557CB6" w:rsidRPr="008B3916">
        <w:rPr>
          <w:rFonts w:eastAsia="Calibri" w:cs="Tahoma"/>
          <w:szCs w:val="18"/>
          <w:lang w:val="pt-BR"/>
        </w:rPr>
        <w:t> </w:t>
      </w:r>
      <w:r w:rsidRPr="008B3916">
        <w:rPr>
          <w:rFonts w:eastAsia="Calibri" w:cs="Tahoma"/>
          <w:szCs w:val="18"/>
          <w:lang w:val="pt-BR"/>
        </w:rPr>
        <w:t xml:space="preserve">MAP ou </w:t>
      </w:r>
      <w:r w:rsidR="008D0E85" w:rsidRPr="008B3916">
        <w:rPr>
          <w:rFonts w:eastAsia="Calibri" w:cs="Tahoma"/>
          <w:szCs w:val="18"/>
          <w:lang w:val="pt-BR"/>
        </w:rPr>
        <w:t>qualquer software equivalente.)</w:t>
      </w:r>
    </w:p>
    <w:p w:rsidR="008558DC" w:rsidRPr="008B3916" w:rsidRDefault="00A81E83" w:rsidP="008558DC">
      <w:pPr>
        <w:numPr>
          <w:ilvl w:val="0"/>
          <w:numId w:val="142"/>
        </w:numPr>
        <w:tabs>
          <w:tab w:val="left" w:pos="1800"/>
        </w:tabs>
        <w:spacing w:after="60"/>
        <w:rPr>
          <w:lang w:val="pt-BR"/>
        </w:rPr>
      </w:pPr>
      <w:r w:rsidRPr="008B3916">
        <w:rPr>
          <w:rFonts w:eastAsia="Calibri" w:cs="Tahoma"/>
          <w:szCs w:val="18"/>
          <w:lang w:val="pt-BR"/>
        </w:rPr>
        <w:t>um número igual ao número das licenças qualificadas atribuído ao servidor em excesso do número real de processadores físicos no servidor multiplicado por quatro.</w:t>
      </w:r>
    </w:p>
    <w:p w:rsidR="00E5029B" w:rsidRPr="008B3916" w:rsidRDefault="00E5029B">
      <w:pPr>
        <w:rPr>
          <w:lang w:val="pt-BR"/>
        </w:rPr>
      </w:pPr>
    </w:p>
    <w:p w:rsidR="008558DC" w:rsidRPr="008B3916" w:rsidRDefault="00A81E83" w:rsidP="008558DC">
      <w:pPr>
        <w:spacing w:after="60"/>
        <w:ind w:left="720"/>
        <w:rPr>
          <w:lang w:val="pt-BR"/>
        </w:rPr>
      </w:pPr>
      <w:r w:rsidRPr="008B3916">
        <w:rPr>
          <w:rFonts w:eastAsia="Calibri" w:cs="Tahoma"/>
          <w:b/>
          <w:szCs w:val="18"/>
          <w:lang w:val="pt-BR"/>
        </w:rPr>
        <w:t>Primeiro Prazo de Renovação (em ou após 1</w:t>
      </w:r>
      <w:r w:rsidRPr="008B3916">
        <w:rPr>
          <w:rFonts w:eastAsia="Calibri" w:cs="Tahoma"/>
          <w:b/>
          <w:szCs w:val="18"/>
          <w:vertAlign w:val="superscript"/>
          <w:lang w:val="pt-BR"/>
        </w:rPr>
        <w:t>º</w:t>
      </w:r>
      <w:r w:rsidRPr="008B3916">
        <w:rPr>
          <w:rFonts w:eastAsia="Calibri" w:cs="Tahoma"/>
          <w:b/>
          <w:szCs w:val="18"/>
          <w:lang w:val="pt-BR"/>
        </w:rPr>
        <w:t xml:space="preserve"> de abril de 2015)</w:t>
      </w:r>
    </w:p>
    <w:p w:rsidR="00A81E83" w:rsidRPr="008B3916" w:rsidRDefault="00A81E83" w:rsidP="008558DC">
      <w:pPr>
        <w:ind w:left="720"/>
        <w:contextualSpacing/>
        <w:rPr>
          <w:lang w:val="pt-BR"/>
        </w:rPr>
      </w:pPr>
      <w:r w:rsidRPr="008B3916">
        <w:rPr>
          <w:rFonts w:eastAsia="Calibri" w:cs="Tahoma"/>
          <w:color w:val="000000"/>
          <w:szCs w:val="18"/>
          <w:lang w:val="pt-BR"/>
        </w:rPr>
        <w:t>Os clientes que renovaram primeiro a cobertura em ou depois de 1</w:t>
      </w:r>
      <w:r w:rsidR="00557CB6" w:rsidRPr="008B3916">
        <w:rPr>
          <w:rFonts w:eastAsia="Calibri" w:cs="Tahoma"/>
          <w:szCs w:val="18"/>
          <w:vertAlign w:val="superscript"/>
          <w:lang w:val="pt-BR"/>
        </w:rPr>
        <w:t>º</w:t>
      </w:r>
      <w:r w:rsidRPr="008B3916">
        <w:rPr>
          <w:rFonts w:eastAsia="Calibri" w:cs="Tahoma"/>
          <w:color w:val="000000"/>
          <w:szCs w:val="18"/>
          <w:lang w:val="pt-BR"/>
        </w:rPr>
        <w:t>. de abril de 2015</w:t>
      </w:r>
      <w:r w:rsidRPr="008B3916">
        <w:rPr>
          <w:rFonts w:eastAsia="Calibri" w:cs="Tahoma"/>
          <w:szCs w:val="18"/>
          <w:lang w:val="pt-BR"/>
        </w:rPr>
        <w:t xml:space="preserve"> poderão, para qualquer servidor no qual eles estejam devidamente licenciados sob os direitos de uso do produto da licença</w:t>
      </w:r>
      <w:r w:rsidR="00557CB6" w:rsidRPr="008B3916">
        <w:rPr>
          <w:rFonts w:eastAsia="Calibri" w:cs="Tahoma"/>
          <w:szCs w:val="18"/>
          <w:lang w:val="pt-BR"/>
        </w:rPr>
        <w:t> </w:t>
      </w:r>
      <w:r w:rsidRPr="008B3916">
        <w:rPr>
          <w:rFonts w:eastAsia="Calibri" w:cs="Tahoma"/>
          <w:szCs w:val="18"/>
          <w:lang w:val="pt-BR"/>
        </w:rPr>
        <w:t>do processador SQK Server 2008 R2, adquirir o Software Assurance, como pode ser visto a seguir:</w:t>
      </w:r>
    </w:p>
    <w:p w:rsidR="008558DC" w:rsidRPr="008B3916" w:rsidRDefault="008558DC" w:rsidP="008558DC">
      <w:pPr>
        <w:ind w:left="720"/>
        <w:contextualSpacing/>
        <w:rPr>
          <w:lang w:val="pt-BR"/>
        </w:rPr>
      </w:pPr>
    </w:p>
    <w:p w:rsidR="00A81E83" w:rsidRPr="008B3916" w:rsidRDefault="00A81E83" w:rsidP="008C1816">
      <w:pPr>
        <w:numPr>
          <w:ilvl w:val="3"/>
          <w:numId w:val="107"/>
        </w:numPr>
        <w:spacing w:after="60"/>
        <w:ind w:left="1440"/>
        <w:rPr>
          <w:lang w:val="pt-BR"/>
        </w:rPr>
      </w:pPr>
      <w:r w:rsidRPr="008B3916">
        <w:rPr>
          <w:rFonts w:eastAsia="Calibri" w:cs="Tahoma"/>
          <w:szCs w:val="18"/>
          <w:lang w:val="pt-BR"/>
        </w:rPr>
        <w:t>Conforme fornecido no primeiro parágrafo desta nota do produto, as licenças adquiridas antes de</w:t>
      </w:r>
      <w:r w:rsidR="008C1816" w:rsidRPr="008B3916">
        <w:rPr>
          <w:rFonts w:eastAsia="Calibri" w:cs="Tahoma"/>
          <w:szCs w:val="18"/>
          <w:lang w:val="pt-BR"/>
        </w:rPr>
        <w:t> </w:t>
      </w:r>
      <w:r w:rsidRPr="008B3916">
        <w:rPr>
          <w:rFonts w:eastAsia="Calibri" w:cs="Tahoma"/>
          <w:szCs w:val="18"/>
          <w:lang w:val="pt-BR"/>
        </w:rPr>
        <w:t>1</w:t>
      </w:r>
      <w:r w:rsidRPr="008B3916">
        <w:rPr>
          <w:rFonts w:eastAsia="Calibri" w:cs="Tahoma"/>
          <w:szCs w:val="18"/>
          <w:vertAlign w:val="superscript"/>
          <w:lang w:val="pt-BR"/>
        </w:rPr>
        <w:t>º</w:t>
      </w:r>
      <w:r w:rsidRPr="008B3916">
        <w:rPr>
          <w:rFonts w:eastAsia="Calibri" w:cs="Tahoma"/>
          <w:szCs w:val="18"/>
          <w:lang w:val="pt-BR"/>
        </w:rPr>
        <w:t xml:space="preserve"> de abril de 2015 são licenças qualificadas, e os clientes poderão renovar o SA de acordo com</w:t>
      </w:r>
      <w:r w:rsidR="008C1816" w:rsidRPr="008B3916">
        <w:rPr>
          <w:rFonts w:eastAsia="Calibri" w:cs="Tahoma"/>
          <w:szCs w:val="18"/>
          <w:lang w:val="pt-BR"/>
        </w:rPr>
        <w:t> </w:t>
      </w:r>
      <w:r w:rsidRPr="008B3916">
        <w:rPr>
          <w:rFonts w:eastAsia="Calibri" w:cs="Tahoma"/>
          <w:szCs w:val="18"/>
          <w:lang w:val="pt-BR"/>
        </w:rPr>
        <w:t>os termos na seção “Primeiro Prazo de Renovação (Antes de 1</w:t>
      </w:r>
      <w:r w:rsidRPr="008B3916">
        <w:rPr>
          <w:rFonts w:eastAsia="Calibri" w:cs="Tahoma"/>
          <w:szCs w:val="18"/>
          <w:vertAlign w:val="superscript"/>
          <w:lang w:val="pt-BR"/>
        </w:rPr>
        <w:t>º</w:t>
      </w:r>
      <w:r w:rsidRPr="008B3916">
        <w:rPr>
          <w:rFonts w:eastAsia="Calibri" w:cs="Tahoma"/>
          <w:szCs w:val="18"/>
          <w:lang w:val="pt-BR"/>
        </w:rPr>
        <w:t xml:space="preserve"> de abril de 2015)</w:t>
      </w:r>
      <w:r w:rsidR="00910E93" w:rsidRPr="008B3916">
        <w:rPr>
          <w:rFonts w:eastAsia="Calibri" w:cs="Tahoma"/>
          <w:szCs w:val="18"/>
          <w:lang w:val="pt-BR"/>
        </w:rPr>
        <w:t>”</w:t>
      </w:r>
      <w:r w:rsidRPr="008B3916">
        <w:rPr>
          <w:rFonts w:eastAsia="Calibri" w:cs="Tahoma"/>
          <w:szCs w:val="18"/>
          <w:lang w:val="pt-BR"/>
        </w:rPr>
        <w:t xml:space="preserve"> acima e</w:t>
      </w:r>
    </w:p>
    <w:p w:rsidR="00A81E83" w:rsidRPr="008B3916" w:rsidRDefault="00A81E83" w:rsidP="008558DC">
      <w:pPr>
        <w:numPr>
          <w:ilvl w:val="3"/>
          <w:numId w:val="107"/>
        </w:numPr>
        <w:spacing w:after="60"/>
        <w:ind w:left="1440"/>
        <w:rPr>
          <w:lang w:val="pt-BR"/>
        </w:rPr>
      </w:pPr>
      <w:r w:rsidRPr="008B3916">
        <w:rPr>
          <w:rFonts w:eastAsia="Calibri" w:cs="Tahoma"/>
          <w:szCs w:val="18"/>
          <w:lang w:val="pt-BR"/>
        </w:rPr>
        <w:t>Para as licenças adquiridas depois de 1</w:t>
      </w:r>
      <w:r w:rsidRPr="008B3916">
        <w:rPr>
          <w:rFonts w:eastAsia="Calibri" w:cs="Tahoma"/>
          <w:szCs w:val="18"/>
          <w:vertAlign w:val="superscript"/>
          <w:lang w:val="pt-BR"/>
        </w:rPr>
        <w:t>º</w:t>
      </w:r>
      <w:r w:rsidRPr="008B3916">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rsidR="00A81E83" w:rsidRPr="008B3916" w:rsidRDefault="00A81E83" w:rsidP="008558DC">
      <w:pPr>
        <w:numPr>
          <w:ilvl w:val="0"/>
          <w:numId w:val="64"/>
        </w:numPr>
        <w:spacing w:after="60"/>
        <w:ind w:left="1440"/>
        <w:rPr>
          <w:lang w:val="pt-BR"/>
        </w:rPr>
      </w:pPr>
      <w:r w:rsidRPr="008B3916">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rsidR="008558DC" w:rsidRPr="008B3916" w:rsidRDefault="008558DC" w:rsidP="008558DC">
      <w:pPr>
        <w:ind w:left="720"/>
        <w:contextualSpacing/>
        <w:rPr>
          <w:lang w:val="pt-BR"/>
        </w:rPr>
      </w:pPr>
    </w:p>
    <w:p w:rsidR="008558DC" w:rsidRPr="008B3916" w:rsidRDefault="00A81E83" w:rsidP="008558DC">
      <w:pPr>
        <w:spacing w:after="60"/>
        <w:ind w:left="720"/>
        <w:rPr>
          <w:lang w:val="pt-BR"/>
        </w:rPr>
      </w:pPr>
      <w:r w:rsidRPr="008B3916">
        <w:rPr>
          <w:rFonts w:eastAsia="Calibri" w:cs="Tahoma"/>
          <w:b/>
          <w:szCs w:val="18"/>
          <w:lang w:val="pt-BR"/>
        </w:rPr>
        <w:t>Para os clientes com cobertura de Software Assurance que expiram antes de 1</w:t>
      </w:r>
      <w:r w:rsidRPr="008B3916">
        <w:rPr>
          <w:rFonts w:eastAsia="Calibri" w:cs="Tahoma"/>
          <w:b/>
          <w:szCs w:val="18"/>
          <w:vertAlign w:val="superscript"/>
          <w:lang w:val="pt-BR"/>
        </w:rPr>
        <w:t>º</w:t>
      </w:r>
      <w:r w:rsidRPr="008B3916">
        <w:rPr>
          <w:rFonts w:eastAsia="Calibri" w:cs="Tahoma"/>
          <w:b/>
          <w:szCs w:val="18"/>
          <w:lang w:val="pt-BR"/>
        </w:rPr>
        <w:t xml:space="preserve"> de abril de 2015 que optaram pela não renovação</w:t>
      </w:r>
    </w:p>
    <w:p w:rsidR="00A81E83" w:rsidRPr="008B3916" w:rsidRDefault="00A81E83" w:rsidP="008D0E85">
      <w:pPr>
        <w:ind w:left="720"/>
        <w:contextualSpacing/>
        <w:rPr>
          <w:lang w:val="pt-BR"/>
        </w:rPr>
      </w:pPr>
      <w:r w:rsidRPr="008B3916">
        <w:rPr>
          <w:rFonts w:eastAsia="Calibri" w:cs="Tahoma"/>
          <w:szCs w:val="18"/>
          <w:lang w:val="pt-BR"/>
        </w:rPr>
        <w:t xml:space="preserve">Os clientes do Enterprise Subscription </w:t>
      </w:r>
      <w:r w:rsidRPr="008B3916">
        <w:rPr>
          <w:rFonts w:cs="Tahoma"/>
          <w:bCs/>
          <w:color w:val="000000"/>
          <w:szCs w:val="18"/>
          <w:lang w:val="pt-BR"/>
        </w:rPr>
        <w:t xml:space="preserve">e Open Value Subscription </w:t>
      </w:r>
      <w:r w:rsidRPr="008B3916">
        <w:rPr>
          <w:rFonts w:eastAsia="Calibri" w:cs="Tahoma"/>
          <w:szCs w:val="18"/>
          <w:lang w:val="pt-BR"/>
        </w:rPr>
        <w:t>com cobertura expirando antes de 1</w:t>
      </w:r>
      <w:r w:rsidRPr="008B3916">
        <w:rPr>
          <w:rFonts w:eastAsia="Calibri" w:cs="Tahoma"/>
          <w:szCs w:val="18"/>
          <w:vertAlign w:val="superscript"/>
          <w:lang w:val="pt-BR"/>
        </w:rPr>
        <w:t>º</w:t>
      </w:r>
      <w:r w:rsidRPr="008B3916">
        <w:rPr>
          <w:rFonts w:eastAsia="Calibri" w:cs="Tahoma"/>
          <w:szCs w:val="18"/>
          <w:lang w:val="pt-BR"/>
        </w:rPr>
        <w:t xml:space="preserve"> de abril de 2015 que optarem por comprar licenças de processador e quaisquer outros clientes que adquirirem licenças perpétuas sob este contrato e optarem por não renovar o Software Assurance poderão executar o</w:t>
      </w:r>
      <w:r w:rsidR="008D0E85" w:rsidRPr="008B3916">
        <w:rPr>
          <w:rFonts w:eastAsia="Calibri" w:cs="Tahoma"/>
          <w:szCs w:val="18"/>
          <w:lang w:val="pt-BR"/>
        </w:rPr>
        <w:t> </w:t>
      </w:r>
      <w:r w:rsidRPr="008B3916">
        <w:rPr>
          <w:rFonts w:eastAsia="Calibri" w:cs="Tahoma"/>
          <w:szCs w:val="18"/>
          <w:lang w:val="pt-BR"/>
        </w:rPr>
        <w:t>SQL Server 2008 R2 ou SQL Server 2012 sob essas licenças da seguinte forma:</w:t>
      </w:r>
    </w:p>
    <w:p w:rsidR="00A81E83" w:rsidRPr="008D38F6" w:rsidRDefault="00A81E83" w:rsidP="00B06AAC">
      <w:pPr>
        <w:numPr>
          <w:ilvl w:val="0"/>
          <w:numId w:val="108"/>
        </w:numPr>
        <w:tabs>
          <w:tab w:val="left" w:pos="1800"/>
        </w:tabs>
        <w:spacing w:after="60"/>
        <w:ind w:left="1800"/>
        <w:rPr>
          <w:lang w:val="pt-BR"/>
        </w:rPr>
      </w:pPr>
      <w:r w:rsidRPr="008D38F6">
        <w:rPr>
          <w:rFonts w:eastAsia="Calibri" w:cs="Tahoma"/>
          <w:b/>
          <w:szCs w:val="18"/>
          <w:lang w:val="pt-BR"/>
        </w:rPr>
        <w:t>SQL Server 2008 R2 Web:</w:t>
      </w:r>
      <w:r w:rsidRPr="008D38F6">
        <w:rPr>
          <w:rFonts w:eastAsia="Calibri" w:cs="Tahoma"/>
          <w:szCs w:val="18"/>
          <w:lang w:val="pt-BR"/>
        </w:rPr>
        <w:t xml:space="preserve"> O uso contínuo do referido software está sujeito aos direitos de uso do produto de licença do processador do SQL Server 2008 R2 Web. Os clientes não têm mais direitos sob Mobilidade de Licença nos Farms de Servidores nem Mobilidade de Licença por meio de Software Assurance. </w:t>
      </w:r>
    </w:p>
    <w:p w:rsidR="00A81E83" w:rsidRPr="008D38F6" w:rsidRDefault="00A81E83" w:rsidP="00B06AAC">
      <w:pPr>
        <w:numPr>
          <w:ilvl w:val="0"/>
          <w:numId w:val="108"/>
        </w:numPr>
        <w:tabs>
          <w:tab w:val="left" w:pos="1800"/>
        </w:tabs>
        <w:spacing w:after="60"/>
        <w:ind w:left="1800"/>
        <w:rPr>
          <w:lang w:val="pt-BR"/>
        </w:rPr>
      </w:pPr>
      <w:r w:rsidRPr="008D38F6">
        <w:rPr>
          <w:rFonts w:eastAsia="Calibri" w:cs="Tahoma"/>
          <w:b/>
          <w:szCs w:val="18"/>
          <w:lang w:val="pt-BR"/>
        </w:rPr>
        <w:t xml:space="preserve">SQL Server 2012 Standard Core: </w:t>
      </w:r>
      <w:r w:rsidRPr="008D38F6">
        <w:rPr>
          <w:rFonts w:eastAsia="Calibri" w:cs="Tahoma"/>
          <w:szCs w:val="18"/>
          <w:lang w:val="pt-BR"/>
        </w:rPr>
        <w:t xml:space="preserve">O uso desta versão do software está sujeito aos direitos de uso do produto de licença do processador do SQL Server 2008 R2 Standard, no entanto: </w:t>
      </w:r>
    </w:p>
    <w:p w:rsidR="00A81E83" w:rsidRPr="008D38F6" w:rsidRDefault="00A81E83" w:rsidP="00B06AAC">
      <w:pPr>
        <w:numPr>
          <w:ilvl w:val="1"/>
          <w:numId w:val="66"/>
        </w:numPr>
        <w:tabs>
          <w:tab w:val="left" w:pos="2160"/>
        </w:tabs>
        <w:spacing w:after="60"/>
        <w:ind w:left="2160"/>
        <w:rPr>
          <w:lang w:val="pt-BR"/>
        </w:rPr>
      </w:pPr>
      <w:r w:rsidRPr="008D38F6">
        <w:rPr>
          <w:rFonts w:eastAsia="Calibri" w:cs="Tahoma"/>
          <w:szCs w:val="18"/>
          <w:lang w:val="pt-BR"/>
        </w:rPr>
        <w:t xml:space="preserve">os clientes não têm mais direitos sob Mobilidade de Licença nos Farms de Servidores nem Mobilidade de Licença por meio de Software Assurance e </w:t>
      </w:r>
    </w:p>
    <w:p w:rsidR="00A81E83" w:rsidRPr="008D38F6" w:rsidRDefault="00A81E83" w:rsidP="00B06AAC">
      <w:pPr>
        <w:numPr>
          <w:ilvl w:val="1"/>
          <w:numId w:val="66"/>
        </w:numPr>
        <w:tabs>
          <w:tab w:val="left" w:pos="2160"/>
        </w:tabs>
        <w:spacing w:after="60"/>
        <w:ind w:left="2160"/>
        <w:rPr>
          <w:lang w:val="pt-BR"/>
        </w:rPr>
      </w:pPr>
      <w:r w:rsidRPr="008D38F6">
        <w:rPr>
          <w:rFonts w:eastAsia="Calibri" w:cs="Tahoma"/>
          <w:szCs w:val="18"/>
          <w:lang w:val="pt-BR"/>
        </w:rPr>
        <w:t>quaisquer reatribuição de licenças está sujeita a limitações em (i) e (ii) abaixo relacionada</w:t>
      </w:r>
      <w:r w:rsidR="00557CB6" w:rsidRPr="008D38F6">
        <w:rPr>
          <w:rFonts w:eastAsia="Calibri" w:cs="Tahoma"/>
          <w:szCs w:val="18"/>
          <w:lang w:val="pt-BR"/>
        </w:rPr>
        <w:t> </w:t>
      </w:r>
      <w:r w:rsidRPr="008D38F6">
        <w:rPr>
          <w:rFonts w:eastAsia="Calibri" w:cs="Tahoma"/>
          <w:szCs w:val="18"/>
          <w:lang w:val="pt-BR"/>
        </w:rPr>
        <w:t xml:space="preserve">a sua “equivalência de licença principal”. A equivalência de licença </w:t>
      </w:r>
      <w:r w:rsidR="00557CB6" w:rsidRPr="008D38F6">
        <w:rPr>
          <w:rFonts w:eastAsia="Calibri" w:cs="Tahoma"/>
          <w:szCs w:val="18"/>
          <w:lang w:val="pt-BR"/>
        </w:rPr>
        <w:br/>
      </w:r>
      <w:r w:rsidRPr="008D38F6">
        <w:rPr>
          <w:rFonts w:eastAsia="Calibri" w:cs="Tahoma"/>
          <w:szCs w:val="18"/>
          <w:lang w:val="pt-BR"/>
        </w:rPr>
        <w:t xml:space="preserve">principal é determinada da seguinte forma: </w:t>
      </w:r>
    </w:p>
    <w:p w:rsidR="00A81E83" w:rsidRPr="008D38F6" w:rsidRDefault="00A81E83" w:rsidP="00B06AAC">
      <w:pPr>
        <w:numPr>
          <w:ilvl w:val="2"/>
          <w:numId w:val="66"/>
        </w:numPr>
        <w:tabs>
          <w:tab w:val="left" w:pos="2520"/>
        </w:tabs>
        <w:spacing w:after="60"/>
        <w:ind w:left="2520"/>
        <w:rPr>
          <w:lang w:val="pt-BR"/>
        </w:rPr>
      </w:pPr>
      <w:r w:rsidRPr="008D38F6">
        <w:rPr>
          <w:rFonts w:eastAsia="Calibri" w:cs="Tahoma"/>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8D38F6" w:rsidRDefault="00A81E83" w:rsidP="00B06AAC">
      <w:pPr>
        <w:numPr>
          <w:ilvl w:val="4"/>
          <w:numId w:val="64"/>
        </w:numPr>
        <w:tabs>
          <w:tab w:val="left" w:pos="2880"/>
        </w:tabs>
        <w:spacing w:after="60"/>
        <w:ind w:left="2880"/>
        <w:rPr>
          <w:lang w:val="pt-BR"/>
        </w:rPr>
      </w:pPr>
      <w:r w:rsidRPr="008D38F6">
        <w:rPr>
          <w:rFonts w:eastAsia="Calibri" w:cs="Tahoma"/>
          <w:szCs w:val="18"/>
          <w:lang w:val="pt-BR"/>
        </w:rPr>
        <w:t xml:space="preserve">quatro núcleos por licença de processador OU </w:t>
      </w:r>
    </w:p>
    <w:p w:rsidR="00A81E83" w:rsidRPr="008D38F6" w:rsidRDefault="00A81E83" w:rsidP="00B06AAC">
      <w:pPr>
        <w:numPr>
          <w:ilvl w:val="4"/>
          <w:numId w:val="64"/>
        </w:numPr>
        <w:tabs>
          <w:tab w:val="left" w:pos="2880"/>
        </w:tabs>
        <w:spacing w:after="60"/>
        <w:ind w:left="2880"/>
        <w:rPr>
          <w:lang w:val="pt-BR"/>
        </w:rPr>
      </w:pPr>
      <w:r w:rsidRPr="008D38F6">
        <w:rPr>
          <w:rFonts w:eastAsia="Calibri" w:cs="Tahoma"/>
          <w:szCs w:val="18"/>
          <w:lang w:val="pt-BR"/>
        </w:rPr>
        <w:t>um número de núcleos por licença do processador com base no número real de</w:t>
      </w:r>
      <w:r w:rsidR="00557CB6" w:rsidRPr="008D38F6">
        <w:rPr>
          <w:rFonts w:eastAsia="Calibri" w:cs="Tahoma"/>
          <w:szCs w:val="18"/>
          <w:lang w:val="pt-BR"/>
        </w:rPr>
        <w:t> </w:t>
      </w:r>
      <w:r w:rsidRPr="008D38F6">
        <w:rPr>
          <w:rFonts w:eastAsia="Calibri" w:cs="Tahoma"/>
          <w:szCs w:val="18"/>
          <w:lang w:val="pt-BR"/>
        </w:rPr>
        <w:t xml:space="preserve">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558DC" w:rsidRPr="008D38F6" w:rsidRDefault="00A81E83" w:rsidP="00B06AAC">
      <w:pPr>
        <w:numPr>
          <w:ilvl w:val="2"/>
          <w:numId w:val="66"/>
        </w:numPr>
        <w:tabs>
          <w:tab w:val="left" w:pos="2520"/>
        </w:tabs>
        <w:spacing w:after="60"/>
        <w:ind w:left="2520"/>
        <w:rPr>
          <w:lang w:val="pt-BR"/>
        </w:rPr>
      </w:pPr>
      <w:r w:rsidRPr="008D38F6">
        <w:rPr>
          <w:rFonts w:eastAsia="Calibri" w:cs="Tahoma"/>
          <w:szCs w:val="18"/>
          <w:lang w:val="pt-BR"/>
        </w:rPr>
        <w:t>Para qualquer licença de processador com um Software Assurance expirando atribuído ao mesmo servidor licenciado em excesso do número real de processadores</w:t>
      </w:r>
      <w:r w:rsidR="00557CB6" w:rsidRPr="008D38F6">
        <w:rPr>
          <w:rFonts w:eastAsia="Calibri" w:cs="Tahoma"/>
          <w:szCs w:val="18"/>
          <w:lang w:val="pt-BR"/>
        </w:rPr>
        <w:t> </w:t>
      </w:r>
      <w:r w:rsidRPr="008D38F6">
        <w:rPr>
          <w:rFonts w:eastAsia="Calibri" w:cs="Tahoma"/>
          <w:szCs w:val="18"/>
          <w:lang w:val="pt-BR"/>
        </w:rPr>
        <w:t xml:space="preserve">físicos no servidor, a equivalência de núcleo é de quatro </w:t>
      </w:r>
      <w:r w:rsidR="00557CB6" w:rsidRPr="008D38F6">
        <w:rPr>
          <w:rFonts w:eastAsia="Calibri" w:cs="Tahoma"/>
          <w:szCs w:val="18"/>
          <w:lang w:val="pt-BR"/>
        </w:rPr>
        <w:br/>
      </w:r>
      <w:r w:rsidRPr="008D38F6">
        <w:rPr>
          <w:rFonts w:eastAsia="Calibri" w:cs="Tahoma"/>
          <w:szCs w:val="18"/>
          <w:lang w:val="pt-BR"/>
        </w:rPr>
        <w:t>núcleos por licença de processador.</w:t>
      </w:r>
    </w:p>
    <w:p w:rsidR="00A81E83" w:rsidRPr="008D38F6" w:rsidRDefault="00A81E83" w:rsidP="00B06AAC">
      <w:pPr>
        <w:numPr>
          <w:ilvl w:val="1"/>
          <w:numId w:val="66"/>
        </w:numPr>
        <w:tabs>
          <w:tab w:val="left" w:pos="2160"/>
        </w:tabs>
        <w:spacing w:after="60"/>
        <w:ind w:left="2160"/>
        <w:rPr>
          <w:lang w:val="pt-BR"/>
        </w:rPr>
      </w:pPr>
      <w:r w:rsidRPr="008D38F6">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A81E83" w:rsidRPr="008D38F6" w:rsidRDefault="00A81E83" w:rsidP="00B06AAC">
      <w:pPr>
        <w:numPr>
          <w:ilvl w:val="1"/>
          <w:numId w:val="66"/>
        </w:numPr>
        <w:tabs>
          <w:tab w:val="left" w:pos="2160"/>
        </w:tabs>
        <w:spacing w:after="60"/>
        <w:ind w:left="2160"/>
        <w:rPr>
          <w:lang w:val="pt-BR"/>
        </w:rPr>
      </w:pPr>
      <w:r w:rsidRPr="008D38F6">
        <w:rPr>
          <w:rFonts w:eastAsia="Calibri" w:cs="Tahoma"/>
          <w:szCs w:val="18"/>
          <w:lang w:val="pt-BR"/>
        </w:rPr>
        <w:t>A equivalência de licença principal dos clientes não implica que eles podem atribuir uma única licença de processador a núcleos por dois ou mais processadores.</w:t>
      </w:r>
    </w:p>
    <w:p w:rsidR="00B06AAC" w:rsidRPr="008D38F6" w:rsidRDefault="00B06AAC" w:rsidP="00B06AAC">
      <w:pPr>
        <w:tabs>
          <w:tab w:val="left" w:pos="2160"/>
        </w:tabs>
        <w:spacing w:after="60"/>
        <w:rPr>
          <w:lang w:val="pt-BR"/>
        </w:rPr>
      </w:pPr>
    </w:p>
    <w:p w:rsidR="00B06AAC" w:rsidRPr="008D38F6" w:rsidRDefault="00A81E83" w:rsidP="00B06AAC">
      <w:pPr>
        <w:tabs>
          <w:tab w:val="left" w:pos="720"/>
        </w:tabs>
        <w:spacing w:after="60"/>
        <w:ind w:left="720"/>
        <w:rPr>
          <w:lang w:val="pt-BR"/>
        </w:rPr>
      </w:pPr>
      <w:r w:rsidRPr="008D38F6">
        <w:rPr>
          <w:rFonts w:eastAsia="Calibri" w:cs="Tahoma"/>
          <w:b/>
          <w:szCs w:val="18"/>
          <w:lang w:val="pt-BR"/>
        </w:rPr>
        <w:t xml:space="preserve">Para os clientes com cobertura de Software Assurance que expiram em ou depois de </w:t>
      </w:r>
      <w:r w:rsidR="00557CB6" w:rsidRPr="008D38F6">
        <w:rPr>
          <w:rFonts w:eastAsia="Calibri" w:cs="Tahoma"/>
          <w:b/>
          <w:szCs w:val="18"/>
          <w:lang w:val="pt-BR"/>
        </w:rPr>
        <w:br/>
      </w:r>
      <w:r w:rsidRPr="008D38F6">
        <w:rPr>
          <w:rFonts w:eastAsia="Calibri" w:cs="Tahoma"/>
          <w:b/>
          <w:szCs w:val="18"/>
          <w:lang w:val="pt-BR"/>
        </w:rPr>
        <w:t>1</w:t>
      </w:r>
      <w:r w:rsidRPr="008D38F6">
        <w:rPr>
          <w:rFonts w:eastAsia="Calibri" w:cs="Tahoma"/>
          <w:b/>
          <w:szCs w:val="18"/>
          <w:vertAlign w:val="superscript"/>
          <w:lang w:val="pt-BR"/>
        </w:rPr>
        <w:t>º</w:t>
      </w:r>
      <w:r w:rsidRPr="008D38F6">
        <w:rPr>
          <w:rFonts w:eastAsia="Calibri" w:cs="Tahoma"/>
          <w:b/>
          <w:szCs w:val="18"/>
          <w:lang w:val="pt-BR"/>
        </w:rPr>
        <w:t xml:space="preserve"> de abril de 2015 que optaram pela não renovação</w:t>
      </w:r>
    </w:p>
    <w:p w:rsidR="00A81E83" w:rsidRPr="008D38F6" w:rsidRDefault="00A81E83" w:rsidP="00B06AAC">
      <w:pPr>
        <w:tabs>
          <w:tab w:val="left" w:pos="720"/>
        </w:tabs>
        <w:ind w:left="720"/>
        <w:contextualSpacing/>
        <w:rPr>
          <w:lang w:val="pt-BR"/>
        </w:rPr>
      </w:pPr>
      <w:r w:rsidRPr="008D38F6">
        <w:rPr>
          <w:rFonts w:eastAsia="Calibri" w:cs="Tahoma"/>
          <w:color w:val="000000"/>
          <w:szCs w:val="18"/>
          <w:lang w:val="pt-BR"/>
        </w:rPr>
        <w:t xml:space="preserve">Os clientes do Enterprise Subscription </w:t>
      </w:r>
      <w:r w:rsidRPr="008D38F6">
        <w:rPr>
          <w:rFonts w:cs="Tahoma"/>
          <w:bCs/>
          <w:color w:val="000000"/>
          <w:szCs w:val="18"/>
          <w:lang w:val="pt-BR"/>
        </w:rPr>
        <w:t xml:space="preserve">e Open Value Subscription </w:t>
      </w:r>
      <w:r w:rsidRPr="008D38F6">
        <w:rPr>
          <w:rFonts w:eastAsia="Calibri" w:cs="Tahoma"/>
          <w:color w:val="000000"/>
          <w:szCs w:val="18"/>
          <w:lang w:val="pt-BR"/>
        </w:rPr>
        <w:t>com cobertura expirando em ou depois de</w:t>
      </w:r>
      <w:r w:rsidR="00557CB6" w:rsidRPr="008D38F6">
        <w:rPr>
          <w:rFonts w:eastAsia="Calibri" w:cs="Tahoma"/>
          <w:color w:val="000000"/>
          <w:szCs w:val="18"/>
          <w:lang w:val="pt-BR"/>
        </w:rPr>
        <w:t> </w:t>
      </w:r>
      <w:r w:rsidRPr="008D38F6">
        <w:rPr>
          <w:rFonts w:eastAsia="Calibri" w:cs="Tahoma"/>
          <w:color w:val="000000"/>
          <w:szCs w:val="18"/>
          <w:lang w:val="pt-BR"/>
        </w:rPr>
        <w:t>1</w:t>
      </w:r>
      <w:r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abril de 2015 que optarem por comprar licenças de processador e quaisquer outros clientes que adquirirem licenças perpétuas sob este contrato terão as seguintes opções: </w:t>
      </w:r>
    </w:p>
    <w:p w:rsidR="00B06AAC" w:rsidRPr="008D38F6" w:rsidRDefault="00B06AAC" w:rsidP="00B06AAC">
      <w:pPr>
        <w:tabs>
          <w:tab w:val="left" w:pos="720"/>
        </w:tabs>
        <w:ind w:left="720"/>
        <w:contextualSpacing/>
        <w:rPr>
          <w:lang w:val="pt-BR"/>
        </w:rPr>
      </w:pPr>
    </w:p>
    <w:p w:rsidR="00A81E83" w:rsidRPr="008D38F6" w:rsidRDefault="00A81E83" w:rsidP="00B06AAC">
      <w:pPr>
        <w:numPr>
          <w:ilvl w:val="2"/>
          <w:numId w:val="64"/>
        </w:numPr>
        <w:spacing w:after="60"/>
        <w:ind w:left="1440"/>
        <w:rPr>
          <w:lang w:val="pt-BR"/>
        </w:rPr>
      </w:pPr>
      <w:r w:rsidRPr="008D38F6">
        <w:rPr>
          <w:rFonts w:eastAsia="Calibri" w:cs="Tahoma"/>
          <w:szCs w:val="18"/>
          <w:lang w:val="pt-BR"/>
        </w:rPr>
        <w:t>Conforme fornecido no primeiro parágrafo desta nota de produto, as licenças adquiridas antes de 1</w:t>
      </w:r>
      <w:r w:rsidRPr="008D38F6">
        <w:rPr>
          <w:rFonts w:eastAsia="Calibri" w:cs="Tahoma"/>
          <w:szCs w:val="18"/>
          <w:vertAlign w:val="superscript"/>
          <w:lang w:val="pt-BR"/>
        </w:rPr>
        <w:t>º</w:t>
      </w:r>
      <w:r w:rsidRPr="008D38F6">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w:t>
      </w:r>
      <w:r w:rsidRPr="008D38F6">
        <w:rPr>
          <w:rFonts w:eastAsia="Calibri" w:cs="Tahoma"/>
          <w:szCs w:val="18"/>
          <w:vertAlign w:val="superscript"/>
          <w:lang w:val="pt-BR"/>
        </w:rPr>
        <w:t>º</w:t>
      </w:r>
      <w:r w:rsidRPr="008D38F6">
        <w:rPr>
          <w:rFonts w:eastAsia="Calibri" w:cs="Tahoma"/>
          <w:szCs w:val="18"/>
          <w:lang w:val="pt-BR"/>
        </w:rPr>
        <w:t xml:space="preserve"> de abril de 2015, que optou por não renovar” acima e</w:t>
      </w:r>
    </w:p>
    <w:p w:rsidR="00A81E83" w:rsidRPr="008D38F6" w:rsidRDefault="00A81E83" w:rsidP="00B06AAC">
      <w:pPr>
        <w:numPr>
          <w:ilvl w:val="2"/>
          <w:numId w:val="64"/>
        </w:numPr>
        <w:spacing w:after="60"/>
        <w:ind w:left="1440"/>
        <w:rPr>
          <w:lang w:val="pt-BR"/>
        </w:rPr>
      </w:pPr>
      <w:r w:rsidRPr="008D38F6">
        <w:rPr>
          <w:rFonts w:eastAsia="Calibri" w:cs="Tahoma"/>
          <w:szCs w:val="18"/>
          <w:lang w:val="pt-BR"/>
        </w:rPr>
        <w:t>Para as licenças adquiridas depois de 1</w:t>
      </w:r>
      <w:r w:rsidRPr="008D38F6">
        <w:rPr>
          <w:rFonts w:eastAsia="Calibri" w:cs="Tahoma"/>
          <w:szCs w:val="18"/>
          <w:vertAlign w:val="superscript"/>
          <w:lang w:val="pt-BR"/>
        </w:rPr>
        <w:t>º</w:t>
      </w:r>
      <w:r w:rsidRPr="008D38F6">
        <w:rPr>
          <w:rFonts w:eastAsia="Calibri" w:cs="Tahoma"/>
          <w:szCs w:val="18"/>
          <w:lang w:val="pt-BR"/>
        </w:rPr>
        <w:t xml:space="preserve"> de abril de 2015, a licença do processador de clientes terá</w:t>
      </w:r>
      <w:r w:rsidR="00557CB6" w:rsidRPr="008D38F6">
        <w:rPr>
          <w:rFonts w:eastAsia="Calibri" w:cs="Tahoma"/>
          <w:color w:val="000000"/>
          <w:szCs w:val="18"/>
          <w:lang w:val="pt-BR"/>
        </w:rPr>
        <w:t> </w:t>
      </w:r>
      <w:r w:rsidRPr="008D38F6">
        <w:rPr>
          <w:rFonts w:eastAsia="Calibri" w:cs="Tahoma"/>
          <w:szCs w:val="18"/>
          <w:lang w:val="pt-BR"/>
        </w:rPr>
        <w:t>uma equivalência de núcleo de quatro licenças principais do SQL Server 2012 Standard. Para</w:t>
      </w:r>
      <w:r w:rsidR="00557CB6" w:rsidRPr="008D38F6">
        <w:rPr>
          <w:rFonts w:eastAsia="Calibri" w:cs="Tahoma"/>
          <w:color w:val="000000"/>
          <w:szCs w:val="18"/>
          <w:lang w:val="pt-BR"/>
        </w:rPr>
        <w:t> </w:t>
      </w:r>
      <w:r w:rsidRPr="008D38F6">
        <w:rPr>
          <w:rFonts w:eastAsia="Calibri" w:cs="Tahoma"/>
          <w:szCs w:val="18"/>
          <w:lang w:val="pt-BR"/>
        </w:rPr>
        <w:t>o</w:t>
      </w:r>
      <w:r w:rsidR="00557CB6" w:rsidRPr="008D38F6">
        <w:rPr>
          <w:rFonts w:eastAsia="Calibri" w:cs="Tahoma"/>
          <w:color w:val="000000"/>
          <w:szCs w:val="18"/>
          <w:lang w:val="pt-BR"/>
        </w:rPr>
        <w:t> </w:t>
      </w:r>
      <w:r w:rsidRPr="008D38F6">
        <w:rPr>
          <w:rFonts w:eastAsia="Calibri" w:cs="Tahoma"/>
          <w:szCs w:val="18"/>
          <w:lang w:val="pt-BR"/>
        </w:rPr>
        <w:t>uso contínuo do SQL Server 2012 em processadores que exigem mais de quatro licenças principais por processador, o cliente tem que adquirir licenças principais adicionais.</w:t>
      </w:r>
    </w:p>
    <w:p w:rsidR="002512D3" w:rsidRPr="008D38F6" w:rsidRDefault="002512D3">
      <w:pPr>
        <w:rPr>
          <w:lang w:val="pt-BR"/>
        </w:rPr>
      </w:pPr>
    </w:p>
    <w:p w:rsidR="00B06AAC" w:rsidRPr="008D38F6" w:rsidRDefault="00A81E83" w:rsidP="00B06AAC">
      <w:pPr>
        <w:tabs>
          <w:tab w:val="left" w:pos="720"/>
        </w:tabs>
        <w:spacing w:after="60"/>
        <w:ind w:left="720"/>
        <w:rPr>
          <w:lang w:val="pt-BR"/>
        </w:rPr>
      </w:pPr>
      <w:r w:rsidRPr="008D38F6">
        <w:rPr>
          <w:b/>
          <w:lang w:val="pt-BR"/>
        </w:rPr>
        <w:t>Para os clientes localizados na República Popular da</w:t>
      </w:r>
      <w:r w:rsidRPr="008D38F6">
        <w:rPr>
          <w:lang w:val="pt-BR"/>
        </w:rPr>
        <w:t xml:space="preserve"> </w:t>
      </w:r>
      <w:r w:rsidRPr="008D38F6">
        <w:rPr>
          <w:b/>
          <w:lang w:val="pt-BR"/>
        </w:rPr>
        <w:t>China e para os que estão adquirindo licenças de processador e Software Assurance para SQL Server 2008 R2</w:t>
      </w:r>
    </w:p>
    <w:p w:rsidR="00A81E83" w:rsidRPr="008D38F6" w:rsidRDefault="00A81E83" w:rsidP="00B06AAC">
      <w:pPr>
        <w:tabs>
          <w:tab w:val="left" w:pos="720"/>
        </w:tabs>
        <w:ind w:left="720"/>
        <w:contextualSpacing/>
        <w:rPr>
          <w:lang w:val="pt-BR"/>
        </w:rPr>
      </w:pPr>
      <w:r w:rsidRPr="008D38F6">
        <w:rPr>
          <w:lang w:val="pt-BR"/>
        </w:rPr>
        <w:t>As referências a 1</w:t>
      </w:r>
      <w:r w:rsidRPr="008D38F6">
        <w:rPr>
          <w:vertAlign w:val="superscript"/>
          <w:lang w:val="pt-BR"/>
        </w:rPr>
        <w:t>º</w:t>
      </w:r>
      <w:r w:rsidRPr="008D38F6">
        <w:rPr>
          <w:lang w:val="pt-BR"/>
        </w:rPr>
        <w:t xml:space="preserve"> de abril de 2012 e </w:t>
      </w:r>
      <w:r w:rsidR="00EB0F1B" w:rsidRPr="008D38F6">
        <w:rPr>
          <w:lang w:val="pt-BR"/>
        </w:rPr>
        <w:t>1</w:t>
      </w:r>
      <w:r w:rsidR="00EB0F1B" w:rsidRPr="008D38F6">
        <w:rPr>
          <w:vertAlign w:val="superscript"/>
          <w:lang w:val="pt-BR"/>
        </w:rPr>
        <w:t>º</w:t>
      </w:r>
      <w:r w:rsidRPr="008D38F6">
        <w:rPr>
          <w:lang w:val="pt-BR"/>
        </w:rPr>
        <w:t xml:space="preserve"> de abril de 2015 nesta nota da lista de produtos não são aplicáveis. As datas aplicáveis para esses clientes são </w:t>
      </w:r>
      <w:r w:rsidR="00EB0F1B" w:rsidRPr="008D38F6">
        <w:rPr>
          <w:lang w:val="pt-BR"/>
        </w:rPr>
        <w:t>1</w:t>
      </w:r>
      <w:r w:rsidR="00EB0F1B" w:rsidRPr="008D38F6">
        <w:rPr>
          <w:vertAlign w:val="superscript"/>
          <w:lang w:val="pt-BR"/>
        </w:rPr>
        <w:t>º</w:t>
      </w:r>
      <w:r w:rsidRPr="008D38F6">
        <w:rPr>
          <w:lang w:val="pt-BR"/>
        </w:rPr>
        <w:t xml:space="preserve"> de julho de 2012 e </w:t>
      </w:r>
      <w:r w:rsidR="00EB0F1B" w:rsidRPr="008D38F6">
        <w:rPr>
          <w:lang w:val="pt-BR"/>
        </w:rPr>
        <w:t>1</w:t>
      </w:r>
      <w:r w:rsidR="00EB0F1B" w:rsidRPr="008D38F6">
        <w:rPr>
          <w:vertAlign w:val="superscript"/>
          <w:lang w:val="pt-BR"/>
        </w:rPr>
        <w:t>º</w:t>
      </w:r>
      <w:r w:rsidRPr="008D38F6">
        <w:rPr>
          <w:lang w:val="pt-BR"/>
        </w:rPr>
        <w:t xml:space="preserve"> de julho de 2015, respectivamente.</w:t>
      </w:r>
    </w:p>
    <w:p w:rsidR="00557CB6" w:rsidRPr="008D38F6" w:rsidRDefault="00557CB6" w:rsidP="008558DC">
      <w:pPr>
        <w:rPr>
          <w:lang w:val="pt-BR"/>
        </w:rPr>
      </w:pPr>
    </w:p>
    <w:p w:rsidR="003E651C" w:rsidRPr="008D38F6" w:rsidRDefault="003E651C" w:rsidP="008558DC">
      <w:pPr>
        <w:rPr>
          <w:lang w:val="pt-BR"/>
        </w:rPr>
      </w:pPr>
    </w:p>
    <w:p w:rsidR="00A81E83" w:rsidRPr="00416070" w:rsidRDefault="0099402E" w:rsidP="00BD4B91">
      <w:pPr>
        <w:pStyle w:val="Heading3"/>
      </w:pPr>
      <w:bookmarkStart w:id="1394" w:name="_85_84_SQL"/>
      <w:bookmarkStart w:id="1395" w:name="_78_76_SQL"/>
      <w:bookmarkStart w:id="1396" w:name="Srv_85SQL2008R2Workgroup5ClientAddon"/>
      <w:bookmarkStart w:id="1397" w:name="_Toc336338343"/>
      <w:bookmarkStart w:id="1398" w:name="_Toc352234402"/>
      <w:bookmarkEnd w:id="1394"/>
      <w:bookmarkEnd w:id="1395"/>
      <w:r w:rsidRPr="00416070">
        <w:rPr>
          <w:rFonts w:ascii="Tahoma" w:hAnsi="Tahoma"/>
          <w:color w:val="F66400"/>
          <w:sz w:val="22"/>
          <w:vertAlign w:val="superscript"/>
        </w:rPr>
        <w:t>76</w:t>
      </w:r>
      <w:r w:rsidRPr="00416070">
        <w:rPr>
          <w:rFonts w:ascii="Tahoma" w:hAnsi="Tahoma"/>
          <w:color w:val="F66400"/>
          <w:sz w:val="22"/>
        </w:rPr>
        <w:t xml:space="preserve"> SQL Server</w:t>
      </w:r>
      <w:r w:rsidR="00510A6E" w:rsidRPr="00416070">
        <w:rPr>
          <w:rFonts w:ascii="Tahoma" w:hAnsi="Tahoma"/>
          <w:color w:val="F66400"/>
          <w:sz w:val="22"/>
          <w:vertAlign w:val="superscript"/>
        </w:rPr>
        <w:t>®</w:t>
      </w:r>
      <w:r w:rsidRPr="00416070">
        <w:rPr>
          <w:rFonts w:ascii="Tahoma" w:hAnsi="Tahoma"/>
          <w:color w:val="F66400"/>
          <w:sz w:val="22"/>
        </w:rPr>
        <w:t xml:space="preserve"> 2008 R2 Workgroup (5 Clientes Complementares)</w:t>
      </w:r>
      <w:bookmarkEnd w:id="1396"/>
      <w:bookmarkEnd w:id="1397"/>
      <w:bookmarkEnd w:id="1398"/>
    </w:p>
    <w:p w:rsidR="00A81E83" w:rsidRPr="00416070" w:rsidRDefault="00A81E83" w:rsidP="00DA46D5">
      <w:pPr>
        <w:pStyle w:val="EndnoteText"/>
        <w:ind w:left="0"/>
      </w:pPr>
    </w:p>
    <w:p w:rsidR="00DA46D5" w:rsidRPr="008D38F6" w:rsidRDefault="00A81E83" w:rsidP="00DA46D5">
      <w:pPr>
        <w:spacing w:after="60"/>
        <w:ind w:left="720"/>
        <w:rPr>
          <w:lang w:val="pt-BR"/>
        </w:rPr>
      </w:pPr>
      <w:r w:rsidRPr="008D38F6">
        <w:rPr>
          <w:b/>
          <w:lang w:val="pt-BR"/>
        </w:rPr>
        <w:t>Outorgas de Licença Associadas ao término da validade da edição do SQL Server Workgroup</w:t>
      </w:r>
    </w:p>
    <w:p w:rsidR="00A81E83" w:rsidRPr="008D38F6" w:rsidRDefault="00A81E83" w:rsidP="00DA46D5">
      <w:pPr>
        <w:ind w:left="720"/>
        <w:rPr>
          <w:lang w:val="pt-BR"/>
        </w:rPr>
      </w:pPr>
      <w:r w:rsidRPr="008D38F6">
        <w:rPr>
          <w:rFonts w:eastAsia="Calibri" w:cs="Tahoma"/>
          <w:szCs w:val="18"/>
          <w:lang w:val="pt-BR"/>
        </w:rPr>
        <w:t>O SQL Server 2008 R2 Workgroup será a última versão da edição do SQL Server Workgroup.</w:t>
      </w:r>
      <w:r w:rsidR="00FB5496" w:rsidRPr="008D38F6">
        <w:rPr>
          <w:rFonts w:eastAsia="Calibri" w:cs="Tahoma"/>
          <w:szCs w:val="18"/>
          <w:lang w:val="pt-BR"/>
        </w:rPr>
        <w:t xml:space="preserve"> </w:t>
      </w:r>
      <w:r w:rsidRPr="008D38F6">
        <w:rPr>
          <w:rFonts w:eastAsia="Calibri" w:cs="Tahoma"/>
          <w:szCs w:val="18"/>
          <w:lang w:val="pt-BR"/>
        </w:rPr>
        <w:t xml:space="preserve">Como exceção, os clientes de licenciamento por volume com Software Assurance ativo para licenças do SQL Server 2008 R2 Workgroup Server em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FB5496" w:rsidRPr="008D38F6">
        <w:rPr>
          <w:rFonts w:eastAsia="Calibri" w:cs="Tahoma"/>
          <w:szCs w:val="18"/>
          <w:lang w:val="pt-BR"/>
        </w:rPr>
        <w:t xml:space="preserve"> </w:t>
      </w:r>
      <w:r w:rsidRPr="008D38F6">
        <w:rPr>
          <w:rFonts w:eastAsia="Calibri" w:cs="Tahoma"/>
          <w:szCs w:val="18"/>
          <w:lang w:val="pt-BR"/>
        </w:rPr>
        <w:t>As licenças do SQL Server Workgroup dos clientes não são mais válidas quando eles adquirem o Software Assurance do SQL Server Standard sob esta oferta.</w:t>
      </w:r>
    </w:p>
    <w:p w:rsidR="000D5F24" w:rsidRPr="008D38F6" w:rsidRDefault="000D5F24">
      <w:pPr>
        <w:rPr>
          <w:lang w:val="pt-BR"/>
        </w:rPr>
      </w:pPr>
    </w:p>
    <w:p w:rsidR="00DA46D5" w:rsidRPr="008D38F6" w:rsidRDefault="00A81E83" w:rsidP="00DA46D5">
      <w:pPr>
        <w:spacing w:after="60"/>
        <w:ind w:left="720"/>
        <w:rPr>
          <w:lang w:val="pt-BR"/>
        </w:rPr>
      </w:pPr>
      <w:r w:rsidRPr="008D38F6">
        <w:rPr>
          <w:b/>
          <w:lang w:val="pt-BR"/>
        </w:rPr>
        <w:t>Para os clientes localizados na República Popular da</w:t>
      </w:r>
      <w:r w:rsidRPr="008D38F6">
        <w:rPr>
          <w:lang w:val="pt-BR"/>
        </w:rPr>
        <w:t xml:space="preserve"> </w:t>
      </w:r>
      <w:r w:rsidRPr="008D38F6">
        <w:rPr>
          <w:b/>
          <w:lang w:val="pt-BR"/>
        </w:rPr>
        <w:t>China e para os que estão adquirindo licenças e Software Assurance para SQL Server 2008 R2</w:t>
      </w:r>
    </w:p>
    <w:p w:rsidR="00A81E83" w:rsidRPr="008D38F6" w:rsidRDefault="00A81E83" w:rsidP="00DA46D5">
      <w:pPr>
        <w:ind w:left="720"/>
        <w:rPr>
          <w:lang w:val="pt-BR"/>
        </w:rPr>
      </w:pPr>
      <w:r w:rsidRPr="008D38F6">
        <w:rPr>
          <w:lang w:val="pt-BR"/>
        </w:rPr>
        <w:t xml:space="preserve">As referências a </w:t>
      </w:r>
      <w:r w:rsidR="00EB0F1B" w:rsidRPr="008D38F6">
        <w:rPr>
          <w:lang w:val="pt-BR"/>
        </w:rPr>
        <w:t>1</w:t>
      </w:r>
      <w:r w:rsidR="00EB0F1B" w:rsidRPr="008D38F6">
        <w:rPr>
          <w:vertAlign w:val="superscript"/>
          <w:lang w:val="pt-BR"/>
        </w:rPr>
        <w:t>º</w:t>
      </w:r>
      <w:r w:rsidRPr="008D38F6">
        <w:rPr>
          <w:lang w:val="pt-BR"/>
        </w:rPr>
        <w:t xml:space="preserve"> de abril de 2012 nesta nota da lista de produtos não são aplicáveis. A data aplicável para</w:t>
      </w:r>
      <w:r w:rsidR="00557CB6" w:rsidRPr="008D38F6">
        <w:rPr>
          <w:lang w:val="pt-BR"/>
        </w:rPr>
        <w:t> </w:t>
      </w:r>
      <w:r w:rsidRPr="008D38F6">
        <w:rPr>
          <w:lang w:val="pt-BR"/>
        </w:rPr>
        <w:t xml:space="preserve">esses clientes é </w:t>
      </w:r>
      <w:r w:rsidR="00EB0F1B" w:rsidRPr="008D38F6">
        <w:rPr>
          <w:lang w:val="pt-BR"/>
        </w:rPr>
        <w:t>1</w:t>
      </w:r>
      <w:r w:rsidR="00EB0F1B" w:rsidRPr="008D38F6">
        <w:rPr>
          <w:vertAlign w:val="superscript"/>
          <w:lang w:val="pt-BR"/>
        </w:rPr>
        <w:t>º</w:t>
      </w:r>
      <w:r w:rsidRPr="008D38F6">
        <w:rPr>
          <w:lang w:val="pt-BR"/>
        </w:rPr>
        <w:t xml:space="preserve"> de julho de 2012.</w:t>
      </w:r>
    </w:p>
    <w:p w:rsidR="00DA46D5" w:rsidRPr="008D38F6" w:rsidRDefault="00DA46D5" w:rsidP="00DA46D5">
      <w:pPr>
        <w:ind w:left="720"/>
        <w:rPr>
          <w:lang w:val="pt-BR"/>
        </w:rPr>
      </w:pPr>
    </w:p>
    <w:p w:rsidR="00A81E83" w:rsidRPr="00416070" w:rsidRDefault="0099402E" w:rsidP="00A81E83">
      <w:pPr>
        <w:pStyle w:val="Heading3"/>
        <w:ind w:left="720" w:hanging="720"/>
      </w:pPr>
      <w:bookmarkStart w:id="1399" w:name="_79_77_SQL"/>
      <w:bookmarkStart w:id="1400" w:name="_Toc336338344"/>
      <w:bookmarkStart w:id="1401" w:name="_Toc352234403"/>
      <w:bookmarkStart w:id="1402" w:name="Srv_72SQLSvr08R2WorkgroupProc"/>
      <w:bookmarkEnd w:id="1399"/>
      <w:r w:rsidRPr="00416070">
        <w:rPr>
          <w:rFonts w:ascii="Tahoma" w:hAnsi="Tahoma" w:cs="Tahoma"/>
          <w:color w:val="F66400"/>
          <w:sz w:val="22"/>
          <w:vertAlign w:val="superscript"/>
        </w:rPr>
        <w:t>77</w:t>
      </w:r>
      <w:r w:rsidRPr="00416070">
        <w:rPr>
          <w:rFonts w:ascii="Tahoma" w:hAnsi="Tahoma" w:cs="Tahoma"/>
          <w:color w:val="F66400"/>
          <w:sz w:val="22"/>
        </w:rPr>
        <w:t xml:space="preserve"> SQL Server</w:t>
      </w:r>
      <w:r w:rsidR="00510A6E" w:rsidRPr="00416070">
        <w:rPr>
          <w:rFonts w:ascii="Tahoma" w:hAnsi="Tahoma" w:cs="Tahoma"/>
          <w:color w:val="F66400"/>
          <w:sz w:val="22"/>
          <w:vertAlign w:val="superscript"/>
        </w:rPr>
        <w:t>®</w:t>
      </w:r>
      <w:r w:rsidRPr="00416070">
        <w:rPr>
          <w:rFonts w:ascii="Tahoma" w:hAnsi="Tahoma" w:cs="Tahoma"/>
          <w:color w:val="F66400"/>
          <w:sz w:val="22"/>
        </w:rPr>
        <w:t xml:space="preserve"> 2008 R2 Workgroup Processor</w:t>
      </w:r>
      <w:bookmarkEnd w:id="1400"/>
      <w:bookmarkEnd w:id="1401"/>
    </w:p>
    <w:bookmarkEnd w:id="1402"/>
    <w:p w:rsidR="00A81E83" w:rsidRPr="008D38F6" w:rsidRDefault="00A81E83" w:rsidP="000C03F3">
      <w:pPr>
        <w:ind w:left="720"/>
        <w:rPr>
          <w:lang w:val="pt-BR"/>
        </w:rPr>
      </w:pPr>
    </w:p>
    <w:p w:rsidR="000C03F3" w:rsidRPr="008D38F6" w:rsidRDefault="00A81E83" w:rsidP="000C03F3">
      <w:pPr>
        <w:spacing w:after="60"/>
        <w:ind w:left="720"/>
        <w:rPr>
          <w:lang w:val="pt-BR"/>
        </w:rPr>
      </w:pPr>
      <w:r w:rsidRPr="008D38F6">
        <w:rPr>
          <w:rFonts w:eastAsia="Calibri" w:cs="Tahoma"/>
          <w:b/>
          <w:color w:val="000000"/>
          <w:szCs w:val="18"/>
          <w:lang w:val="pt-BR"/>
        </w:rPr>
        <w:t>Outorgas de Licença Associadas à Alteração no Modelo de Licenciamento</w:t>
      </w:r>
    </w:p>
    <w:p w:rsidR="00A81E83" w:rsidRPr="008D38F6" w:rsidRDefault="00A81E83" w:rsidP="008D0E85">
      <w:pPr>
        <w:ind w:left="720"/>
        <w:rPr>
          <w:lang w:val="pt-BR"/>
        </w:rPr>
      </w:pPr>
      <w:r w:rsidRPr="008D38F6">
        <w:rPr>
          <w:rFonts w:eastAsia="Calibri" w:cs="Tahoma"/>
          <w:color w:val="000000"/>
          <w:szCs w:val="18"/>
          <w:lang w:val="pt-BR"/>
        </w:rPr>
        <w:t>O SQL Server 2008 R2 será a última versão do SQL Server licenciada sob o modelo de licenciamento por processador e a última versão da edição do SQL Server Workgroup.</w:t>
      </w:r>
      <w:r w:rsidR="00FB5496" w:rsidRPr="008D38F6">
        <w:rPr>
          <w:rFonts w:eastAsia="Calibri" w:cs="Tahoma"/>
          <w:color w:val="000000"/>
          <w:szCs w:val="18"/>
          <w:lang w:val="pt-BR"/>
        </w:rPr>
        <w:t xml:space="preserve"> </w:t>
      </w:r>
      <w:r w:rsidRPr="008D38F6">
        <w:rPr>
          <w:rFonts w:eastAsia="Calibri" w:cs="Tahoma"/>
          <w:color w:val="000000"/>
          <w:szCs w:val="18"/>
          <w:lang w:val="pt-BR"/>
        </w:rPr>
        <w:t xml:space="preserve">Como uma exceção, aos clientes de licenciamento por volume com Software Assurance ativo para licenças do processador do SQL Server 2008 R2 Workgroup em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abril de 2012 (“licenças qualificadas”) são concedidas as seguintes opções. As licenças do processador do SQL Server 2008 R2 Workgroup </w:t>
      </w:r>
      <w:r w:rsidRPr="008D38F6">
        <w:rPr>
          <w:rFonts w:cs="Tahoma"/>
          <w:bCs/>
          <w:color w:val="000000"/>
          <w:szCs w:val="18"/>
          <w:lang w:val="pt-BR"/>
        </w:rPr>
        <w:t>adquiridas posteriormente no mesmo prazo de</w:t>
      </w:r>
      <w:r w:rsidR="008D0E85" w:rsidRPr="008D38F6">
        <w:rPr>
          <w:rFonts w:cs="Tahoma"/>
          <w:bCs/>
          <w:color w:val="000000"/>
          <w:szCs w:val="18"/>
          <w:lang w:val="pt-BR"/>
        </w:rPr>
        <w:t> </w:t>
      </w:r>
      <w:r w:rsidRPr="008D38F6">
        <w:rPr>
          <w:rFonts w:cs="Tahoma"/>
          <w:bCs/>
          <w:color w:val="000000"/>
          <w:szCs w:val="18"/>
          <w:lang w:val="pt-BR"/>
        </w:rPr>
        <w:t xml:space="preserve">registro, mas antes de </w:t>
      </w:r>
      <w:r w:rsidR="00EB0F1B" w:rsidRPr="008D38F6">
        <w:rPr>
          <w:rFonts w:cs="Tahoma"/>
          <w:bCs/>
          <w:color w:val="000000"/>
          <w:szCs w:val="18"/>
          <w:lang w:val="pt-BR"/>
        </w:rPr>
        <w:t>1</w:t>
      </w:r>
      <w:r w:rsidR="00EB0F1B" w:rsidRPr="008D38F6">
        <w:rPr>
          <w:rFonts w:cs="Tahoma"/>
          <w:bCs/>
          <w:color w:val="000000"/>
          <w:szCs w:val="18"/>
          <w:vertAlign w:val="superscript"/>
          <w:lang w:val="pt-BR"/>
        </w:rPr>
        <w:t>º</w:t>
      </w:r>
      <w:r w:rsidRPr="008D38F6">
        <w:rPr>
          <w:rFonts w:cs="Tahoma"/>
          <w:bCs/>
          <w:color w:val="000000"/>
          <w:szCs w:val="18"/>
          <w:lang w:val="pt-BR"/>
        </w:rPr>
        <w:t xml:space="preserve"> de abril de 2015 como parte de um processo de adequação (“true-up”) programado do cliente Enterprise, Enterprise Subscription, Open Value Subscription ou EES também são “licenças qualificadas” para fins dessas opções.</w:t>
      </w:r>
      <w:r w:rsidR="00FB5496" w:rsidRPr="008D38F6">
        <w:rPr>
          <w:rFonts w:cs="Tahoma"/>
          <w:bCs/>
          <w:color w:val="000000"/>
          <w:szCs w:val="18"/>
          <w:lang w:val="pt-BR"/>
        </w:rPr>
        <w:t xml:space="preserve"> </w:t>
      </w:r>
      <w:r w:rsidRPr="008D38F6">
        <w:rPr>
          <w:rFonts w:cs="Tahoma"/>
          <w:bCs/>
          <w:color w:val="000000"/>
          <w:szCs w:val="18"/>
          <w:lang w:val="pt-BR"/>
        </w:rPr>
        <w:t xml:space="preserve">As licenças adquiridas depois de </w:t>
      </w:r>
      <w:r w:rsidR="00EB0F1B" w:rsidRPr="008D38F6">
        <w:rPr>
          <w:rFonts w:cs="Tahoma"/>
          <w:bCs/>
          <w:color w:val="000000"/>
          <w:szCs w:val="18"/>
          <w:lang w:val="pt-BR"/>
        </w:rPr>
        <w:t>1</w:t>
      </w:r>
      <w:r w:rsidR="00EB0F1B" w:rsidRPr="008D38F6">
        <w:rPr>
          <w:rFonts w:cs="Tahoma"/>
          <w:bCs/>
          <w:color w:val="000000"/>
          <w:szCs w:val="18"/>
          <w:vertAlign w:val="superscript"/>
          <w:lang w:val="pt-BR"/>
        </w:rPr>
        <w:t>º</w:t>
      </w:r>
      <w:r w:rsidRPr="008D38F6">
        <w:rPr>
          <w:rFonts w:cs="Tahoma"/>
          <w:bCs/>
          <w:color w:val="000000"/>
          <w:szCs w:val="18"/>
          <w:lang w:val="pt-BR"/>
        </w:rPr>
        <w:t xml:space="preserve"> de abril de 2015 ou sob um prazo de registro subsequente, um contrato separado ou qualquer registro com uma data de início de vigência após </w:t>
      </w:r>
      <w:r w:rsidR="00EB0F1B" w:rsidRPr="008D38F6">
        <w:rPr>
          <w:rFonts w:cs="Tahoma"/>
          <w:bCs/>
          <w:color w:val="000000"/>
          <w:szCs w:val="18"/>
          <w:lang w:val="pt-BR"/>
        </w:rPr>
        <w:t>1</w:t>
      </w:r>
      <w:r w:rsidR="00EB0F1B" w:rsidRPr="008D38F6">
        <w:rPr>
          <w:rFonts w:cs="Tahoma"/>
          <w:bCs/>
          <w:color w:val="000000"/>
          <w:szCs w:val="18"/>
          <w:vertAlign w:val="superscript"/>
          <w:lang w:val="pt-BR"/>
        </w:rPr>
        <w:t>º</w:t>
      </w:r>
      <w:r w:rsidRPr="008D38F6">
        <w:rPr>
          <w:rFonts w:cs="Tahoma"/>
          <w:bCs/>
          <w:color w:val="000000"/>
          <w:szCs w:val="18"/>
          <w:lang w:val="pt-BR"/>
        </w:rPr>
        <w:t xml:space="preserve"> de abril de 2012 não são licenças qualificadas.</w:t>
      </w:r>
    </w:p>
    <w:p w:rsidR="000C03F3" w:rsidRPr="008D38F6" w:rsidRDefault="000C03F3" w:rsidP="000C03F3">
      <w:pPr>
        <w:ind w:left="720"/>
        <w:rPr>
          <w:lang w:val="pt-BR"/>
        </w:rPr>
      </w:pPr>
    </w:p>
    <w:p w:rsidR="000C03F3" w:rsidRPr="008D38F6" w:rsidRDefault="000C03F3" w:rsidP="000C03F3">
      <w:pPr>
        <w:spacing w:after="60"/>
        <w:ind w:left="720"/>
        <w:rPr>
          <w:lang w:val="pt-BR"/>
        </w:rPr>
      </w:pPr>
      <w:r w:rsidRPr="008D38F6">
        <w:rPr>
          <w:rFonts w:eastAsia="Calibri" w:cs="Tahoma"/>
          <w:b/>
          <w:color w:val="000000"/>
          <w:szCs w:val="18"/>
          <w:lang w:val="pt-BR"/>
        </w:rPr>
        <w:t>Prazo Atual</w:t>
      </w:r>
    </w:p>
    <w:p w:rsidR="00A81E83" w:rsidRPr="008D38F6" w:rsidRDefault="00A81E83" w:rsidP="008D0E85">
      <w:pPr>
        <w:tabs>
          <w:tab w:val="left" w:pos="720"/>
        </w:tabs>
        <w:ind w:left="720"/>
        <w:rPr>
          <w:lang w:val="pt-BR"/>
        </w:rPr>
      </w:pPr>
      <w:r w:rsidRPr="008D38F6">
        <w:rPr>
          <w:rFonts w:eastAsia="Calibri" w:cs="Tahoma"/>
          <w:szCs w:val="18"/>
          <w:lang w:val="pt-BR"/>
        </w:rPr>
        <w:t xml:space="preserve">Durante o prazo atual da sua cobertura de Software Assurance a partir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2012, os clientes (incluindo aqueles sob contratos de assinatura) podem, sob qualquer licença qualificada, atualizar e usar o</w:t>
      </w:r>
      <w:r w:rsidR="008D0E85" w:rsidRPr="008D38F6">
        <w:rPr>
          <w:rFonts w:eastAsia="Calibri" w:cs="Tahoma"/>
          <w:szCs w:val="18"/>
          <w:lang w:val="pt-BR"/>
        </w:rPr>
        <w:t> </w:t>
      </w:r>
      <w:r w:rsidRPr="008D38F6">
        <w:rPr>
          <w:rFonts w:eastAsia="Calibri" w:cs="Tahoma"/>
          <w:szCs w:val="18"/>
          <w:lang w:val="pt-BR"/>
        </w:rPr>
        <w:t>SQL Server 2012 Standard Core em vez do SQL Server 2008 R2 Workgroup sujeito aos direitos de uso do</w:t>
      </w:r>
      <w:r w:rsidR="008D0E85" w:rsidRPr="008D38F6">
        <w:rPr>
          <w:rFonts w:eastAsia="Calibri" w:cs="Tahoma"/>
          <w:szCs w:val="18"/>
          <w:lang w:val="pt-BR"/>
        </w:rPr>
        <w:t> </w:t>
      </w:r>
      <w:r w:rsidRPr="008D38F6">
        <w:rPr>
          <w:rFonts w:eastAsia="Calibri" w:cs="Tahoma"/>
          <w:szCs w:val="18"/>
          <w:lang w:val="pt-BR"/>
        </w:rPr>
        <w:t>produto de licença do processador do SQL Server 2008 R2 Standard (conforme os Direitos de Uso do Produto de janeiro de 2012). Aos clientes são concedidos direitos adicionais sob a Mobilidade de Licença por</w:t>
      </w:r>
      <w:r w:rsidR="00557CB6" w:rsidRPr="008D38F6">
        <w:rPr>
          <w:rFonts w:eastAsia="Calibri" w:cs="Tahoma"/>
          <w:szCs w:val="18"/>
          <w:lang w:val="pt-BR"/>
        </w:rPr>
        <w:t> </w:t>
      </w:r>
      <w:r w:rsidRPr="008D38F6">
        <w:rPr>
          <w:rFonts w:eastAsia="Calibri" w:cs="Tahoma"/>
          <w:szCs w:val="18"/>
          <w:lang w:val="pt-BR"/>
        </w:rPr>
        <w:t>meio de Software Assurance e Mobilidade de Licença nos Farms de Servidores. Os clientes devem consultar os Direitos de Uso do Produto para SQL Server 2012 Standard Core quanto aos termos de licença</w:t>
      </w:r>
      <w:r w:rsidR="00557CB6" w:rsidRPr="008D38F6">
        <w:rPr>
          <w:rFonts w:eastAsia="Calibri" w:cs="Tahoma"/>
          <w:szCs w:val="18"/>
          <w:lang w:val="pt-BR"/>
        </w:rPr>
        <w:t> </w:t>
      </w:r>
      <w:r w:rsidRPr="008D38F6">
        <w:rPr>
          <w:rFonts w:eastAsia="Calibri" w:cs="Tahoma"/>
          <w:szCs w:val="18"/>
          <w:lang w:val="pt-BR"/>
        </w:rPr>
        <w:t>para Mobilidade de Licença.</w:t>
      </w:r>
    </w:p>
    <w:p w:rsidR="000C03F3" w:rsidRPr="008D38F6" w:rsidRDefault="000C03F3" w:rsidP="000C03F3">
      <w:pPr>
        <w:tabs>
          <w:tab w:val="left" w:pos="720"/>
        </w:tabs>
        <w:ind w:left="720"/>
        <w:rPr>
          <w:lang w:val="pt-BR"/>
        </w:rPr>
      </w:pPr>
    </w:p>
    <w:p w:rsidR="000C03F3" w:rsidRPr="008D38F6" w:rsidRDefault="00A81E83" w:rsidP="000C03F3">
      <w:pPr>
        <w:spacing w:after="60"/>
        <w:ind w:left="720"/>
        <w:rPr>
          <w:lang w:val="pt-BR"/>
        </w:rPr>
      </w:pPr>
      <w:r w:rsidRPr="008D38F6">
        <w:rPr>
          <w:rFonts w:eastAsia="Calibri" w:cs="Tahoma"/>
          <w:b/>
          <w:color w:val="000000"/>
          <w:szCs w:val="18"/>
          <w:lang w:val="pt-BR"/>
        </w:rPr>
        <w:t xml:space="preserve">Primeiro Prazo de Renovação (antes de </w:t>
      </w:r>
      <w:r w:rsidR="00EB0F1B" w:rsidRPr="008D38F6">
        <w:rPr>
          <w:rFonts w:eastAsia="Calibri" w:cs="Tahoma"/>
          <w:b/>
          <w:color w:val="000000"/>
          <w:szCs w:val="18"/>
          <w:lang w:val="pt-BR"/>
        </w:rPr>
        <w:t>1</w:t>
      </w:r>
      <w:r w:rsidR="00EB0F1B" w:rsidRPr="008D38F6">
        <w:rPr>
          <w:rFonts w:eastAsia="Calibri" w:cs="Tahoma"/>
          <w:b/>
          <w:color w:val="000000"/>
          <w:szCs w:val="18"/>
          <w:vertAlign w:val="superscript"/>
          <w:lang w:val="pt-BR"/>
        </w:rPr>
        <w:t>º</w:t>
      </w:r>
      <w:r w:rsidRPr="008D38F6">
        <w:rPr>
          <w:rFonts w:eastAsia="Calibri" w:cs="Tahoma"/>
          <w:b/>
          <w:color w:val="000000"/>
          <w:szCs w:val="18"/>
          <w:lang w:val="pt-BR"/>
        </w:rPr>
        <w:t xml:space="preserve"> de abril de 2015)</w:t>
      </w:r>
    </w:p>
    <w:p w:rsidR="00A81E83" w:rsidRPr="008D38F6" w:rsidRDefault="00A81E83" w:rsidP="000C03F3">
      <w:pPr>
        <w:tabs>
          <w:tab w:val="left" w:pos="720"/>
        </w:tabs>
        <w:ind w:left="720"/>
        <w:rPr>
          <w:lang w:val="pt-BR"/>
        </w:rPr>
      </w:pPr>
      <w:r w:rsidRPr="008D38F6">
        <w:rPr>
          <w:rFonts w:eastAsia="Calibri" w:cs="Tahoma"/>
          <w:szCs w:val="18"/>
          <w:lang w:val="pt-BR"/>
        </w:rPr>
        <w:t xml:space="preserve">Na sua primeira renovação de Software Assurance em ou depois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2012 (mas antes de </w:t>
      </w:r>
      <w:r w:rsidR="00557CB6" w:rsidRPr="008D38F6">
        <w:rPr>
          <w:rFonts w:eastAsia="Calibri" w:cs="Tahoma"/>
          <w:szCs w:val="18"/>
          <w:lang w:val="pt-BR"/>
        </w:rPr>
        <w:br/>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para cada servidor que um cliente tiver licenciado corretamente sob os direitos de uso</w:t>
      </w:r>
      <w:r w:rsidR="00557CB6" w:rsidRPr="008D38F6">
        <w:rPr>
          <w:rFonts w:eastAsia="Calibri" w:cs="Tahoma"/>
          <w:szCs w:val="18"/>
          <w:lang w:val="pt-BR"/>
        </w:rPr>
        <w:t> </w:t>
      </w:r>
      <w:r w:rsidRPr="008D38F6">
        <w:rPr>
          <w:rFonts w:eastAsia="Calibri" w:cs="Tahoma"/>
          <w:szCs w:val="18"/>
          <w:lang w:val="pt-BR"/>
        </w:rPr>
        <w:t>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8D38F6" w:rsidRDefault="00A81E83" w:rsidP="000C03F3">
      <w:pPr>
        <w:numPr>
          <w:ilvl w:val="0"/>
          <w:numId w:val="143"/>
        </w:numPr>
        <w:tabs>
          <w:tab w:val="left" w:pos="1440"/>
        </w:tabs>
        <w:ind w:left="1440"/>
        <w:rPr>
          <w:lang w:val="pt-BR"/>
        </w:rPr>
      </w:pPr>
      <w:r w:rsidRPr="008D38F6">
        <w:rPr>
          <w:rFonts w:eastAsia="Calibri" w:cs="Tahoma"/>
          <w:szCs w:val="18"/>
          <w:lang w:val="pt-BR"/>
        </w:rPr>
        <w:t xml:space="preserve">um número igual ao menor número de licenças qualificadas atribuído ao servidor ou o número total de processadores físicos no servidor multiplicado pelo maior de: </w:t>
      </w:r>
    </w:p>
    <w:p w:rsidR="00A81E83" w:rsidRPr="00416070" w:rsidRDefault="00A81E83" w:rsidP="000C03F3">
      <w:pPr>
        <w:numPr>
          <w:ilvl w:val="0"/>
          <w:numId w:val="110"/>
        </w:numPr>
        <w:tabs>
          <w:tab w:val="left" w:pos="1800"/>
        </w:tabs>
        <w:ind w:left="1800"/>
      </w:pPr>
      <w:r w:rsidRPr="00416070">
        <w:rPr>
          <w:rFonts w:eastAsia="Calibri" w:cs="Tahoma"/>
          <w:szCs w:val="18"/>
        </w:rPr>
        <w:t>Quatro OU</w:t>
      </w:r>
    </w:p>
    <w:p w:rsidR="00A81E83" w:rsidRPr="008D38F6" w:rsidRDefault="00A81E83" w:rsidP="000C03F3">
      <w:pPr>
        <w:numPr>
          <w:ilvl w:val="0"/>
          <w:numId w:val="110"/>
        </w:numPr>
        <w:tabs>
          <w:tab w:val="left" w:pos="1800"/>
        </w:tabs>
        <w:ind w:left="1800"/>
        <w:rPr>
          <w:lang w:val="pt-BR"/>
        </w:rPr>
      </w:pPr>
      <w:r w:rsidRPr="008D38F6">
        <w:rPr>
          <w:rFonts w:eastAsia="Calibri" w:cs="Tahoma"/>
          <w:szCs w:val="18"/>
          <w:lang w:val="pt-BR"/>
        </w:rPr>
        <w:t>o número real de núcleos por processador físico multiplicado pelo fator do núcleo apropriado.</w:t>
      </w:r>
      <w:r w:rsidR="00FB5496" w:rsidRPr="008D38F6">
        <w:rPr>
          <w:rFonts w:eastAsia="Calibri" w:cs="Tahoma"/>
          <w:szCs w:val="18"/>
          <w:lang w:val="pt-BR"/>
        </w:rPr>
        <w:t xml:space="preserve"> </w:t>
      </w:r>
      <w:r w:rsidRPr="008D38F6">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8D38F6" w:rsidRDefault="00A81E83" w:rsidP="000C03F3">
      <w:pPr>
        <w:numPr>
          <w:ilvl w:val="0"/>
          <w:numId w:val="143"/>
        </w:numPr>
        <w:tabs>
          <w:tab w:val="left" w:pos="1440"/>
        </w:tabs>
        <w:ind w:left="1440"/>
        <w:rPr>
          <w:lang w:val="pt-BR"/>
        </w:rPr>
      </w:pPr>
      <w:r w:rsidRPr="008D38F6">
        <w:rPr>
          <w:rFonts w:eastAsia="Calibri" w:cs="Tahoma"/>
          <w:szCs w:val="18"/>
          <w:lang w:val="pt-BR"/>
        </w:rPr>
        <w:t>um número igual ao número das licenças qualificadas atribuído ao servidor em excesso do número real de processadores físicos no servidor multiplicado por quatro.</w:t>
      </w:r>
    </w:p>
    <w:p w:rsidR="000C03F3" w:rsidRPr="008D38F6" w:rsidRDefault="000C03F3" w:rsidP="000C03F3">
      <w:pPr>
        <w:tabs>
          <w:tab w:val="left" w:pos="1440"/>
        </w:tabs>
        <w:rPr>
          <w:lang w:val="pt-BR"/>
        </w:rPr>
      </w:pPr>
    </w:p>
    <w:p w:rsidR="000C03F3" w:rsidRPr="008D38F6" w:rsidRDefault="00A81E83" w:rsidP="000C03F3">
      <w:pPr>
        <w:spacing w:after="60"/>
        <w:ind w:left="720"/>
        <w:rPr>
          <w:lang w:val="pt-BR"/>
        </w:rPr>
      </w:pPr>
      <w:r w:rsidRPr="008D38F6">
        <w:rPr>
          <w:rFonts w:eastAsia="Calibri" w:cs="Tahoma"/>
          <w:b/>
          <w:szCs w:val="18"/>
          <w:lang w:val="pt-BR"/>
        </w:rPr>
        <w:t xml:space="preserve">Primeiro Prazo de Renovação (em ou após </w:t>
      </w:r>
      <w:r w:rsidR="00EB0F1B" w:rsidRPr="008D38F6">
        <w:rPr>
          <w:rFonts w:eastAsia="Calibri" w:cs="Tahoma"/>
          <w:b/>
          <w:szCs w:val="18"/>
          <w:lang w:val="pt-BR"/>
        </w:rPr>
        <w:t>1</w:t>
      </w:r>
      <w:r w:rsidR="00EB0F1B" w:rsidRPr="008D38F6">
        <w:rPr>
          <w:rFonts w:eastAsia="Calibri" w:cs="Tahoma"/>
          <w:b/>
          <w:szCs w:val="18"/>
          <w:vertAlign w:val="superscript"/>
          <w:lang w:val="pt-BR"/>
        </w:rPr>
        <w:t>º</w:t>
      </w:r>
      <w:r w:rsidRPr="008D38F6">
        <w:rPr>
          <w:rFonts w:eastAsia="Calibri" w:cs="Tahoma"/>
          <w:b/>
          <w:szCs w:val="18"/>
          <w:lang w:val="pt-BR"/>
        </w:rPr>
        <w:t xml:space="preserve"> de abril de 2015)</w:t>
      </w:r>
    </w:p>
    <w:p w:rsidR="00A81E83" w:rsidRPr="008D38F6" w:rsidRDefault="00A81E83" w:rsidP="000C03F3">
      <w:pPr>
        <w:ind w:left="720"/>
        <w:rPr>
          <w:lang w:val="pt-BR"/>
        </w:rPr>
      </w:pPr>
      <w:r w:rsidRPr="008D38F6">
        <w:rPr>
          <w:rFonts w:eastAsia="Calibri" w:cs="Tahoma"/>
          <w:color w:val="000000"/>
          <w:szCs w:val="18"/>
          <w:lang w:val="pt-BR"/>
        </w:rPr>
        <w:t xml:space="preserve">Os clientes que renovaram primeiro a cobertura em ou depois de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de abril de 2015</w:t>
      </w:r>
      <w:r w:rsidRPr="008D38F6">
        <w:rPr>
          <w:rFonts w:eastAsia="Calibri" w:cs="Tahoma"/>
          <w:szCs w:val="18"/>
          <w:lang w:val="pt-BR"/>
        </w:rPr>
        <w:t xml:space="preserve"> poderão, para qualquer servidor no qual eles estejam devidamente licenciados sob os direitos de uso do produto da licença</w:t>
      </w:r>
      <w:r w:rsidR="00557CB6" w:rsidRPr="008D38F6">
        <w:rPr>
          <w:rFonts w:eastAsia="Calibri" w:cs="Tahoma"/>
          <w:szCs w:val="18"/>
          <w:lang w:val="pt-BR"/>
        </w:rPr>
        <w:t> </w:t>
      </w:r>
      <w:r w:rsidRPr="008D38F6">
        <w:rPr>
          <w:rFonts w:eastAsia="Calibri" w:cs="Tahoma"/>
          <w:szCs w:val="18"/>
          <w:lang w:val="pt-BR"/>
        </w:rPr>
        <w:t>do processador SQK Server 2008 R2, adquirir o Software Assurance, como pode ser visto a seguir:</w:t>
      </w:r>
    </w:p>
    <w:p w:rsidR="000C03F3" w:rsidRPr="008D38F6" w:rsidRDefault="000C03F3" w:rsidP="000C03F3">
      <w:pPr>
        <w:ind w:left="720"/>
        <w:rPr>
          <w:lang w:val="pt-BR"/>
        </w:rPr>
      </w:pPr>
    </w:p>
    <w:p w:rsidR="00A81E83" w:rsidRPr="008D38F6" w:rsidRDefault="00A81E83" w:rsidP="000C03F3">
      <w:pPr>
        <w:numPr>
          <w:ilvl w:val="3"/>
          <w:numId w:val="111"/>
        </w:numPr>
        <w:tabs>
          <w:tab w:val="left" w:pos="1170"/>
        </w:tabs>
        <w:spacing w:after="60"/>
        <w:ind w:left="1440" w:hanging="360"/>
        <w:rPr>
          <w:lang w:val="pt-BR"/>
        </w:rPr>
      </w:pPr>
      <w:r w:rsidRPr="008D38F6">
        <w:rPr>
          <w:rFonts w:eastAsia="Calibri" w:cs="Tahoma"/>
          <w:szCs w:val="18"/>
          <w:lang w:val="pt-BR"/>
        </w:rPr>
        <w:t>Conforme fornecido no primeiro parágrafo desta nota do produto, as licenças adquiridas antes de</w:t>
      </w:r>
      <w:r w:rsidR="00557CB6" w:rsidRPr="008D38F6">
        <w:rPr>
          <w:rFonts w:eastAsia="Calibri" w:cs="Tahoma"/>
          <w:szCs w:val="18"/>
          <w:lang w:val="pt-BR"/>
        </w:rPr>
        <w:t>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são licenças qualificadas, e os clientes poderão renovar o SA de acordo com</w:t>
      </w:r>
      <w:r w:rsidR="00557CB6" w:rsidRPr="008D38F6">
        <w:rPr>
          <w:rFonts w:eastAsia="Calibri" w:cs="Tahoma"/>
          <w:szCs w:val="18"/>
          <w:lang w:val="pt-BR"/>
        </w:rPr>
        <w:t> </w:t>
      </w:r>
      <w:r w:rsidRPr="008D38F6">
        <w:rPr>
          <w:rFonts w:eastAsia="Calibri" w:cs="Tahoma"/>
          <w:szCs w:val="18"/>
          <w:lang w:val="pt-BR"/>
        </w:rPr>
        <w:t xml:space="preserve">os termos na seção “Primeiro Prazo de Renovação (Antes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w:t>
      </w:r>
      <w:r w:rsidR="00910E93" w:rsidRPr="008D38F6">
        <w:rPr>
          <w:rFonts w:eastAsia="Calibri" w:cs="Tahoma"/>
          <w:szCs w:val="18"/>
          <w:lang w:val="pt-BR"/>
        </w:rPr>
        <w:t>”</w:t>
      </w:r>
      <w:r w:rsidRPr="008D38F6">
        <w:rPr>
          <w:rFonts w:eastAsia="Calibri" w:cs="Tahoma"/>
          <w:szCs w:val="18"/>
          <w:lang w:val="pt-BR"/>
        </w:rPr>
        <w:t xml:space="preserve"> acima e</w:t>
      </w:r>
    </w:p>
    <w:p w:rsidR="00A81E83" w:rsidRPr="008D38F6" w:rsidRDefault="00A81E83" w:rsidP="000C03F3">
      <w:pPr>
        <w:numPr>
          <w:ilvl w:val="3"/>
          <w:numId w:val="111"/>
        </w:numPr>
        <w:tabs>
          <w:tab w:val="left" w:pos="1170"/>
        </w:tabs>
        <w:spacing w:after="60"/>
        <w:ind w:left="1440" w:hanging="360"/>
        <w:rPr>
          <w:lang w:val="pt-BR"/>
        </w:rPr>
      </w:pPr>
      <w:r w:rsidRPr="008D38F6">
        <w:rPr>
          <w:rFonts w:eastAsia="Calibri" w:cs="Tahoma"/>
          <w:szCs w:val="18"/>
          <w:lang w:val="pt-BR"/>
        </w:rPr>
        <w:t xml:space="preserve">Para as licenças adquiridas depois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Workgroup. Para o uso contínuo do SQL Server 2012 em processadores que exigem mais de quatro licenças principais por processador, o</w:t>
      </w:r>
      <w:r w:rsidR="00557CB6" w:rsidRPr="008D38F6">
        <w:rPr>
          <w:rFonts w:eastAsia="Calibri" w:cs="Tahoma"/>
          <w:szCs w:val="18"/>
          <w:lang w:val="pt-BR"/>
        </w:rPr>
        <w:t> </w:t>
      </w:r>
      <w:r w:rsidRPr="008D38F6">
        <w:rPr>
          <w:rFonts w:eastAsia="Calibri" w:cs="Tahoma"/>
          <w:szCs w:val="18"/>
          <w:lang w:val="pt-BR"/>
        </w:rPr>
        <w:t>cliente tem que adquirir licenças principais adicionais.</w:t>
      </w:r>
    </w:p>
    <w:p w:rsidR="00A81E83" w:rsidRPr="008D38F6" w:rsidRDefault="00A81E83" w:rsidP="000C03F3">
      <w:pPr>
        <w:numPr>
          <w:ilvl w:val="0"/>
          <w:numId w:val="64"/>
        </w:numPr>
        <w:tabs>
          <w:tab w:val="left" w:pos="720"/>
          <w:tab w:val="left" w:pos="1170"/>
        </w:tabs>
        <w:spacing w:after="60"/>
        <w:ind w:left="1440"/>
        <w:rPr>
          <w:lang w:val="pt-BR"/>
        </w:rPr>
      </w:pPr>
      <w:r w:rsidRPr="008D38F6">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FB5496" w:rsidRPr="008D38F6">
        <w:rPr>
          <w:rFonts w:eastAsia="Calibri" w:cs="Tahoma"/>
          <w:szCs w:val="18"/>
          <w:lang w:val="pt-BR"/>
        </w:rPr>
        <w:t xml:space="preserve"> </w:t>
      </w:r>
    </w:p>
    <w:p w:rsidR="000C03F3" w:rsidRPr="008D38F6" w:rsidRDefault="000C03F3" w:rsidP="000C03F3">
      <w:pPr>
        <w:tabs>
          <w:tab w:val="left" w:pos="720"/>
        </w:tabs>
        <w:ind w:left="720"/>
        <w:rPr>
          <w:lang w:val="pt-BR"/>
        </w:rPr>
      </w:pPr>
    </w:p>
    <w:p w:rsidR="000C03F3" w:rsidRPr="008D38F6" w:rsidRDefault="00A81E83" w:rsidP="000C03F3">
      <w:pPr>
        <w:tabs>
          <w:tab w:val="left" w:pos="720"/>
          <w:tab w:val="left" w:pos="1800"/>
        </w:tabs>
        <w:spacing w:after="60"/>
        <w:ind w:left="720"/>
        <w:rPr>
          <w:lang w:val="pt-BR"/>
        </w:rPr>
      </w:pPr>
      <w:r w:rsidRPr="008D38F6">
        <w:rPr>
          <w:rFonts w:eastAsia="Calibri" w:cs="Tahoma"/>
          <w:b/>
          <w:szCs w:val="18"/>
          <w:lang w:val="pt-BR"/>
        </w:rPr>
        <w:t xml:space="preserve">Para os clientes com cobertura de Software Assurance que expiram antes de </w:t>
      </w:r>
      <w:r w:rsidR="00EB0F1B" w:rsidRPr="008D38F6">
        <w:rPr>
          <w:rFonts w:eastAsia="Calibri" w:cs="Tahoma"/>
          <w:b/>
          <w:szCs w:val="18"/>
          <w:lang w:val="pt-BR"/>
        </w:rPr>
        <w:t>1</w:t>
      </w:r>
      <w:r w:rsidR="00EB0F1B" w:rsidRPr="008D38F6">
        <w:rPr>
          <w:rFonts w:eastAsia="Calibri" w:cs="Tahoma"/>
          <w:b/>
          <w:szCs w:val="18"/>
          <w:vertAlign w:val="superscript"/>
          <w:lang w:val="pt-BR"/>
        </w:rPr>
        <w:t>º</w:t>
      </w:r>
      <w:r w:rsidRPr="008D38F6">
        <w:rPr>
          <w:rFonts w:eastAsia="Calibri" w:cs="Tahoma"/>
          <w:b/>
          <w:szCs w:val="18"/>
          <w:lang w:val="pt-BR"/>
        </w:rPr>
        <w:t xml:space="preserve"> de abril de 2015 que optaram pela não renovação</w:t>
      </w:r>
    </w:p>
    <w:p w:rsidR="00A81E83" w:rsidRPr="008D38F6" w:rsidRDefault="00A81E83" w:rsidP="000C03F3">
      <w:pPr>
        <w:tabs>
          <w:tab w:val="left" w:pos="720"/>
          <w:tab w:val="left" w:pos="1800"/>
        </w:tabs>
        <w:ind w:left="720"/>
        <w:rPr>
          <w:lang w:val="pt-BR"/>
        </w:rPr>
      </w:pPr>
      <w:r w:rsidRPr="008D38F6">
        <w:rPr>
          <w:rFonts w:eastAsia="Calibri" w:cs="Tahoma"/>
          <w:szCs w:val="18"/>
          <w:lang w:val="pt-BR"/>
        </w:rPr>
        <w:t xml:space="preserve">Os clientes do Enterprise Subscription </w:t>
      </w:r>
      <w:r w:rsidRPr="008D38F6">
        <w:rPr>
          <w:rFonts w:cs="Tahoma"/>
          <w:bCs/>
          <w:color w:val="000000"/>
          <w:szCs w:val="18"/>
          <w:lang w:val="pt-BR"/>
        </w:rPr>
        <w:t xml:space="preserve">e Open Value Subscription </w:t>
      </w:r>
      <w:r w:rsidRPr="008D38F6">
        <w:rPr>
          <w:rFonts w:eastAsia="Calibri" w:cs="Tahoma"/>
          <w:szCs w:val="18"/>
          <w:lang w:val="pt-BR"/>
        </w:rPr>
        <w:t xml:space="preserve">com cobertura expirando antes de </w:t>
      </w:r>
      <w:r w:rsidR="00557CB6" w:rsidRPr="008D38F6">
        <w:rPr>
          <w:rFonts w:eastAsia="Calibri" w:cs="Tahoma"/>
          <w:szCs w:val="18"/>
          <w:lang w:val="pt-BR"/>
        </w:rPr>
        <w:br/>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que optarem por comprar licenças de processador e quaisquer outros clientes que adquirirem licenças perpétuas sob este contrato e optarem por não renovar o Software Assurance poderão</w:t>
      </w:r>
      <w:r w:rsidR="00557CB6" w:rsidRPr="008D38F6">
        <w:rPr>
          <w:rFonts w:eastAsia="Calibri" w:cs="Tahoma"/>
          <w:szCs w:val="18"/>
          <w:lang w:val="pt-BR"/>
        </w:rPr>
        <w:t> </w:t>
      </w:r>
      <w:r w:rsidRPr="008D38F6">
        <w:rPr>
          <w:rFonts w:eastAsia="Calibri" w:cs="Tahoma"/>
          <w:szCs w:val="18"/>
          <w:lang w:val="pt-BR"/>
        </w:rPr>
        <w:t>executar o SQL Server 2008 R2 ou SQL Server 2012 sob essas licenças da seguinte forma:</w:t>
      </w:r>
    </w:p>
    <w:p w:rsidR="000C03F3" w:rsidRPr="008D38F6" w:rsidRDefault="000C03F3" w:rsidP="000C03F3">
      <w:pPr>
        <w:tabs>
          <w:tab w:val="left" w:pos="720"/>
          <w:tab w:val="left" w:pos="1800"/>
        </w:tabs>
        <w:ind w:left="720"/>
        <w:rPr>
          <w:lang w:val="pt-BR"/>
        </w:rPr>
      </w:pPr>
    </w:p>
    <w:p w:rsidR="00A81E83" w:rsidRPr="008D38F6" w:rsidRDefault="00A81E83" w:rsidP="000C03F3">
      <w:pPr>
        <w:numPr>
          <w:ilvl w:val="0"/>
          <w:numId w:val="73"/>
        </w:numPr>
        <w:tabs>
          <w:tab w:val="left" w:pos="1440"/>
        </w:tabs>
        <w:spacing w:after="60"/>
        <w:ind w:left="1440"/>
        <w:rPr>
          <w:lang w:val="pt-BR"/>
        </w:rPr>
      </w:pPr>
      <w:r w:rsidRPr="008D38F6">
        <w:rPr>
          <w:rFonts w:eastAsia="Calibri" w:cs="Tahoma"/>
          <w:b/>
          <w:szCs w:val="18"/>
          <w:lang w:val="pt-BR"/>
        </w:rPr>
        <w:t>CAL do SQL Server 2008 R2 Workgroup:</w:t>
      </w:r>
      <w:r w:rsidRPr="008D38F6">
        <w:rPr>
          <w:rFonts w:eastAsia="Calibri" w:cs="Tahoma"/>
          <w:szCs w:val="18"/>
          <w:lang w:val="pt-BR"/>
        </w:rPr>
        <w:t xml:space="preserve"> O uso contínuo do referido software está sujeito aos</w:t>
      </w:r>
      <w:r w:rsidR="00557CB6" w:rsidRPr="008D38F6">
        <w:rPr>
          <w:rFonts w:eastAsia="Calibri" w:cs="Tahoma"/>
          <w:szCs w:val="18"/>
          <w:lang w:val="pt-BR"/>
        </w:rPr>
        <w:t> </w:t>
      </w:r>
      <w:r w:rsidRPr="008D38F6">
        <w:rPr>
          <w:rFonts w:eastAsia="Calibri" w:cs="Tahoma"/>
          <w:szCs w:val="18"/>
          <w:lang w:val="pt-BR"/>
        </w:rPr>
        <w:t>direitos de uso do produto de licença do processador do SQL Server 2008 R2 Workgroup. Os</w:t>
      </w:r>
      <w:r w:rsidR="00557CB6" w:rsidRPr="008D38F6">
        <w:rPr>
          <w:rFonts w:eastAsia="Calibri" w:cs="Tahoma"/>
          <w:szCs w:val="18"/>
          <w:lang w:val="pt-BR"/>
        </w:rPr>
        <w:t> </w:t>
      </w:r>
      <w:r w:rsidRPr="008D38F6">
        <w:rPr>
          <w:rFonts w:eastAsia="Calibri" w:cs="Tahoma"/>
          <w:szCs w:val="18"/>
          <w:lang w:val="pt-BR"/>
        </w:rPr>
        <w:t xml:space="preserve">clientes não têm mais direitos sob Mobilidade de Licença nos Farms de Servidores nem Mobilidade de Licença </w:t>
      </w:r>
      <w:r w:rsidR="008D0E85" w:rsidRPr="008D38F6">
        <w:rPr>
          <w:rFonts w:eastAsia="Calibri" w:cs="Tahoma"/>
          <w:szCs w:val="18"/>
          <w:lang w:val="pt-BR"/>
        </w:rPr>
        <w:t>por meio de Software Assurance.</w:t>
      </w:r>
    </w:p>
    <w:p w:rsidR="00A81E83" w:rsidRPr="008D38F6" w:rsidRDefault="00A81E83" w:rsidP="000C03F3">
      <w:pPr>
        <w:numPr>
          <w:ilvl w:val="0"/>
          <w:numId w:val="73"/>
        </w:numPr>
        <w:tabs>
          <w:tab w:val="left" w:pos="1440"/>
        </w:tabs>
        <w:spacing w:after="60"/>
        <w:ind w:left="1440"/>
        <w:rPr>
          <w:lang w:val="pt-BR"/>
        </w:rPr>
      </w:pPr>
      <w:r w:rsidRPr="008D38F6">
        <w:rPr>
          <w:rFonts w:eastAsia="Calibri" w:cs="Tahoma"/>
          <w:b/>
          <w:szCs w:val="18"/>
          <w:lang w:val="pt-BR"/>
        </w:rPr>
        <w:t xml:space="preserve">SQL Server 2012 Standard Core: </w:t>
      </w:r>
      <w:r w:rsidRPr="008D38F6">
        <w:rPr>
          <w:rFonts w:eastAsia="Calibri" w:cs="Tahoma"/>
          <w:szCs w:val="18"/>
          <w:lang w:val="pt-BR"/>
        </w:rPr>
        <w:t>O uso desta versão do software está sujeito aos direitos de</w:t>
      </w:r>
      <w:r w:rsidR="00557CB6" w:rsidRPr="008D38F6">
        <w:rPr>
          <w:rFonts w:eastAsia="Calibri" w:cs="Tahoma"/>
          <w:szCs w:val="18"/>
          <w:lang w:val="pt-BR"/>
        </w:rPr>
        <w:t> </w:t>
      </w:r>
      <w:r w:rsidRPr="008D38F6">
        <w:rPr>
          <w:rFonts w:eastAsia="Calibri" w:cs="Tahoma"/>
          <w:szCs w:val="18"/>
          <w:lang w:val="pt-BR"/>
        </w:rPr>
        <w:t xml:space="preserve">uso do produto de licença do processador do SQL Server 2008 R2 Standard, no entanto: </w:t>
      </w:r>
    </w:p>
    <w:p w:rsidR="00A81E83" w:rsidRPr="008D38F6" w:rsidRDefault="00A81E83" w:rsidP="000C03F3">
      <w:pPr>
        <w:numPr>
          <w:ilvl w:val="1"/>
          <w:numId w:val="73"/>
        </w:numPr>
        <w:tabs>
          <w:tab w:val="left" w:pos="1800"/>
        </w:tabs>
        <w:spacing w:after="60"/>
        <w:ind w:left="1800"/>
        <w:rPr>
          <w:lang w:val="pt-BR"/>
        </w:rPr>
      </w:pPr>
      <w:r w:rsidRPr="008D38F6">
        <w:rPr>
          <w:rFonts w:eastAsia="Calibri" w:cs="Tahoma"/>
          <w:szCs w:val="18"/>
          <w:lang w:val="pt-BR"/>
        </w:rPr>
        <w:t xml:space="preserve">os clientes não têm mais direitos sob Mobilidade de Licença nos Farms de Servidores nem Mobilidade de Licença por meio de Software Assurance e </w:t>
      </w:r>
    </w:p>
    <w:p w:rsidR="00A81E83" w:rsidRPr="008D38F6" w:rsidRDefault="00A81E83" w:rsidP="000C03F3">
      <w:pPr>
        <w:numPr>
          <w:ilvl w:val="1"/>
          <w:numId w:val="73"/>
        </w:numPr>
        <w:tabs>
          <w:tab w:val="left" w:pos="1800"/>
        </w:tabs>
        <w:spacing w:after="60"/>
        <w:ind w:left="1800"/>
        <w:rPr>
          <w:lang w:val="pt-BR"/>
        </w:rPr>
      </w:pPr>
      <w:r w:rsidRPr="008D38F6">
        <w:rPr>
          <w:rFonts w:eastAsia="Calibri" w:cs="Tahoma"/>
          <w:szCs w:val="18"/>
          <w:lang w:val="pt-BR"/>
        </w:rPr>
        <w:t>quaisquer reatribuição de licenças está sujeita a limitações em (i) e (ii) abaixo relacionada a</w:t>
      </w:r>
      <w:r w:rsidR="00557CB6" w:rsidRPr="008D38F6">
        <w:rPr>
          <w:rFonts w:eastAsia="Calibri" w:cs="Tahoma"/>
          <w:szCs w:val="18"/>
          <w:lang w:val="pt-BR"/>
        </w:rPr>
        <w:t> </w:t>
      </w:r>
      <w:r w:rsidRPr="008D38F6">
        <w:rPr>
          <w:rFonts w:eastAsia="Calibri" w:cs="Tahoma"/>
          <w:szCs w:val="18"/>
          <w:lang w:val="pt-BR"/>
        </w:rPr>
        <w:t>sua “equivalência de licença principal”. A equivalência de licença principal é determinada da</w:t>
      </w:r>
      <w:r w:rsidR="00557CB6" w:rsidRPr="008D38F6">
        <w:rPr>
          <w:rFonts w:eastAsia="Calibri" w:cs="Tahoma"/>
          <w:szCs w:val="18"/>
          <w:lang w:val="pt-BR"/>
        </w:rPr>
        <w:t> </w:t>
      </w:r>
      <w:r w:rsidRPr="008D38F6">
        <w:rPr>
          <w:rFonts w:eastAsia="Calibri" w:cs="Tahoma"/>
          <w:szCs w:val="18"/>
          <w:lang w:val="pt-BR"/>
        </w:rPr>
        <w:t xml:space="preserve">seguinte forma: </w:t>
      </w:r>
    </w:p>
    <w:p w:rsidR="00A81E83" w:rsidRPr="008D38F6" w:rsidRDefault="00A81E83" w:rsidP="000C03F3">
      <w:pPr>
        <w:numPr>
          <w:ilvl w:val="2"/>
          <w:numId w:val="73"/>
        </w:numPr>
        <w:tabs>
          <w:tab w:val="left" w:pos="2160"/>
        </w:tabs>
        <w:spacing w:after="60"/>
        <w:rPr>
          <w:lang w:val="pt-BR"/>
        </w:rPr>
      </w:pPr>
      <w:r w:rsidRPr="008D38F6">
        <w:rPr>
          <w:rFonts w:eastAsia="Calibri" w:cs="Tahoma"/>
          <w:szCs w:val="18"/>
          <w:lang w:val="pt-BR"/>
        </w:rPr>
        <w:t>Para um número de licenças igual ao menor do (x) número total de licenças do processador atribuídas a um servidor licenciado que antecede imediatamente a expiração</w:t>
      </w:r>
      <w:r w:rsidR="00557CB6" w:rsidRPr="008D38F6">
        <w:rPr>
          <w:rFonts w:eastAsia="Calibri" w:cs="Tahoma"/>
          <w:szCs w:val="18"/>
          <w:lang w:val="pt-BR"/>
        </w:rPr>
        <w:t> </w:t>
      </w:r>
      <w:r w:rsidRPr="008D38F6">
        <w:rPr>
          <w:rFonts w:eastAsia="Calibri" w:cs="Tahoma"/>
          <w:szCs w:val="18"/>
          <w:lang w:val="pt-BR"/>
        </w:rPr>
        <w:t>do Software Assurance ou (y) o número total de processadores físicos naquele</w:t>
      </w:r>
      <w:r w:rsidR="00557CB6" w:rsidRPr="008D38F6">
        <w:rPr>
          <w:rFonts w:eastAsia="Calibri" w:cs="Tahoma"/>
          <w:szCs w:val="18"/>
          <w:lang w:val="pt-BR"/>
        </w:rPr>
        <w:t> </w:t>
      </w:r>
      <w:r w:rsidRPr="008D38F6">
        <w:rPr>
          <w:rFonts w:eastAsia="Calibri" w:cs="Tahoma"/>
          <w:szCs w:val="18"/>
          <w:lang w:val="pt-BR"/>
        </w:rPr>
        <w:t xml:space="preserve">servidor, a equivalência de licença principal é maior do que: </w:t>
      </w:r>
    </w:p>
    <w:p w:rsidR="00A81E83" w:rsidRPr="008D38F6" w:rsidRDefault="00A81E83" w:rsidP="000C03F3">
      <w:pPr>
        <w:numPr>
          <w:ilvl w:val="4"/>
          <w:numId w:val="64"/>
        </w:numPr>
        <w:tabs>
          <w:tab w:val="left" w:pos="2520"/>
        </w:tabs>
        <w:spacing w:after="60"/>
        <w:ind w:left="2520"/>
        <w:rPr>
          <w:lang w:val="pt-BR"/>
        </w:rPr>
      </w:pPr>
      <w:r w:rsidRPr="008D38F6">
        <w:rPr>
          <w:rFonts w:eastAsia="Calibri" w:cs="Tahoma"/>
          <w:szCs w:val="18"/>
          <w:lang w:val="pt-BR"/>
        </w:rPr>
        <w:t xml:space="preserve">quatro núcleos por licença de processador OU </w:t>
      </w:r>
    </w:p>
    <w:p w:rsidR="00A81E83" w:rsidRPr="008D38F6" w:rsidRDefault="00A81E83" w:rsidP="000C03F3">
      <w:pPr>
        <w:numPr>
          <w:ilvl w:val="4"/>
          <w:numId w:val="64"/>
        </w:numPr>
        <w:tabs>
          <w:tab w:val="left" w:pos="2520"/>
        </w:tabs>
        <w:spacing w:after="60"/>
        <w:ind w:left="2520"/>
        <w:rPr>
          <w:lang w:val="pt-BR"/>
        </w:rPr>
      </w:pPr>
      <w:r w:rsidRPr="008D38F6">
        <w:rPr>
          <w:rFonts w:eastAsia="Calibri" w:cs="Tahoma"/>
          <w:szCs w:val="18"/>
          <w:lang w:val="pt-BR"/>
        </w:rPr>
        <w:t>um número de núcleos por licença do processador com base no número real de</w:t>
      </w:r>
      <w:r w:rsidR="00557CB6" w:rsidRPr="008D38F6">
        <w:rPr>
          <w:rFonts w:eastAsia="Calibri" w:cs="Tahoma"/>
          <w:szCs w:val="18"/>
          <w:lang w:val="pt-BR"/>
        </w:rPr>
        <w:t> </w:t>
      </w:r>
      <w:r w:rsidRPr="008D38F6">
        <w:rPr>
          <w:rFonts w:eastAsia="Calibri" w:cs="Tahoma"/>
          <w:szCs w:val="18"/>
          <w:lang w:val="pt-BR"/>
        </w:rPr>
        <w:t>núcleos por processador físico multiplicado pelo fator de núcleo apropriado. (Nos</w:t>
      </w:r>
      <w:r w:rsidR="00557CB6" w:rsidRPr="008D38F6">
        <w:rPr>
          <w:rFonts w:eastAsia="Calibri" w:cs="Tahoma"/>
          <w:szCs w:val="18"/>
          <w:lang w:val="pt-BR"/>
        </w:rPr>
        <w:t> </w:t>
      </w:r>
      <w:r w:rsidRPr="008D38F6">
        <w:rPr>
          <w:rFonts w:eastAsia="Calibri" w:cs="Tahoma"/>
          <w:szCs w:val="18"/>
          <w:lang w:val="pt-BR"/>
        </w:rPr>
        <w:t>casos em que o número real de núcleos por processador físico excede quatro, os clientes devem manter um registro da configuração do software SQL Server executando no servidor) instâncias licenciadas executando em ambientes do sistema</w:t>
      </w:r>
      <w:r w:rsidR="00557CB6" w:rsidRPr="008D38F6">
        <w:rPr>
          <w:rFonts w:eastAsia="Calibri" w:cs="Tahoma"/>
          <w:szCs w:val="18"/>
          <w:lang w:val="pt-BR"/>
        </w:rPr>
        <w:t> </w:t>
      </w:r>
      <w:r w:rsidRPr="008D38F6">
        <w:rPr>
          <w:rFonts w:eastAsia="Calibri" w:cs="Tahoma"/>
          <w:szCs w:val="18"/>
          <w:lang w:val="pt-BR"/>
        </w:rPr>
        <w:t>operacional no servidor licenciado) e o hardware físico oferecendo suporte ao</w:t>
      </w:r>
      <w:r w:rsidR="00557CB6" w:rsidRPr="008D38F6">
        <w:rPr>
          <w:rFonts w:eastAsia="Calibri" w:cs="Tahoma"/>
          <w:szCs w:val="18"/>
          <w:lang w:val="pt-BR"/>
        </w:rPr>
        <w:t> </w:t>
      </w:r>
      <w:r w:rsidRPr="008D38F6">
        <w:rPr>
          <w:rFonts w:eastAsia="Calibri" w:cs="Tahoma"/>
          <w:szCs w:val="18"/>
          <w:lang w:val="pt-BR"/>
        </w:rPr>
        <w:t>software que está antecedendo a expiração do Software Assurance usando a</w:t>
      </w:r>
      <w:r w:rsidR="00557CB6" w:rsidRPr="008D38F6">
        <w:rPr>
          <w:rFonts w:eastAsia="Calibri" w:cs="Tahoma"/>
          <w:szCs w:val="18"/>
          <w:lang w:val="pt-BR"/>
        </w:rPr>
        <w:t> </w:t>
      </w:r>
      <w:r w:rsidRPr="008D38F6">
        <w:rPr>
          <w:rFonts w:eastAsia="Calibri" w:cs="Tahoma"/>
          <w:szCs w:val="18"/>
          <w:lang w:val="pt-BR"/>
        </w:rPr>
        <w:t xml:space="preserve">ferramenta Microsoft MAP ou qualquer software equivalente.) </w:t>
      </w:r>
    </w:p>
    <w:p w:rsidR="00A81E83" w:rsidRPr="008D38F6" w:rsidRDefault="00A81E83" w:rsidP="000C03F3">
      <w:pPr>
        <w:numPr>
          <w:ilvl w:val="1"/>
          <w:numId w:val="73"/>
        </w:numPr>
        <w:tabs>
          <w:tab w:val="left" w:pos="1800"/>
        </w:tabs>
        <w:spacing w:after="60"/>
        <w:ind w:left="1800"/>
        <w:rPr>
          <w:lang w:val="pt-BR"/>
        </w:rPr>
      </w:pPr>
      <w:r w:rsidRPr="008D38F6">
        <w:rPr>
          <w:rFonts w:eastAsia="Calibri" w:cs="Tahoma"/>
          <w:szCs w:val="18"/>
          <w:lang w:val="pt-BR"/>
        </w:rPr>
        <w:t>Para qualquer licença de processador com um Software Assurance expirando atribuído ao mesmo servidor licenciado em excesso do número real de processadores físicos no servidor, a</w:t>
      </w:r>
      <w:r w:rsidR="00557CB6" w:rsidRPr="008D38F6">
        <w:rPr>
          <w:rFonts w:eastAsia="Calibri" w:cs="Tahoma"/>
          <w:szCs w:val="18"/>
          <w:lang w:val="pt-BR"/>
        </w:rPr>
        <w:t> </w:t>
      </w:r>
      <w:r w:rsidRPr="008D38F6">
        <w:rPr>
          <w:rFonts w:eastAsia="Calibri" w:cs="Tahoma"/>
          <w:szCs w:val="18"/>
          <w:lang w:val="pt-BR"/>
        </w:rPr>
        <w:t>equivalência de núcleo é de quatro núcleos por licença de processador.</w:t>
      </w:r>
    </w:p>
    <w:p w:rsidR="00A81E83" w:rsidRPr="008D38F6" w:rsidRDefault="00A81E83" w:rsidP="000C03F3">
      <w:pPr>
        <w:numPr>
          <w:ilvl w:val="1"/>
          <w:numId w:val="73"/>
        </w:numPr>
        <w:tabs>
          <w:tab w:val="left" w:pos="1800"/>
        </w:tabs>
        <w:spacing w:after="60"/>
        <w:ind w:left="1800"/>
        <w:rPr>
          <w:lang w:val="pt-BR"/>
        </w:rPr>
      </w:pPr>
      <w:r w:rsidRPr="008D38F6">
        <w:rPr>
          <w:rFonts w:eastAsia="Calibri" w:cs="Tahoma"/>
          <w:szCs w:val="18"/>
          <w:lang w:val="pt-BR"/>
        </w:rPr>
        <w:t>Os Clientes poderão transferir as Licenças para outro servidor. No entanto, se o cliente transferir uma licença para outro servidor, o cliente terá que seguir os direitos de uso do SQL</w:t>
      </w:r>
      <w:r w:rsidR="00557CB6" w:rsidRPr="008D38F6">
        <w:rPr>
          <w:rFonts w:eastAsia="Calibri" w:cs="Tahoma"/>
          <w:szCs w:val="18"/>
          <w:lang w:val="pt-BR"/>
        </w:rPr>
        <w:t> </w:t>
      </w:r>
      <w:r w:rsidRPr="008D38F6">
        <w:rPr>
          <w:rFonts w:eastAsia="Calibri" w:cs="Tahoma"/>
          <w:szCs w:val="18"/>
          <w:lang w:val="pt-BR"/>
        </w:rPr>
        <w:t>Server 2012. Ao transferir licenças principais para servidores sob os direitos de uso do</w:t>
      </w:r>
      <w:r w:rsidR="00557CB6" w:rsidRPr="008D38F6">
        <w:rPr>
          <w:rFonts w:eastAsia="Calibri" w:cs="Tahoma"/>
          <w:szCs w:val="18"/>
          <w:lang w:val="pt-BR"/>
        </w:rPr>
        <w:t> </w:t>
      </w:r>
      <w:r w:rsidRPr="008D38F6">
        <w:rPr>
          <w:rFonts w:eastAsia="Calibri" w:cs="Tahoma"/>
          <w:szCs w:val="18"/>
          <w:lang w:val="pt-BR"/>
        </w:rPr>
        <w:t>SQL 2012, o cliente poderá combinar a equivalência de núcleo de suas licenças existentes</w:t>
      </w:r>
      <w:r w:rsidR="00EB0F1B" w:rsidRPr="008D38F6">
        <w:rPr>
          <w:rFonts w:eastAsia="Calibri" w:cs="Tahoma"/>
          <w:szCs w:val="18"/>
          <w:lang w:val="pt-BR"/>
        </w:rPr>
        <w:t> </w:t>
      </w:r>
      <w:r w:rsidRPr="008D38F6">
        <w:rPr>
          <w:rFonts w:eastAsia="Calibri" w:cs="Tahoma"/>
          <w:szCs w:val="18"/>
          <w:lang w:val="pt-BR"/>
        </w:rPr>
        <w:t>com as licenças principais do SQL Server 2012 adicionais.</w:t>
      </w:r>
    </w:p>
    <w:p w:rsidR="00A81E83" w:rsidRPr="008D38F6" w:rsidRDefault="00A81E83" w:rsidP="000C03F3">
      <w:pPr>
        <w:numPr>
          <w:ilvl w:val="1"/>
          <w:numId w:val="73"/>
        </w:numPr>
        <w:tabs>
          <w:tab w:val="left" w:pos="1800"/>
        </w:tabs>
        <w:spacing w:after="60"/>
        <w:ind w:left="1800"/>
        <w:rPr>
          <w:lang w:val="pt-BR"/>
        </w:rPr>
      </w:pPr>
      <w:r w:rsidRPr="008D38F6">
        <w:rPr>
          <w:rFonts w:eastAsia="Calibri" w:cs="Tahoma"/>
          <w:szCs w:val="18"/>
          <w:lang w:val="pt-BR"/>
        </w:rPr>
        <w:t>A equivalência de licença principal dos clientes não implica que eles podem atribuir uma única</w:t>
      </w:r>
      <w:r w:rsidR="00EB0F1B" w:rsidRPr="008D38F6">
        <w:rPr>
          <w:rFonts w:eastAsia="Calibri" w:cs="Tahoma"/>
          <w:szCs w:val="18"/>
          <w:lang w:val="pt-BR"/>
        </w:rPr>
        <w:t> </w:t>
      </w:r>
      <w:r w:rsidRPr="008D38F6">
        <w:rPr>
          <w:rFonts w:eastAsia="Calibri" w:cs="Tahoma"/>
          <w:szCs w:val="18"/>
          <w:lang w:val="pt-BR"/>
        </w:rPr>
        <w:t>licença de processador a núcleos por dois ou mais processadores.</w:t>
      </w:r>
    </w:p>
    <w:p w:rsidR="003E651C" w:rsidRPr="008D38F6" w:rsidRDefault="003E651C" w:rsidP="000C03F3">
      <w:pPr>
        <w:tabs>
          <w:tab w:val="left" w:pos="1800"/>
        </w:tabs>
        <w:spacing w:after="60"/>
        <w:rPr>
          <w:lang w:val="pt-BR"/>
        </w:rPr>
      </w:pPr>
    </w:p>
    <w:p w:rsidR="000C03F3" w:rsidRPr="008D38F6" w:rsidRDefault="00A81E83" w:rsidP="000C03F3">
      <w:pPr>
        <w:tabs>
          <w:tab w:val="left" w:pos="720"/>
        </w:tabs>
        <w:spacing w:after="60"/>
        <w:ind w:left="720"/>
        <w:rPr>
          <w:lang w:val="pt-BR"/>
        </w:rPr>
      </w:pPr>
      <w:r w:rsidRPr="008D38F6">
        <w:rPr>
          <w:rFonts w:eastAsia="Calibri" w:cs="Tahoma"/>
          <w:b/>
          <w:color w:val="000000"/>
          <w:szCs w:val="18"/>
          <w:lang w:val="pt-BR"/>
        </w:rPr>
        <w:t xml:space="preserve">Para os clientes com cobertura de Software Assurance que expiram em ou depois de </w:t>
      </w:r>
      <w:r w:rsidR="00EB0F1B" w:rsidRPr="008D38F6">
        <w:rPr>
          <w:rFonts w:eastAsia="Calibri" w:cs="Tahoma"/>
          <w:b/>
          <w:color w:val="000000"/>
          <w:szCs w:val="18"/>
          <w:lang w:val="pt-BR"/>
        </w:rPr>
        <w:br/>
        <w:t>1</w:t>
      </w:r>
      <w:r w:rsidR="00EB0F1B" w:rsidRPr="008D38F6">
        <w:rPr>
          <w:rFonts w:eastAsia="Calibri" w:cs="Tahoma"/>
          <w:b/>
          <w:color w:val="000000"/>
          <w:szCs w:val="18"/>
          <w:vertAlign w:val="superscript"/>
          <w:lang w:val="pt-BR"/>
        </w:rPr>
        <w:t>º</w:t>
      </w:r>
      <w:r w:rsidRPr="008D38F6">
        <w:rPr>
          <w:rFonts w:eastAsia="Calibri" w:cs="Tahoma"/>
          <w:b/>
          <w:color w:val="000000"/>
          <w:szCs w:val="18"/>
          <w:lang w:val="pt-BR"/>
        </w:rPr>
        <w:t xml:space="preserve"> de abril de 2015 que optaram pela não renovação</w:t>
      </w:r>
    </w:p>
    <w:p w:rsidR="00A81E83" w:rsidRPr="008D38F6" w:rsidRDefault="00A81E83" w:rsidP="000C03F3">
      <w:pPr>
        <w:tabs>
          <w:tab w:val="left" w:pos="720"/>
        </w:tabs>
        <w:ind w:left="720"/>
        <w:rPr>
          <w:lang w:val="pt-BR"/>
        </w:rPr>
      </w:pPr>
      <w:r w:rsidRPr="008D38F6">
        <w:rPr>
          <w:rFonts w:eastAsia="Calibri" w:cs="Tahoma"/>
          <w:color w:val="000000"/>
          <w:szCs w:val="18"/>
          <w:lang w:val="pt-BR"/>
        </w:rPr>
        <w:t xml:space="preserve">Os clientes do Enterprise Subscription </w:t>
      </w:r>
      <w:r w:rsidRPr="008D38F6">
        <w:rPr>
          <w:rFonts w:cs="Tahoma"/>
          <w:bCs/>
          <w:color w:val="000000"/>
          <w:szCs w:val="18"/>
          <w:lang w:val="pt-BR"/>
        </w:rPr>
        <w:t xml:space="preserve">e Open Value Subscription </w:t>
      </w:r>
      <w:r w:rsidRPr="008D38F6">
        <w:rPr>
          <w:rFonts w:eastAsia="Calibri" w:cs="Tahoma"/>
          <w:color w:val="000000"/>
          <w:szCs w:val="18"/>
          <w:lang w:val="pt-BR"/>
        </w:rPr>
        <w:t>com cobertura expirando em ou depois de</w:t>
      </w:r>
      <w:r w:rsidR="00557CB6" w:rsidRPr="008D38F6">
        <w:rPr>
          <w:rFonts w:eastAsia="Calibri" w:cs="Tahoma"/>
          <w:szCs w:val="18"/>
          <w:lang w:val="pt-BR"/>
        </w:rPr>
        <w:t>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abril de 2015 que optarem por comprar licenças de processador e quaisquer outros clientes que adquirirem licenças perpétuas sob este contrato terão as seguintes opções: </w:t>
      </w:r>
    </w:p>
    <w:p w:rsidR="000C03F3" w:rsidRPr="008D38F6" w:rsidRDefault="000C03F3" w:rsidP="000C03F3">
      <w:pPr>
        <w:tabs>
          <w:tab w:val="left" w:pos="720"/>
        </w:tabs>
        <w:ind w:left="720"/>
        <w:rPr>
          <w:lang w:val="pt-BR"/>
        </w:rPr>
      </w:pPr>
    </w:p>
    <w:p w:rsidR="00A81E83" w:rsidRPr="008D38F6" w:rsidRDefault="00A81E83" w:rsidP="000C03F3">
      <w:pPr>
        <w:numPr>
          <w:ilvl w:val="2"/>
          <w:numId w:val="64"/>
        </w:numPr>
        <w:spacing w:after="60"/>
        <w:ind w:left="1440"/>
        <w:rPr>
          <w:lang w:val="pt-BR"/>
        </w:rPr>
      </w:pPr>
      <w:r w:rsidRPr="008D38F6">
        <w:rPr>
          <w:rFonts w:eastAsia="Calibri" w:cs="Tahoma"/>
          <w:szCs w:val="18"/>
          <w:lang w:val="pt-BR"/>
        </w:rPr>
        <w:t xml:space="preserve">Conforme fornecido no primeiro parágrafo desta nota de produto, as licenças adquiridas antes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que optou por não renovar” acima e</w:t>
      </w:r>
    </w:p>
    <w:p w:rsidR="00A81E83" w:rsidRPr="008D38F6" w:rsidRDefault="00A81E83" w:rsidP="000C03F3">
      <w:pPr>
        <w:numPr>
          <w:ilvl w:val="2"/>
          <w:numId w:val="64"/>
        </w:numPr>
        <w:spacing w:after="60"/>
        <w:ind w:left="1440"/>
        <w:rPr>
          <w:lang w:val="pt-BR"/>
        </w:rPr>
      </w:pPr>
      <w:r w:rsidRPr="008D38F6">
        <w:rPr>
          <w:rFonts w:eastAsia="Calibri" w:cs="Tahoma"/>
          <w:color w:val="000000"/>
          <w:szCs w:val="18"/>
          <w:lang w:val="pt-BR"/>
        </w:rPr>
        <w:t xml:space="preserve">Para as licenças adquiridas depois de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abril de 2015, a licença do processador de clientes terá</w:t>
      </w:r>
      <w:r w:rsidR="00557CB6" w:rsidRPr="008D38F6">
        <w:rPr>
          <w:rFonts w:eastAsia="Calibri" w:cs="Tahoma"/>
          <w:color w:val="000000"/>
          <w:szCs w:val="18"/>
          <w:lang w:val="pt-BR"/>
        </w:rPr>
        <w:t> </w:t>
      </w:r>
      <w:r w:rsidRPr="008D38F6">
        <w:rPr>
          <w:rFonts w:eastAsia="Calibri" w:cs="Tahoma"/>
          <w:color w:val="000000"/>
          <w:szCs w:val="18"/>
          <w:lang w:val="pt-BR"/>
        </w:rPr>
        <w:t>uma equivalência de núcleo de quatro licenças principais do SQL Server 2012 Standard. Para</w:t>
      </w:r>
      <w:r w:rsidR="00557CB6" w:rsidRPr="008D38F6">
        <w:rPr>
          <w:rFonts w:eastAsia="Calibri" w:cs="Tahoma"/>
          <w:color w:val="000000"/>
          <w:szCs w:val="18"/>
          <w:lang w:val="pt-BR"/>
        </w:rPr>
        <w:t> </w:t>
      </w:r>
      <w:r w:rsidRPr="008D38F6">
        <w:rPr>
          <w:rFonts w:eastAsia="Calibri" w:cs="Tahoma"/>
          <w:color w:val="000000"/>
          <w:szCs w:val="18"/>
          <w:lang w:val="pt-BR"/>
        </w:rPr>
        <w:t>o</w:t>
      </w:r>
      <w:r w:rsidR="00557CB6" w:rsidRPr="008D38F6">
        <w:rPr>
          <w:rFonts w:eastAsia="Calibri" w:cs="Tahoma"/>
          <w:color w:val="000000"/>
          <w:szCs w:val="18"/>
          <w:lang w:val="pt-BR"/>
        </w:rPr>
        <w:t> </w:t>
      </w:r>
      <w:r w:rsidRPr="008D38F6">
        <w:rPr>
          <w:rFonts w:eastAsia="Calibri" w:cs="Tahoma"/>
          <w:color w:val="000000"/>
          <w:szCs w:val="18"/>
          <w:lang w:val="pt-BR"/>
        </w:rPr>
        <w:t>uso contínuo do SQL Server 2012 em processadores que exigem mais de quatro licenças principais por processador, o cliente tem que adquirir licenças principais adicionais.</w:t>
      </w:r>
    </w:p>
    <w:p w:rsidR="000C03F3" w:rsidRPr="008D38F6" w:rsidRDefault="000C03F3" w:rsidP="000C03F3">
      <w:pPr>
        <w:rPr>
          <w:lang w:val="pt-BR"/>
        </w:rPr>
      </w:pPr>
    </w:p>
    <w:p w:rsidR="000C03F3" w:rsidRPr="008D0E85" w:rsidRDefault="00A81E83" w:rsidP="000C03F3">
      <w:pPr>
        <w:pStyle w:val="ListParagraph"/>
        <w:tabs>
          <w:tab w:val="left" w:pos="720"/>
        </w:tabs>
        <w:spacing w:after="60"/>
        <w:contextualSpacing w:val="0"/>
        <w:rPr>
          <w:rFonts w:ascii="Tahoma" w:hAnsi="Tahoma" w:cs="Tahoma"/>
          <w:sz w:val="18"/>
          <w:szCs w:val="18"/>
        </w:rPr>
      </w:pPr>
      <w:r w:rsidRPr="008D0E85">
        <w:rPr>
          <w:rFonts w:ascii="Tahoma" w:hAnsi="Tahoma" w:cs="Tahoma"/>
          <w:b/>
          <w:color w:val="000000"/>
          <w:sz w:val="18"/>
          <w:szCs w:val="18"/>
        </w:rPr>
        <w:t>Para os clientes localizados na República Popular da</w:t>
      </w:r>
      <w:r w:rsidRPr="008D0E85">
        <w:rPr>
          <w:rFonts w:ascii="Tahoma" w:hAnsi="Tahoma" w:cs="Tahoma"/>
          <w:color w:val="000000"/>
          <w:sz w:val="18"/>
          <w:szCs w:val="18"/>
        </w:rPr>
        <w:t xml:space="preserve"> </w:t>
      </w:r>
      <w:r w:rsidRPr="008D0E85">
        <w:rPr>
          <w:rFonts w:ascii="Tahoma" w:hAnsi="Tahoma" w:cs="Tahoma"/>
          <w:b/>
          <w:color w:val="000000"/>
          <w:sz w:val="18"/>
          <w:szCs w:val="18"/>
        </w:rPr>
        <w:t>China e para os que estão adquirindo licenças de processador e Software Assurance para SQL Server 2008 R2</w:t>
      </w:r>
    </w:p>
    <w:p w:rsidR="00A81E83" w:rsidRPr="008D0E85" w:rsidRDefault="00A81E83" w:rsidP="000C03F3">
      <w:pPr>
        <w:pStyle w:val="ListParagraph"/>
        <w:tabs>
          <w:tab w:val="left" w:pos="720"/>
        </w:tabs>
        <w:contextualSpacing w:val="0"/>
        <w:rPr>
          <w:rFonts w:ascii="Tahoma" w:hAnsi="Tahoma" w:cs="Tahoma"/>
          <w:sz w:val="18"/>
          <w:szCs w:val="18"/>
        </w:rPr>
      </w:pPr>
      <w:r w:rsidRPr="008D0E85">
        <w:rPr>
          <w:rFonts w:ascii="Tahoma" w:hAnsi="Tahoma" w:cs="Tahoma"/>
          <w:color w:val="000000"/>
          <w:sz w:val="18"/>
          <w:szCs w:val="18"/>
        </w:rPr>
        <w:t xml:space="preserve">As referências a </w:t>
      </w:r>
      <w:r w:rsidR="00EB0F1B" w:rsidRPr="008D0E85">
        <w:rPr>
          <w:rFonts w:ascii="Tahoma" w:hAnsi="Tahoma" w:cs="Tahoma"/>
          <w:color w:val="000000"/>
          <w:sz w:val="18"/>
          <w:szCs w:val="18"/>
        </w:rPr>
        <w:t>1</w:t>
      </w:r>
      <w:r w:rsidR="00EB0F1B" w:rsidRPr="008D0E85">
        <w:rPr>
          <w:rFonts w:ascii="Tahoma" w:hAnsi="Tahoma" w:cs="Tahoma"/>
          <w:color w:val="000000"/>
          <w:sz w:val="18"/>
          <w:szCs w:val="18"/>
          <w:vertAlign w:val="superscript"/>
        </w:rPr>
        <w:t>º</w:t>
      </w:r>
      <w:r w:rsidRPr="008D0E85">
        <w:rPr>
          <w:rFonts w:ascii="Tahoma" w:hAnsi="Tahoma" w:cs="Tahoma"/>
          <w:color w:val="000000"/>
          <w:sz w:val="18"/>
          <w:szCs w:val="18"/>
        </w:rPr>
        <w:t xml:space="preserve"> de abril de 2012 e </w:t>
      </w:r>
      <w:r w:rsidR="00EB0F1B" w:rsidRPr="008D0E85">
        <w:rPr>
          <w:rFonts w:ascii="Tahoma" w:hAnsi="Tahoma" w:cs="Tahoma"/>
          <w:color w:val="000000"/>
          <w:sz w:val="18"/>
          <w:szCs w:val="18"/>
        </w:rPr>
        <w:t>1</w:t>
      </w:r>
      <w:r w:rsidR="00EB0F1B" w:rsidRPr="008D0E85">
        <w:rPr>
          <w:rFonts w:ascii="Tahoma" w:hAnsi="Tahoma" w:cs="Tahoma"/>
          <w:color w:val="000000"/>
          <w:sz w:val="18"/>
          <w:szCs w:val="18"/>
          <w:vertAlign w:val="superscript"/>
        </w:rPr>
        <w:t>º</w:t>
      </w:r>
      <w:r w:rsidRPr="008D0E85">
        <w:rPr>
          <w:rFonts w:ascii="Tahoma" w:hAnsi="Tahoma" w:cs="Tahoma"/>
          <w:color w:val="000000"/>
          <w:sz w:val="18"/>
          <w:szCs w:val="18"/>
        </w:rPr>
        <w:t xml:space="preserve"> de abril de 2015 nesta nota da lista de produtos não são aplicáveis. As datas aplicáveis para esses clientes são </w:t>
      </w:r>
      <w:r w:rsidR="00EB0F1B" w:rsidRPr="008D0E85">
        <w:rPr>
          <w:rFonts w:ascii="Tahoma" w:hAnsi="Tahoma" w:cs="Tahoma"/>
          <w:color w:val="000000"/>
          <w:sz w:val="18"/>
          <w:szCs w:val="18"/>
        </w:rPr>
        <w:t>1</w:t>
      </w:r>
      <w:r w:rsidR="00EB0F1B" w:rsidRPr="008D0E85">
        <w:rPr>
          <w:rFonts w:ascii="Tahoma" w:hAnsi="Tahoma" w:cs="Tahoma"/>
          <w:color w:val="000000"/>
          <w:sz w:val="18"/>
          <w:szCs w:val="18"/>
          <w:vertAlign w:val="superscript"/>
        </w:rPr>
        <w:t>º</w:t>
      </w:r>
      <w:r w:rsidRPr="008D0E85">
        <w:rPr>
          <w:rFonts w:ascii="Tahoma" w:hAnsi="Tahoma" w:cs="Tahoma"/>
          <w:color w:val="000000"/>
          <w:sz w:val="18"/>
          <w:szCs w:val="18"/>
        </w:rPr>
        <w:t xml:space="preserve"> de julho de 2012 e </w:t>
      </w:r>
      <w:r w:rsidR="00EB0F1B" w:rsidRPr="008D0E85">
        <w:rPr>
          <w:rFonts w:ascii="Tahoma" w:hAnsi="Tahoma" w:cs="Tahoma"/>
          <w:color w:val="000000"/>
          <w:sz w:val="18"/>
          <w:szCs w:val="18"/>
        </w:rPr>
        <w:t>1</w:t>
      </w:r>
      <w:r w:rsidR="00EB0F1B" w:rsidRPr="008D0E85">
        <w:rPr>
          <w:rFonts w:ascii="Tahoma" w:hAnsi="Tahoma" w:cs="Tahoma"/>
          <w:color w:val="000000"/>
          <w:sz w:val="18"/>
          <w:szCs w:val="18"/>
          <w:vertAlign w:val="superscript"/>
        </w:rPr>
        <w:t>º</w:t>
      </w:r>
      <w:r w:rsidRPr="008D0E85">
        <w:rPr>
          <w:rFonts w:ascii="Tahoma" w:hAnsi="Tahoma" w:cs="Tahoma"/>
          <w:color w:val="000000"/>
          <w:sz w:val="18"/>
          <w:szCs w:val="18"/>
        </w:rPr>
        <w:t xml:space="preserve"> de julho de 2015, respectivamente.</w:t>
      </w:r>
    </w:p>
    <w:p w:rsidR="00A81E83" w:rsidRPr="008D38F6" w:rsidRDefault="00A81E83" w:rsidP="000C03F3">
      <w:pPr>
        <w:tabs>
          <w:tab w:val="left" w:pos="1080"/>
          <w:tab w:val="left" w:pos="1800"/>
        </w:tabs>
        <w:rPr>
          <w:lang w:val="pt-BR"/>
        </w:rPr>
      </w:pPr>
      <w:bookmarkStart w:id="1403" w:name="Srv_87SQLServer2012Developer"/>
    </w:p>
    <w:p w:rsidR="00BE30E6" w:rsidRPr="008D38F6" w:rsidRDefault="00BE30E6" w:rsidP="000C03F3">
      <w:pPr>
        <w:tabs>
          <w:tab w:val="left" w:pos="1080"/>
          <w:tab w:val="left" w:pos="1800"/>
        </w:tabs>
        <w:rPr>
          <w:lang w:val="pt-BR"/>
        </w:rPr>
      </w:pPr>
    </w:p>
    <w:p w:rsidR="00A81E83" w:rsidRPr="00416070" w:rsidRDefault="0099402E" w:rsidP="00EF5637">
      <w:pPr>
        <w:pStyle w:val="Heading3"/>
      </w:pPr>
      <w:bookmarkStart w:id="1404" w:name="_80_78_SQL"/>
      <w:bookmarkStart w:id="1405" w:name="_Toc336338345"/>
      <w:bookmarkStart w:id="1406" w:name="_Toc352234404"/>
      <w:bookmarkEnd w:id="1404"/>
      <w:r w:rsidRPr="00416070">
        <w:rPr>
          <w:rFonts w:ascii="Tahoma" w:hAnsi="Tahoma"/>
          <w:color w:val="F66400"/>
          <w:sz w:val="22"/>
          <w:vertAlign w:val="superscript"/>
        </w:rPr>
        <w:t>78</w:t>
      </w:r>
      <w:r w:rsidRPr="00416070">
        <w:rPr>
          <w:rFonts w:ascii="Tahoma" w:hAnsi="Tahoma"/>
          <w:color w:val="F66400"/>
          <w:sz w:val="22"/>
        </w:rPr>
        <w:t xml:space="preserve"> SQL Server</w:t>
      </w:r>
      <w:r w:rsidR="00510A6E" w:rsidRPr="00416070">
        <w:rPr>
          <w:rFonts w:ascii="Tahoma" w:hAnsi="Tahoma"/>
          <w:color w:val="F66400"/>
          <w:sz w:val="22"/>
          <w:vertAlign w:val="superscript"/>
        </w:rPr>
        <w:t>®</w:t>
      </w:r>
      <w:r w:rsidRPr="00416070">
        <w:rPr>
          <w:rFonts w:ascii="Tahoma" w:hAnsi="Tahoma"/>
          <w:color w:val="F66400"/>
          <w:sz w:val="22"/>
        </w:rPr>
        <w:t xml:space="preserve"> 2012 Developer</w:t>
      </w:r>
      <w:bookmarkEnd w:id="1405"/>
      <w:bookmarkEnd w:id="1406"/>
    </w:p>
    <w:bookmarkEnd w:id="1403"/>
    <w:p w:rsidR="00A81E83" w:rsidRPr="008D38F6" w:rsidRDefault="00A81E83" w:rsidP="00EF5637">
      <w:pPr>
        <w:rPr>
          <w:lang w:val="pt-BR"/>
        </w:rPr>
      </w:pPr>
    </w:p>
    <w:p w:rsidR="000C03F3" w:rsidRPr="008D38F6" w:rsidRDefault="00A81E83" w:rsidP="000C03F3">
      <w:pPr>
        <w:spacing w:after="60"/>
        <w:ind w:left="720"/>
        <w:rPr>
          <w:lang w:val="pt-BR"/>
        </w:rPr>
      </w:pPr>
      <w:r w:rsidRPr="008D38F6">
        <w:rPr>
          <w:b/>
          <w:color w:val="000000"/>
          <w:szCs w:val="18"/>
          <w:lang w:val="pt-BR"/>
        </w:rPr>
        <w:t>Notificação Importante</w:t>
      </w:r>
    </w:p>
    <w:p w:rsidR="00A81E83" w:rsidRPr="008D38F6" w:rsidRDefault="00A81E83" w:rsidP="008D0E85">
      <w:pPr>
        <w:ind w:left="720"/>
        <w:rPr>
          <w:lang w:val="pt-BR"/>
        </w:rPr>
      </w:pPr>
      <w:r w:rsidRPr="008D38F6">
        <w:rPr>
          <w:color w:val="000000"/>
          <w:szCs w:val="18"/>
          <w:lang w:val="pt-BR"/>
        </w:rPr>
        <w:t>Atualizações Automáticas para SQL Server 2008, SQL Server 2005 e SQL Server 2000. Se este software for</w:t>
      </w:r>
      <w:r w:rsidR="008D0E85" w:rsidRPr="008D38F6">
        <w:rPr>
          <w:color w:val="000000"/>
          <w:szCs w:val="18"/>
          <w:lang w:val="pt-BR"/>
        </w:rPr>
        <w:t> </w:t>
      </w:r>
      <w:r w:rsidRPr="008D38F6">
        <w:rPr>
          <w:color w:val="000000"/>
          <w:szCs w:val="18"/>
          <w:lang w:val="pt-BR"/>
        </w:rPr>
        <w:t>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FB5496" w:rsidRPr="008D38F6">
        <w:rPr>
          <w:color w:val="000000"/>
          <w:szCs w:val="18"/>
          <w:lang w:val="pt-BR"/>
        </w:rPr>
        <w:t xml:space="preserve"> </w:t>
      </w:r>
      <w:r w:rsidRPr="008D38F6">
        <w:rPr>
          <w:color w:val="000000"/>
          <w:szCs w:val="18"/>
          <w:lang w:val="pt-BR"/>
        </w:rPr>
        <w:t>Esse recurso não pode ser desativado.</w:t>
      </w:r>
      <w:r w:rsidR="00FB5496" w:rsidRPr="008D38F6">
        <w:rPr>
          <w:color w:val="000000"/>
          <w:szCs w:val="18"/>
          <w:lang w:val="pt-BR"/>
        </w:rPr>
        <w:t xml:space="preserve"> </w:t>
      </w:r>
      <w:r w:rsidRPr="008D38F6">
        <w:rPr>
          <w:color w:val="000000"/>
          <w:szCs w:val="18"/>
          <w:lang w:val="pt-BR"/>
        </w:rPr>
        <w:t>Os arquivos atualizados não podem ser removidos e os arquivos originais podem não ser recuperáveis.</w:t>
      </w:r>
      <w:r w:rsidR="00FB5496" w:rsidRPr="008D38F6">
        <w:rPr>
          <w:color w:val="000000"/>
          <w:szCs w:val="18"/>
          <w:lang w:val="pt-BR"/>
        </w:rPr>
        <w:t xml:space="preserve"> </w:t>
      </w:r>
      <w:r w:rsidRPr="008D38F6">
        <w:rPr>
          <w:color w:val="000000"/>
          <w:szCs w:val="18"/>
          <w:lang w:val="pt-BR"/>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p>
    <w:p w:rsidR="00A81E83" w:rsidRPr="008D38F6" w:rsidRDefault="00A81E83" w:rsidP="00EF5637">
      <w:pPr>
        <w:ind w:left="720"/>
        <w:rPr>
          <w:lang w:val="pt-BR"/>
        </w:rPr>
      </w:pPr>
    </w:p>
    <w:p w:rsidR="00155B9B" w:rsidRPr="008D38F6" w:rsidRDefault="00155B9B" w:rsidP="00EF5637">
      <w:pPr>
        <w:ind w:left="720"/>
        <w:rPr>
          <w:lang w:val="pt-BR"/>
        </w:rPr>
      </w:pPr>
    </w:p>
    <w:p w:rsidR="00A81E83" w:rsidRPr="00416070" w:rsidRDefault="0099402E" w:rsidP="00EF5637">
      <w:pPr>
        <w:pStyle w:val="Heading3"/>
      </w:pPr>
      <w:bookmarkStart w:id="1407" w:name="_81_79_SQL"/>
      <w:bookmarkStart w:id="1408" w:name="_Toc336338346"/>
      <w:bookmarkStart w:id="1409" w:name="_Toc352234405"/>
      <w:bookmarkStart w:id="1410" w:name="Srv_88SQLServer2012Enterprise"/>
      <w:bookmarkEnd w:id="1407"/>
      <w:r w:rsidRPr="00416070">
        <w:rPr>
          <w:rFonts w:ascii="Tahoma" w:hAnsi="Tahoma"/>
          <w:color w:val="F66400"/>
          <w:sz w:val="22"/>
          <w:vertAlign w:val="superscript"/>
        </w:rPr>
        <w:t>79</w:t>
      </w:r>
      <w:r w:rsidRPr="00416070">
        <w:rPr>
          <w:rFonts w:ascii="Tahoma" w:hAnsi="Tahoma"/>
          <w:color w:val="F66400"/>
          <w:sz w:val="22"/>
        </w:rPr>
        <w:t xml:space="preserve"> SQL Server</w:t>
      </w:r>
      <w:r w:rsidR="00510A6E" w:rsidRPr="00416070">
        <w:rPr>
          <w:rFonts w:ascii="Tahoma" w:hAnsi="Tahoma"/>
          <w:color w:val="F66400"/>
          <w:sz w:val="22"/>
          <w:vertAlign w:val="superscript"/>
        </w:rPr>
        <w:t>®</w:t>
      </w:r>
      <w:r w:rsidRPr="00416070">
        <w:rPr>
          <w:rFonts w:ascii="Tahoma" w:hAnsi="Tahoma"/>
          <w:color w:val="F66400"/>
          <w:sz w:val="22"/>
        </w:rPr>
        <w:t xml:space="preserve"> 2012 Enterprise</w:t>
      </w:r>
      <w:bookmarkEnd w:id="1408"/>
      <w:bookmarkEnd w:id="1409"/>
    </w:p>
    <w:bookmarkEnd w:id="1410"/>
    <w:p w:rsidR="00A81E83" w:rsidRPr="008D38F6" w:rsidRDefault="00A81E83" w:rsidP="00C321B6">
      <w:pPr>
        <w:rPr>
          <w:lang w:val="pt-BR"/>
        </w:rPr>
      </w:pPr>
    </w:p>
    <w:p w:rsidR="00A81E83" w:rsidRPr="008D38F6" w:rsidRDefault="00A81E83" w:rsidP="00C321B6">
      <w:pPr>
        <w:ind w:left="720"/>
        <w:rPr>
          <w:lang w:val="pt-BR"/>
        </w:rPr>
      </w:pPr>
      <w:r w:rsidRPr="008D38F6">
        <w:rPr>
          <w:rFonts w:eastAsia="Calibri" w:cs="Tahoma"/>
          <w:color w:val="000000"/>
          <w:szCs w:val="18"/>
          <w:lang w:val="pt-BR"/>
        </w:rPr>
        <w:t>O SQL Server 2012 Enterprise é a próxima versão do SQL Server Enterprise, e a CAL do SQL Server 2012 é</w:t>
      </w:r>
      <w:r w:rsidR="00557CB6" w:rsidRPr="008D38F6">
        <w:rPr>
          <w:rFonts w:eastAsia="Calibri" w:cs="Tahoma"/>
          <w:color w:val="000000"/>
          <w:szCs w:val="18"/>
          <w:lang w:val="pt-BR"/>
        </w:rPr>
        <w:t> </w:t>
      </w:r>
      <w:r w:rsidRPr="008D38F6">
        <w:rPr>
          <w:rFonts w:eastAsia="Calibri" w:cs="Tahoma"/>
          <w:color w:val="000000"/>
          <w:szCs w:val="18"/>
          <w:lang w:val="pt-BR"/>
        </w:rPr>
        <w:t>a próxima versão da CAL do SQL Server.</w:t>
      </w:r>
    </w:p>
    <w:p w:rsidR="00615CB9" w:rsidRPr="008D38F6" w:rsidRDefault="00615CB9" w:rsidP="00C321B6">
      <w:pPr>
        <w:ind w:left="720"/>
        <w:rPr>
          <w:lang w:val="pt-BR"/>
        </w:rPr>
      </w:pPr>
    </w:p>
    <w:p w:rsidR="00C321B6" w:rsidRPr="008D38F6" w:rsidRDefault="00A81E83" w:rsidP="00C321B6">
      <w:pPr>
        <w:spacing w:after="60"/>
        <w:ind w:left="720"/>
        <w:rPr>
          <w:lang w:val="pt-BR"/>
        </w:rPr>
      </w:pPr>
      <w:r w:rsidRPr="008D38F6">
        <w:rPr>
          <w:rFonts w:eastAsia="Calibri" w:cs="Tahoma"/>
          <w:b/>
          <w:color w:val="000000"/>
          <w:szCs w:val="18"/>
          <w:lang w:val="pt-BR"/>
        </w:rPr>
        <w:t>Clientes de CAL/SQL Server Enterprise Server – Opção de Renovação de Software Assurance Especial</w:t>
      </w:r>
    </w:p>
    <w:p w:rsidR="00A81E83" w:rsidRPr="008D38F6" w:rsidRDefault="00A81E83" w:rsidP="00C321B6">
      <w:pPr>
        <w:ind w:left="720"/>
        <w:rPr>
          <w:lang w:val="pt-BR"/>
        </w:rPr>
      </w:pPr>
      <w:r w:rsidRPr="008D38F6">
        <w:rPr>
          <w:rFonts w:eastAsia="Calibri" w:cs="Tahoma"/>
          <w:color w:val="000000"/>
          <w:szCs w:val="18"/>
          <w:lang w:val="pt-BR"/>
        </w:rPr>
        <w:t xml:space="preserve">Os clientes com Software Assurance ativo para licenças do SQL Server Enterprise Server/CAL a partir de </w:t>
      </w:r>
      <w:r w:rsidR="00EB0F1B" w:rsidRPr="008D38F6">
        <w:rPr>
          <w:rFonts w:eastAsia="Calibri" w:cs="Tahoma"/>
          <w:color w:val="000000"/>
          <w:szCs w:val="18"/>
          <w:lang w:val="pt-BR"/>
        </w:rPr>
        <w:b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de abril de 2012 podem, opcionalmente, renovar sua cobertura para Enterprise, adquirir Software Assurance para licenças de número igual para SQL Server 2012 Business Intelligence sem adquirir as licenças básicas.</w:t>
      </w:r>
      <w:r w:rsidR="00FB5496" w:rsidRPr="008D38F6">
        <w:rPr>
          <w:rFonts w:eastAsia="Calibri" w:cs="Tahoma"/>
          <w:color w:val="000000"/>
          <w:szCs w:val="18"/>
          <w:lang w:val="pt-BR"/>
        </w:rPr>
        <w:t xml:space="preserve"> </w:t>
      </w:r>
      <w:r w:rsidRPr="008D38F6">
        <w:rPr>
          <w:rFonts w:eastAsia="Calibri" w:cs="Tahoma"/>
          <w:color w:val="000000"/>
          <w:szCs w:val="18"/>
          <w:lang w:val="pt-BR"/>
        </w:rPr>
        <w:t>Mediante a aquisição do Software Assurance do SQL Server 2012 Business Intelligence sob</w:t>
      </w:r>
      <w:r w:rsidR="00EB0F1B" w:rsidRPr="008D38F6">
        <w:rPr>
          <w:rFonts w:eastAsia="Calibri" w:cs="Tahoma"/>
          <w:color w:val="000000"/>
          <w:szCs w:val="18"/>
          <w:lang w:val="pt-BR"/>
        </w:rPr>
        <w:t> </w:t>
      </w:r>
      <w:r w:rsidRPr="008D38F6">
        <w:rPr>
          <w:rFonts w:eastAsia="Calibri" w:cs="Tahoma"/>
          <w:color w:val="000000"/>
          <w:szCs w:val="18"/>
          <w:lang w:val="pt-BR"/>
        </w:rPr>
        <w:t>esta oferta, os clientes não poderão mais usar o SQL Server Enterprise sob as licenças qualificadas.</w:t>
      </w:r>
      <w:r w:rsidR="00FB5496" w:rsidRPr="008D38F6">
        <w:rPr>
          <w:rFonts w:eastAsia="Calibri" w:cs="Tahoma"/>
          <w:color w:val="000000"/>
          <w:szCs w:val="18"/>
          <w:lang w:val="pt-BR"/>
        </w:rPr>
        <w:t xml:space="preserve"> </w:t>
      </w:r>
      <w:r w:rsidRPr="008D38F6">
        <w:rPr>
          <w:rFonts w:eastAsia="Calibri" w:cs="Tahoma"/>
          <w:color w:val="000000"/>
          <w:szCs w:val="18"/>
          <w:lang w:val="pt-BR"/>
        </w:rPr>
        <w:t>Os</w:t>
      </w:r>
      <w:r w:rsidR="00EB0F1B" w:rsidRPr="008D38F6">
        <w:rPr>
          <w:rFonts w:eastAsia="Calibri" w:cs="Tahoma"/>
          <w:color w:val="000000"/>
          <w:szCs w:val="18"/>
          <w:lang w:val="pt-BR"/>
        </w:rPr>
        <w:t> </w:t>
      </w:r>
      <w:r w:rsidRPr="008D38F6">
        <w:rPr>
          <w:rFonts w:eastAsia="Calibri" w:cs="Tahoma"/>
          <w:color w:val="000000"/>
          <w:szCs w:val="18"/>
          <w:lang w:val="pt-BR"/>
        </w:rPr>
        <w:t>clientes que adquirem Software Assurance para SQL Server Business Intelligence sob esta oferta também não terão a opção de reverter a cobertura do SQL Server Enterprise para suas licenças qualificadas</w:t>
      </w:r>
      <w:r w:rsidR="00EB0F1B" w:rsidRPr="008D38F6">
        <w:rPr>
          <w:rFonts w:eastAsia="Calibri" w:cs="Tahoma"/>
          <w:color w:val="000000"/>
          <w:szCs w:val="18"/>
          <w:lang w:val="pt-BR"/>
        </w:rPr>
        <w:t> </w:t>
      </w:r>
      <w:r w:rsidRPr="008D38F6">
        <w:rPr>
          <w:rFonts w:eastAsia="Calibri" w:cs="Tahoma"/>
          <w:color w:val="000000"/>
          <w:szCs w:val="18"/>
          <w:lang w:val="pt-BR"/>
        </w:rPr>
        <w:t>do SQL Server Enterprise.</w:t>
      </w:r>
    </w:p>
    <w:p w:rsidR="002512D3" w:rsidRPr="008D38F6" w:rsidRDefault="002512D3">
      <w:pPr>
        <w:rPr>
          <w:lang w:val="pt-BR"/>
        </w:rPr>
      </w:pPr>
    </w:p>
    <w:p w:rsidR="00C321B6" w:rsidRPr="008D38F6" w:rsidRDefault="00A81E83" w:rsidP="00C321B6">
      <w:pPr>
        <w:spacing w:after="60"/>
        <w:ind w:left="720"/>
        <w:rPr>
          <w:lang w:val="pt-BR"/>
        </w:rPr>
      </w:pPr>
      <w:r w:rsidRPr="008D38F6">
        <w:rPr>
          <w:rFonts w:eastAsia="Calibri" w:cs="Tahoma"/>
          <w:b/>
          <w:color w:val="000000"/>
          <w:szCs w:val="18"/>
          <w:lang w:val="pt-BR"/>
        </w:rPr>
        <w:t>Opções de Fornecimento do SQL Server 2012</w:t>
      </w:r>
    </w:p>
    <w:p w:rsidR="00A81E83" w:rsidRPr="008D38F6" w:rsidRDefault="00A81E83" w:rsidP="00C321B6">
      <w:pPr>
        <w:ind w:left="720"/>
        <w:rPr>
          <w:lang w:val="pt-BR"/>
        </w:rPr>
      </w:pPr>
      <w:r w:rsidRPr="008D38F6">
        <w:rPr>
          <w:rFonts w:eastAsia="Calibri" w:cs="Tahoma"/>
          <w:color w:val="000000"/>
          <w:szCs w:val="18"/>
          <w:lang w:val="pt-BR"/>
        </w:rPr>
        <w:t>Os clientes podem usar apenas o software correspondente ao modelo de licenciamento sob o qual suas licenças do SQL Server são adquiridas.</w:t>
      </w:r>
    </w:p>
    <w:p w:rsidR="003E651C" w:rsidRPr="008D38F6" w:rsidRDefault="003E651C" w:rsidP="00C321B6">
      <w:pPr>
        <w:ind w:left="720"/>
        <w:rPr>
          <w:lang w:val="pt-BR"/>
        </w:rPr>
      </w:pPr>
    </w:p>
    <w:p w:rsidR="00C321B6" w:rsidRPr="008D38F6" w:rsidRDefault="00A81E83" w:rsidP="00C321B6">
      <w:pPr>
        <w:spacing w:after="60"/>
        <w:ind w:left="720"/>
        <w:rPr>
          <w:lang w:val="pt-BR"/>
        </w:rPr>
      </w:pPr>
      <w:r w:rsidRPr="008D38F6">
        <w:rPr>
          <w:rFonts w:eastAsia="Calibri" w:cs="Tahoma"/>
          <w:b/>
          <w:color w:val="000000"/>
          <w:szCs w:val="18"/>
          <w:lang w:val="pt-BR"/>
        </w:rPr>
        <w:t>Opção de Compra (“Buy-out”) do SQL Server sob EAP</w:t>
      </w:r>
    </w:p>
    <w:p w:rsidR="00A81E83" w:rsidRPr="008D38F6" w:rsidRDefault="00A81E83" w:rsidP="00C321B6">
      <w:pPr>
        <w:ind w:left="720"/>
        <w:rPr>
          <w:lang w:val="pt-BR"/>
        </w:rPr>
      </w:pPr>
      <w:r w:rsidRPr="008D38F6">
        <w:rPr>
          <w:rFonts w:eastAsia="Calibri" w:cs="Tahoma"/>
          <w:color w:val="000000"/>
          <w:szCs w:val="18"/>
          <w:lang w:val="pt-BR"/>
        </w:rPr>
        <w:t>Os clientes terão a opção de renovar as licenças do Software Assurance para SQL Server Enterprise Server/CAL depois de 30 de junho de 2012,</w:t>
      </w:r>
      <w:r w:rsidR="00FB5496" w:rsidRPr="008D38F6">
        <w:rPr>
          <w:rFonts w:eastAsia="Calibri" w:cs="Tahoma"/>
          <w:color w:val="000000"/>
          <w:szCs w:val="18"/>
          <w:lang w:val="pt-BR"/>
        </w:rPr>
        <w:t xml:space="preserve"> </w:t>
      </w:r>
      <w:r w:rsidRPr="008D38F6">
        <w:rPr>
          <w:rFonts w:eastAsia="Calibri" w:cs="Tahoma"/>
          <w:color w:val="000000"/>
          <w:szCs w:val="18"/>
          <w:lang w:val="pt-BR"/>
        </w:rPr>
        <w:t xml:space="preserve">no entanto, sua única opção de compra (“buy-out”) </w:t>
      </w:r>
      <w:r w:rsidR="00EB0F1B" w:rsidRPr="008D38F6">
        <w:rPr>
          <w:rFonts w:eastAsia="Calibri" w:cs="Tahoma"/>
          <w:color w:val="000000"/>
          <w:szCs w:val="18"/>
          <w:lang w:val="pt-BR"/>
        </w:rPr>
        <w:br/>
      </w:r>
      <w:r w:rsidRPr="008D38F6">
        <w:rPr>
          <w:rFonts w:eastAsia="Calibri" w:cs="Tahoma"/>
          <w:color w:val="000000"/>
          <w:szCs w:val="18"/>
          <w:lang w:val="pt-BR"/>
        </w:rPr>
        <w:t>no final do prazo do registro será para licenças principais.</w:t>
      </w:r>
    </w:p>
    <w:p w:rsidR="00C321B6" w:rsidRPr="008D38F6" w:rsidRDefault="00C321B6" w:rsidP="00C321B6">
      <w:pPr>
        <w:ind w:left="720"/>
        <w:rPr>
          <w:lang w:val="pt-BR"/>
        </w:rPr>
      </w:pPr>
    </w:p>
    <w:p w:rsidR="0020393F" w:rsidRPr="008D38F6" w:rsidRDefault="0020393F" w:rsidP="00C321B6">
      <w:pPr>
        <w:ind w:left="720"/>
        <w:rPr>
          <w:lang w:val="pt-BR"/>
        </w:rPr>
      </w:pPr>
    </w:p>
    <w:p w:rsidR="0020393F" w:rsidRPr="008D38F6" w:rsidRDefault="0020393F" w:rsidP="00C321B6">
      <w:pPr>
        <w:ind w:left="720"/>
        <w:rPr>
          <w:lang w:val="pt-BR"/>
        </w:rPr>
      </w:pPr>
    </w:p>
    <w:p w:rsidR="0020393F" w:rsidRPr="008D38F6" w:rsidRDefault="0020393F" w:rsidP="00C321B6">
      <w:pPr>
        <w:ind w:left="720"/>
        <w:rPr>
          <w:lang w:val="pt-BR"/>
        </w:rPr>
      </w:pPr>
    </w:p>
    <w:p w:rsidR="0020393F" w:rsidRPr="008D38F6" w:rsidRDefault="0020393F" w:rsidP="00C321B6">
      <w:pPr>
        <w:ind w:left="720"/>
        <w:rPr>
          <w:lang w:val="pt-BR"/>
        </w:rPr>
      </w:pPr>
    </w:p>
    <w:p w:rsidR="0020393F" w:rsidRPr="008D38F6" w:rsidRDefault="0020393F" w:rsidP="00C321B6">
      <w:pPr>
        <w:ind w:left="720"/>
        <w:rPr>
          <w:lang w:val="pt-BR"/>
        </w:rPr>
      </w:pPr>
    </w:p>
    <w:p w:rsidR="00C321B6" w:rsidRPr="008D38F6" w:rsidRDefault="00A81E83" w:rsidP="00C321B6">
      <w:pPr>
        <w:spacing w:after="60"/>
        <w:ind w:left="720"/>
        <w:rPr>
          <w:lang w:val="pt-BR"/>
        </w:rPr>
      </w:pPr>
      <w:r w:rsidRPr="008D38F6">
        <w:rPr>
          <w:rFonts w:eastAsia="Calibri" w:cs="Tahoma"/>
          <w:b/>
          <w:color w:val="000000"/>
          <w:szCs w:val="18"/>
          <w:lang w:val="pt-BR"/>
        </w:rPr>
        <w:t>Uso Contínuo do SQL Server 2008 R2 Enterprise</w:t>
      </w:r>
    </w:p>
    <w:p w:rsidR="00A81E83" w:rsidRPr="008D38F6" w:rsidRDefault="00A81E83" w:rsidP="00C321B6">
      <w:pPr>
        <w:ind w:left="720"/>
        <w:rPr>
          <w:spacing w:val="-2"/>
          <w:lang w:val="pt-BR"/>
        </w:rPr>
      </w:pPr>
      <w:r w:rsidRPr="008D38F6">
        <w:rPr>
          <w:rFonts w:eastAsia="Calibri" w:cs="Tahoma"/>
          <w:color w:val="000000"/>
          <w:spacing w:val="-2"/>
          <w:szCs w:val="18"/>
          <w:lang w:val="pt-BR"/>
        </w:rPr>
        <w:t>Os clientes de Software Assurance</w:t>
      </w:r>
      <w:r w:rsidR="00FB5496" w:rsidRPr="008D38F6">
        <w:rPr>
          <w:rFonts w:eastAsia="Calibri" w:cs="Tahoma"/>
          <w:b/>
          <w:bCs/>
          <w:color w:val="000000"/>
          <w:spacing w:val="-2"/>
          <w:szCs w:val="18"/>
          <w:lang w:val="pt-BR"/>
        </w:rPr>
        <w:t xml:space="preserve"> </w:t>
      </w:r>
      <w:r w:rsidRPr="008D38F6">
        <w:rPr>
          <w:rFonts w:eastAsia="Calibri" w:cs="Tahoma"/>
          <w:color w:val="000000"/>
          <w:spacing w:val="-2"/>
          <w:szCs w:val="18"/>
          <w:lang w:val="pt-BR"/>
        </w:rPr>
        <w:t>que continuarem a usar o SQL Server 2008 R2 Enterprise sob as licenças</w:t>
      </w:r>
      <w:r w:rsidR="00EB0F1B" w:rsidRPr="008D38F6">
        <w:rPr>
          <w:rFonts w:eastAsia="Calibri" w:cs="Tahoma"/>
          <w:color w:val="000000"/>
          <w:spacing w:val="-2"/>
          <w:szCs w:val="18"/>
          <w:lang w:val="pt-BR"/>
        </w:rPr>
        <w:t xml:space="preserve"> </w:t>
      </w:r>
      <w:r w:rsidRPr="008D38F6">
        <w:rPr>
          <w:rFonts w:eastAsia="Calibri" w:cs="Tahoma"/>
          <w:color w:val="000000"/>
          <w:spacing w:val="-2"/>
          <w:szCs w:val="18"/>
          <w:lang w:val="pt-BR"/>
        </w:rPr>
        <w:t xml:space="preserve">adquiridas sob este contrato ou registro em vigor em </w:t>
      </w:r>
      <w:r w:rsidR="00EB0F1B" w:rsidRPr="008D38F6">
        <w:rPr>
          <w:rFonts w:eastAsia="Calibri" w:cs="Tahoma"/>
          <w:color w:val="000000"/>
          <w:spacing w:val="-2"/>
          <w:szCs w:val="18"/>
          <w:lang w:val="pt-BR"/>
        </w:rPr>
        <w:t>1</w:t>
      </w:r>
      <w:r w:rsidR="00EB0F1B" w:rsidRPr="008D38F6">
        <w:rPr>
          <w:rFonts w:eastAsia="Calibri" w:cs="Tahoma"/>
          <w:color w:val="000000"/>
          <w:spacing w:val="-2"/>
          <w:szCs w:val="18"/>
          <w:vertAlign w:val="superscript"/>
          <w:lang w:val="pt-BR"/>
        </w:rPr>
        <w:t>º</w:t>
      </w:r>
      <w:r w:rsidRPr="008D38F6">
        <w:rPr>
          <w:rFonts w:eastAsia="Calibri" w:cs="Tahoma"/>
          <w:color w:val="000000"/>
          <w:spacing w:val="-2"/>
          <w:szCs w:val="18"/>
          <w:lang w:val="pt-BR"/>
        </w:rPr>
        <w:t xml:space="preserve"> de abril de 2012 poderão usar o software</w:t>
      </w:r>
      <w:r w:rsidR="00EB0F1B" w:rsidRPr="008D38F6">
        <w:rPr>
          <w:rFonts w:eastAsia="Calibri" w:cs="Tahoma"/>
          <w:color w:val="000000"/>
          <w:spacing w:val="-2"/>
          <w:szCs w:val="18"/>
          <w:lang w:val="pt-BR"/>
        </w:rPr>
        <w:t> </w:t>
      </w:r>
      <w:r w:rsidRPr="008D38F6">
        <w:rPr>
          <w:rFonts w:eastAsia="Calibri" w:cs="Tahoma"/>
          <w:color w:val="000000"/>
          <w:spacing w:val="-2"/>
          <w:szCs w:val="18"/>
          <w:lang w:val="pt-BR"/>
        </w:rPr>
        <w:t>sob os direitos de uso do SQL Server 2008 R2 Enterprise durante o prazo atual e qualquer prazo de renovação.</w:t>
      </w:r>
      <w:r w:rsidR="00FB5496" w:rsidRPr="008D38F6">
        <w:rPr>
          <w:rFonts w:eastAsia="Calibri" w:cs="Tahoma"/>
          <w:color w:val="000000"/>
          <w:spacing w:val="-2"/>
          <w:szCs w:val="18"/>
          <w:lang w:val="pt-BR"/>
        </w:rPr>
        <w:t xml:space="preserve"> </w:t>
      </w:r>
      <w:r w:rsidRPr="008D38F6">
        <w:rPr>
          <w:rFonts w:eastAsia="Calibri" w:cs="Tahoma"/>
          <w:color w:val="000000"/>
          <w:spacing w:val="-2"/>
          <w:szCs w:val="18"/>
          <w:lang w:val="pt-BR"/>
        </w:rPr>
        <w:t>Os clientes que usam o SQL Server 2008 R2 Enterprise sob diretos de fazer downgrade sob as licenças adquiridas depois da renovação de sua cobertura deverão usar o software sob os direitos de uso</w:t>
      </w:r>
      <w:r w:rsidR="00EB0F1B" w:rsidRPr="008D38F6">
        <w:rPr>
          <w:rFonts w:eastAsia="Calibri" w:cs="Tahoma"/>
          <w:color w:val="000000"/>
          <w:spacing w:val="-2"/>
          <w:szCs w:val="18"/>
          <w:lang w:val="pt-BR"/>
        </w:rPr>
        <w:t> </w:t>
      </w:r>
      <w:r w:rsidRPr="008D38F6">
        <w:rPr>
          <w:rFonts w:eastAsia="Calibri" w:cs="Tahoma"/>
          <w:color w:val="000000"/>
          <w:spacing w:val="-2"/>
          <w:szCs w:val="18"/>
          <w:lang w:val="pt-BR"/>
        </w:rPr>
        <w:t>da versão licenciada.</w:t>
      </w:r>
    </w:p>
    <w:p w:rsidR="00C321B6" w:rsidRPr="008D38F6" w:rsidRDefault="00C321B6" w:rsidP="00C321B6">
      <w:pPr>
        <w:ind w:left="720"/>
        <w:rPr>
          <w:lang w:val="pt-BR"/>
        </w:rPr>
      </w:pPr>
    </w:p>
    <w:p w:rsidR="00C321B6" w:rsidRPr="008D38F6" w:rsidRDefault="00A81E83" w:rsidP="00C321B6">
      <w:pPr>
        <w:spacing w:after="60"/>
        <w:ind w:left="720"/>
        <w:rPr>
          <w:lang w:val="pt-BR"/>
        </w:rPr>
      </w:pPr>
      <w:r w:rsidRPr="008D38F6">
        <w:rPr>
          <w:rFonts w:eastAsia="Calibri" w:cs="Tahoma"/>
          <w:b/>
          <w:color w:val="000000"/>
          <w:szCs w:val="18"/>
          <w:lang w:val="pt-BR"/>
        </w:rPr>
        <w:t>Para os clientes localizados na República Popular da China e para os que estão adquirindo licenças e Software Assurance para SQL Server 2008 R2</w:t>
      </w:r>
    </w:p>
    <w:p w:rsidR="00A81E83" w:rsidRPr="008D38F6" w:rsidRDefault="00A81E83" w:rsidP="00C321B6">
      <w:pPr>
        <w:ind w:left="720"/>
        <w:rPr>
          <w:lang w:val="pt-BR"/>
        </w:rPr>
      </w:pPr>
      <w:r w:rsidRPr="008D38F6">
        <w:rPr>
          <w:lang w:val="pt-BR"/>
        </w:rPr>
        <w:t xml:space="preserve">As referências a </w:t>
      </w:r>
      <w:r w:rsidR="00EB0F1B" w:rsidRPr="008D38F6">
        <w:rPr>
          <w:lang w:val="pt-BR"/>
        </w:rPr>
        <w:t>1</w:t>
      </w:r>
      <w:r w:rsidR="00EB0F1B" w:rsidRPr="008D38F6">
        <w:rPr>
          <w:vertAlign w:val="superscript"/>
          <w:lang w:val="pt-BR"/>
        </w:rPr>
        <w:t>º</w:t>
      </w:r>
      <w:r w:rsidRPr="008D38F6">
        <w:rPr>
          <w:lang w:val="pt-BR"/>
        </w:rPr>
        <w:t xml:space="preserve"> de abril de 2012 nesta nota da lista de produtos não são aplicáveis. A data aplicável para</w:t>
      </w:r>
      <w:r w:rsidR="0005355D" w:rsidRPr="008D38F6">
        <w:rPr>
          <w:lang w:val="pt-BR"/>
        </w:rPr>
        <w:t> </w:t>
      </w:r>
      <w:r w:rsidRPr="008D38F6">
        <w:rPr>
          <w:lang w:val="pt-BR"/>
        </w:rPr>
        <w:t xml:space="preserve">esses clientes é </w:t>
      </w:r>
      <w:r w:rsidR="00EB0F1B" w:rsidRPr="008D38F6">
        <w:rPr>
          <w:lang w:val="pt-BR"/>
        </w:rPr>
        <w:t>1</w:t>
      </w:r>
      <w:r w:rsidR="00EB0F1B" w:rsidRPr="008D38F6">
        <w:rPr>
          <w:vertAlign w:val="superscript"/>
          <w:lang w:val="pt-BR"/>
        </w:rPr>
        <w:t>º</w:t>
      </w:r>
      <w:r w:rsidRPr="008D38F6">
        <w:rPr>
          <w:lang w:val="pt-BR"/>
        </w:rPr>
        <w:t xml:space="preserve"> de julho de 2012.</w:t>
      </w:r>
    </w:p>
    <w:p w:rsidR="00A81E83" w:rsidRPr="008D38F6" w:rsidRDefault="00A81E83" w:rsidP="00C321B6">
      <w:pPr>
        <w:rPr>
          <w:lang w:val="pt-BR"/>
        </w:rPr>
      </w:pPr>
    </w:p>
    <w:p w:rsidR="00A81E83" w:rsidRPr="008D38F6" w:rsidRDefault="00A81E83" w:rsidP="00C321B6">
      <w:pPr>
        <w:rPr>
          <w:lang w:val="pt-BR"/>
        </w:rPr>
      </w:pPr>
    </w:p>
    <w:p w:rsidR="00A81E83" w:rsidRPr="00416070" w:rsidRDefault="00A7003F" w:rsidP="00EF5637">
      <w:pPr>
        <w:pStyle w:val="Heading3"/>
      </w:pPr>
      <w:bookmarkStart w:id="1411" w:name="_80_SQL_Server®"/>
      <w:bookmarkStart w:id="1412" w:name="_Toc336338347"/>
      <w:bookmarkStart w:id="1413" w:name="_Toc352234406"/>
      <w:bookmarkStart w:id="1414" w:name="Srv_89SQLServer2012EnterpriseCore"/>
      <w:bookmarkEnd w:id="1411"/>
      <w:r w:rsidRPr="00416070">
        <w:rPr>
          <w:rFonts w:ascii="Tahoma" w:hAnsi="Tahoma"/>
          <w:caps/>
          <w:color w:val="F66400"/>
          <w:sz w:val="22"/>
          <w:vertAlign w:val="superscript"/>
        </w:rPr>
        <w:t>80</w:t>
      </w:r>
      <w:r w:rsidRPr="00615CB9">
        <w:rPr>
          <w:rFonts w:ascii="Tahoma" w:hAnsi="Tahoma"/>
          <w:caps/>
          <w:color w:val="F66400"/>
          <w:sz w:val="22"/>
        </w:rPr>
        <w:t xml:space="preserve"> </w:t>
      </w:r>
      <w:r w:rsidRPr="00416070">
        <w:rPr>
          <w:rFonts w:ascii="Tahoma" w:hAnsi="Tahoma"/>
          <w:color w:val="F66400"/>
          <w:sz w:val="22"/>
        </w:rPr>
        <w:t>SQL Server</w:t>
      </w:r>
      <w:r w:rsidR="00510A6E" w:rsidRPr="00416070">
        <w:rPr>
          <w:rFonts w:ascii="Tahoma" w:hAnsi="Tahoma"/>
          <w:color w:val="F66400"/>
          <w:sz w:val="22"/>
          <w:vertAlign w:val="superscript"/>
        </w:rPr>
        <w:t>®</w:t>
      </w:r>
      <w:r w:rsidRPr="00416070">
        <w:rPr>
          <w:rFonts w:ascii="Tahoma" w:hAnsi="Tahoma"/>
          <w:color w:val="F66400"/>
          <w:sz w:val="22"/>
        </w:rPr>
        <w:t xml:space="preserve"> 2012 Enterprise Core</w:t>
      </w:r>
      <w:bookmarkEnd w:id="1412"/>
      <w:bookmarkEnd w:id="1413"/>
    </w:p>
    <w:bookmarkEnd w:id="1414"/>
    <w:p w:rsidR="00A81E83" w:rsidRPr="00416070" w:rsidRDefault="00A81E83" w:rsidP="00C321B6">
      <w:pPr>
        <w:pStyle w:val="EndnoteText"/>
      </w:pPr>
    </w:p>
    <w:p w:rsidR="00C321B6" w:rsidRPr="008D38F6" w:rsidRDefault="00A81E83" w:rsidP="00C321B6">
      <w:pPr>
        <w:spacing w:after="60"/>
        <w:ind w:left="720"/>
        <w:rPr>
          <w:lang w:val="pt-BR"/>
        </w:rPr>
      </w:pPr>
      <w:r w:rsidRPr="008D38F6">
        <w:rPr>
          <w:rFonts w:eastAsia="Calibri" w:cs="Tahoma"/>
          <w:b/>
          <w:color w:val="000000"/>
          <w:szCs w:val="18"/>
          <w:lang w:val="pt-BR"/>
        </w:rPr>
        <w:t>Extensão dos Direitos de Uso da Virtualização Ilimitada para SQL Server 2008 R2 Enterprise (por processador)</w:t>
      </w:r>
    </w:p>
    <w:p w:rsidR="00A81E83" w:rsidRPr="008D38F6" w:rsidRDefault="00A81E83" w:rsidP="00C321B6">
      <w:pPr>
        <w:ind w:left="720"/>
        <w:rPr>
          <w:lang w:val="pt-BR"/>
        </w:rPr>
      </w:pPr>
      <w:r w:rsidRPr="008D38F6">
        <w:rPr>
          <w:rFonts w:eastAsia="Calibri" w:cs="Tahoma"/>
          <w:color w:val="000000"/>
          <w:szCs w:val="18"/>
          <w:lang w:val="pt-BR"/>
        </w:rPr>
        <w:t>Não obstante qualquer disposição em contrário nos Direitos de Uso do Produto ou nas versões anteriores da</w:t>
      </w:r>
      <w:r w:rsidR="00EB0F1B" w:rsidRPr="008D38F6">
        <w:rPr>
          <w:rFonts w:eastAsia="Calibri" w:cs="Tahoma"/>
          <w:color w:val="000000"/>
          <w:szCs w:val="18"/>
          <w:lang w:val="pt-BR"/>
        </w:rPr>
        <w:t> </w:t>
      </w:r>
      <w:r w:rsidRPr="008D38F6">
        <w:rPr>
          <w:rFonts w:eastAsia="Calibri" w:cs="Tahoma"/>
          <w:color w:val="000000"/>
          <w:szCs w:val="18"/>
          <w:lang w:val="pt-BR"/>
        </w:rPr>
        <w:t>Lista de Produtos, se um cliente tiver licenciado todos os processadores físicos em um servidor licenciado</w:t>
      </w:r>
      <w:r w:rsidR="00EB0F1B" w:rsidRPr="008D38F6">
        <w:rPr>
          <w:rFonts w:eastAsia="Calibri" w:cs="Tahoma"/>
          <w:color w:val="000000"/>
          <w:szCs w:val="18"/>
          <w:lang w:val="pt-BR"/>
        </w:rPr>
        <w:t> </w:t>
      </w:r>
      <w:r w:rsidRPr="008D38F6">
        <w:rPr>
          <w:rFonts w:eastAsia="Calibri" w:cs="Tahoma"/>
          <w:color w:val="000000"/>
          <w:szCs w:val="18"/>
          <w:lang w:val="pt-BR"/>
        </w:rPr>
        <w:t>e mantiver Software Assurance ativo nessas licenças, o cliente poderá continuar a executar o software para servidores em um número ilimitado de ambientes do sistem</w:t>
      </w:r>
      <w:r w:rsidR="008D0E85" w:rsidRPr="008D38F6">
        <w:rPr>
          <w:rFonts w:eastAsia="Calibri" w:cs="Tahoma"/>
          <w:color w:val="000000"/>
          <w:szCs w:val="18"/>
          <w:lang w:val="pt-BR"/>
        </w:rPr>
        <w:t>a operacional naquele servidor.</w:t>
      </w:r>
    </w:p>
    <w:p w:rsidR="00C321B6" w:rsidRPr="008D38F6" w:rsidRDefault="00C321B6" w:rsidP="00C321B6">
      <w:pPr>
        <w:ind w:left="720"/>
        <w:rPr>
          <w:lang w:val="pt-BR"/>
        </w:rPr>
      </w:pPr>
    </w:p>
    <w:p w:rsidR="00C321B6" w:rsidRPr="008D38F6" w:rsidRDefault="00A81E83" w:rsidP="00C321B6">
      <w:pPr>
        <w:spacing w:after="60"/>
        <w:ind w:left="720"/>
        <w:rPr>
          <w:lang w:val="pt-BR"/>
        </w:rPr>
      </w:pPr>
      <w:r w:rsidRPr="008D38F6">
        <w:rPr>
          <w:rFonts w:eastAsia="Calibri" w:cs="Tahoma"/>
          <w:b/>
          <w:color w:val="000000"/>
          <w:szCs w:val="18"/>
          <w:lang w:val="pt-BR"/>
        </w:rPr>
        <w:t>Outorgas de Licença Associadas à Alteração no Modelo de Licenciamento</w:t>
      </w:r>
    </w:p>
    <w:p w:rsidR="00A81E83" w:rsidRPr="008D38F6" w:rsidRDefault="00A81E83" w:rsidP="008D0E85">
      <w:pPr>
        <w:ind w:left="720"/>
        <w:rPr>
          <w:spacing w:val="-2"/>
          <w:lang w:val="pt-BR"/>
        </w:rPr>
      </w:pPr>
      <w:r w:rsidRPr="008D38F6">
        <w:rPr>
          <w:rFonts w:eastAsia="Calibri" w:cs="Tahoma"/>
          <w:color w:val="000000"/>
          <w:spacing w:val="-2"/>
          <w:szCs w:val="18"/>
          <w:lang w:val="pt-BR"/>
        </w:rPr>
        <w:t>O SQL Server 2008 R2 será a última versão do SQL Server licenciada sob o modelo de licenciamento por</w:t>
      </w:r>
      <w:r w:rsidR="008D0E85" w:rsidRPr="008D38F6">
        <w:rPr>
          <w:rFonts w:eastAsia="Calibri" w:cs="Tahoma"/>
          <w:color w:val="000000"/>
          <w:spacing w:val="-2"/>
          <w:szCs w:val="18"/>
          <w:lang w:val="pt-BR"/>
        </w:rPr>
        <w:t> </w:t>
      </w:r>
      <w:r w:rsidRPr="008D38F6">
        <w:rPr>
          <w:rFonts w:eastAsia="Calibri" w:cs="Tahoma"/>
          <w:color w:val="000000"/>
          <w:spacing w:val="-2"/>
          <w:szCs w:val="18"/>
          <w:lang w:val="pt-BR"/>
        </w:rPr>
        <w:t>processador.</w:t>
      </w:r>
      <w:r w:rsidR="00FB5496" w:rsidRPr="008D38F6">
        <w:rPr>
          <w:rFonts w:eastAsia="Calibri" w:cs="Tahoma"/>
          <w:color w:val="000000"/>
          <w:spacing w:val="-2"/>
          <w:szCs w:val="18"/>
          <w:lang w:val="pt-BR"/>
        </w:rPr>
        <w:t xml:space="preserve"> </w:t>
      </w:r>
      <w:r w:rsidRPr="008D38F6">
        <w:rPr>
          <w:rFonts w:eastAsia="Calibri" w:cs="Tahoma"/>
          <w:color w:val="000000"/>
          <w:spacing w:val="-2"/>
          <w:szCs w:val="18"/>
          <w:lang w:val="pt-BR"/>
        </w:rPr>
        <w:t>Como uma exceção, aos clientes de licenciamento por volume com Software Assurance ativo</w:t>
      </w:r>
      <w:r w:rsidR="008D0E85" w:rsidRPr="008D38F6">
        <w:rPr>
          <w:rFonts w:eastAsia="Calibri" w:cs="Tahoma"/>
          <w:color w:val="000000"/>
          <w:spacing w:val="-2"/>
          <w:szCs w:val="18"/>
          <w:lang w:val="pt-BR"/>
        </w:rPr>
        <w:t> </w:t>
      </w:r>
      <w:r w:rsidRPr="008D38F6">
        <w:rPr>
          <w:rFonts w:eastAsia="Calibri" w:cs="Tahoma"/>
          <w:color w:val="000000"/>
          <w:spacing w:val="-2"/>
          <w:szCs w:val="18"/>
          <w:lang w:val="pt-BR"/>
        </w:rPr>
        <w:t xml:space="preserve">para licenças do processador do SQL Server 2008 R2 Enterprise em </w:t>
      </w:r>
      <w:r w:rsidR="00EB0F1B" w:rsidRPr="008D38F6">
        <w:rPr>
          <w:rFonts w:eastAsia="Calibri" w:cs="Tahoma"/>
          <w:color w:val="000000"/>
          <w:spacing w:val="-2"/>
          <w:szCs w:val="18"/>
          <w:lang w:val="pt-BR"/>
        </w:rPr>
        <w:t>1</w:t>
      </w:r>
      <w:r w:rsidR="00EB0F1B" w:rsidRPr="008D38F6">
        <w:rPr>
          <w:rFonts w:eastAsia="Calibri" w:cs="Tahoma"/>
          <w:color w:val="000000"/>
          <w:spacing w:val="-2"/>
          <w:szCs w:val="18"/>
          <w:vertAlign w:val="superscript"/>
          <w:lang w:val="pt-BR"/>
        </w:rPr>
        <w:t>º</w:t>
      </w:r>
      <w:r w:rsidRPr="008D38F6">
        <w:rPr>
          <w:rFonts w:eastAsia="Calibri" w:cs="Tahoma"/>
          <w:color w:val="000000"/>
          <w:spacing w:val="-2"/>
          <w:szCs w:val="18"/>
          <w:lang w:val="pt-BR"/>
        </w:rPr>
        <w:t xml:space="preserve"> de abril de 2012 (“licenças qualificadas”) são concedidas as seguintes opções. As licenças do processador do SQL Server 2008 R2 Enterprise </w:t>
      </w:r>
      <w:r w:rsidRPr="008D38F6">
        <w:rPr>
          <w:rFonts w:cs="Tahoma"/>
          <w:color w:val="000000"/>
          <w:spacing w:val="-2"/>
          <w:szCs w:val="18"/>
          <w:lang w:val="pt-BR"/>
        </w:rPr>
        <w:t xml:space="preserve">adquiridas posteriormente no mesmo prazo de registro, mas antes de </w:t>
      </w:r>
      <w:r w:rsidR="00EB0F1B" w:rsidRPr="008D38F6">
        <w:rPr>
          <w:rFonts w:cs="Tahoma"/>
          <w:color w:val="000000"/>
          <w:spacing w:val="-2"/>
          <w:szCs w:val="18"/>
          <w:lang w:val="pt-BR"/>
        </w:rPr>
        <w:t>1</w:t>
      </w:r>
      <w:r w:rsidR="00EB0F1B" w:rsidRPr="008D38F6">
        <w:rPr>
          <w:rFonts w:cs="Tahoma"/>
          <w:color w:val="000000"/>
          <w:spacing w:val="-2"/>
          <w:szCs w:val="18"/>
          <w:vertAlign w:val="superscript"/>
          <w:lang w:val="pt-BR"/>
        </w:rPr>
        <w:t>º</w:t>
      </w:r>
      <w:r w:rsidRPr="008D38F6">
        <w:rPr>
          <w:rFonts w:cs="Tahoma"/>
          <w:color w:val="000000"/>
          <w:spacing w:val="-2"/>
          <w:szCs w:val="18"/>
          <w:lang w:val="pt-BR"/>
        </w:rPr>
        <w:t xml:space="preserve"> de abril de 2015 como parte de um processo de adequação (“true-up”) programado do cliente Enterprise, Enterprise Subscription, Open Value Subscription ou EES também são “licenças qualificadas” para fins dessas opções.</w:t>
      </w:r>
      <w:r w:rsidR="00FB5496" w:rsidRPr="008D38F6">
        <w:rPr>
          <w:rFonts w:cs="Tahoma"/>
          <w:color w:val="000000"/>
          <w:spacing w:val="-2"/>
          <w:szCs w:val="18"/>
          <w:lang w:val="pt-BR"/>
        </w:rPr>
        <w:t xml:space="preserve"> </w:t>
      </w:r>
      <w:r w:rsidRPr="008D38F6">
        <w:rPr>
          <w:rFonts w:cs="Tahoma"/>
          <w:color w:val="000000"/>
          <w:spacing w:val="-2"/>
          <w:szCs w:val="18"/>
          <w:lang w:val="pt-BR"/>
        </w:rPr>
        <w:t xml:space="preserve">As licenças adquiridas depois de </w:t>
      </w:r>
      <w:r w:rsidR="00EB0F1B" w:rsidRPr="008D38F6">
        <w:rPr>
          <w:rFonts w:cs="Tahoma"/>
          <w:color w:val="000000"/>
          <w:spacing w:val="-2"/>
          <w:szCs w:val="18"/>
          <w:lang w:val="pt-BR"/>
        </w:rPr>
        <w:t>1</w:t>
      </w:r>
      <w:r w:rsidR="00EB0F1B" w:rsidRPr="008D38F6">
        <w:rPr>
          <w:rFonts w:cs="Tahoma"/>
          <w:color w:val="000000"/>
          <w:spacing w:val="-2"/>
          <w:szCs w:val="18"/>
          <w:vertAlign w:val="superscript"/>
          <w:lang w:val="pt-BR"/>
        </w:rPr>
        <w:t>º</w:t>
      </w:r>
      <w:r w:rsidRPr="008D38F6">
        <w:rPr>
          <w:rFonts w:cs="Tahoma"/>
          <w:color w:val="000000"/>
          <w:spacing w:val="-2"/>
          <w:szCs w:val="18"/>
          <w:lang w:val="pt-BR"/>
        </w:rPr>
        <w:t xml:space="preserve"> de abril de 2015 ou sob um prazo de registro subsequente, um contrato separado ou qualquer registro com uma data de início de vigência após </w:t>
      </w:r>
      <w:r w:rsidR="00EB0F1B" w:rsidRPr="008D38F6">
        <w:rPr>
          <w:rFonts w:cs="Tahoma"/>
          <w:color w:val="000000"/>
          <w:spacing w:val="-2"/>
          <w:szCs w:val="18"/>
          <w:lang w:val="pt-BR"/>
        </w:rPr>
        <w:t>1</w:t>
      </w:r>
      <w:r w:rsidR="00EB0F1B" w:rsidRPr="008D38F6">
        <w:rPr>
          <w:rFonts w:cs="Tahoma"/>
          <w:color w:val="000000"/>
          <w:spacing w:val="-2"/>
          <w:szCs w:val="18"/>
          <w:vertAlign w:val="superscript"/>
          <w:lang w:val="pt-BR"/>
        </w:rPr>
        <w:t>º</w:t>
      </w:r>
      <w:r w:rsidRPr="008D38F6">
        <w:rPr>
          <w:rFonts w:cs="Tahoma"/>
          <w:color w:val="000000"/>
          <w:spacing w:val="-2"/>
          <w:szCs w:val="18"/>
          <w:lang w:val="pt-BR"/>
        </w:rPr>
        <w:t xml:space="preserve"> de abril de 2012 não são licenças qualificadas.</w:t>
      </w:r>
    </w:p>
    <w:p w:rsidR="00615CB9" w:rsidRPr="008D38F6" w:rsidRDefault="00615CB9" w:rsidP="00C321B6">
      <w:pPr>
        <w:ind w:left="720"/>
        <w:rPr>
          <w:lang w:val="pt-BR"/>
        </w:rPr>
      </w:pPr>
    </w:p>
    <w:p w:rsidR="00F94F25" w:rsidRPr="008D38F6" w:rsidRDefault="00F94F25" w:rsidP="00F94F25">
      <w:pPr>
        <w:spacing w:after="60"/>
        <w:ind w:left="720"/>
        <w:rPr>
          <w:lang w:val="pt-BR"/>
        </w:rPr>
      </w:pPr>
      <w:r w:rsidRPr="008D38F6">
        <w:rPr>
          <w:rFonts w:eastAsia="Calibri" w:cs="Tahoma"/>
          <w:b/>
          <w:color w:val="000000"/>
          <w:szCs w:val="18"/>
          <w:lang w:val="pt-BR"/>
        </w:rPr>
        <w:t>Prazo Atual</w:t>
      </w:r>
    </w:p>
    <w:p w:rsidR="00A81E83" w:rsidRPr="008D38F6" w:rsidRDefault="00A81E83" w:rsidP="00F94F25">
      <w:pPr>
        <w:ind w:left="720"/>
        <w:rPr>
          <w:lang w:val="pt-BR"/>
        </w:rPr>
      </w:pPr>
      <w:r w:rsidRPr="008D38F6">
        <w:rPr>
          <w:rFonts w:eastAsia="Calibri" w:cs="Tahoma"/>
          <w:color w:val="000000"/>
          <w:szCs w:val="18"/>
          <w:lang w:val="pt-BR"/>
        </w:rPr>
        <w:t xml:space="preserve">Durante o prazo atual da sua cobertura de Software Assurance a partir de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abril de 2012, os clientes (incluindo aqueles sob contratos de assinatura) podem, sob qualquer licença qualificada, atualizar e usar o SQL Server 2012 Enterprise Core em vez do SQL Server 2008 R2 Enterprise sujeito aos direitos de uso do produto de licença do processador do SQL Server 2008 R2 Enterprise (conforme os Direitos de Uso </w:t>
      </w:r>
      <w:r w:rsidR="008D0E85" w:rsidRPr="008D38F6">
        <w:rPr>
          <w:rFonts w:eastAsia="Calibri" w:cs="Tahoma"/>
          <w:color w:val="000000"/>
          <w:szCs w:val="18"/>
          <w:lang w:val="pt-BR"/>
        </w:rPr>
        <w:t>do Produto de janeiro de 2012).</w:t>
      </w:r>
    </w:p>
    <w:p w:rsidR="00F94F25" w:rsidRPr="008D38F6" w:rsidRDefault="00F94F25" w:rsidP="00F94F25">
      <w:pPr>
        <w:ind w:left="720"/>
        <w:rPr>
          <w:lang w:val="pt-BR"/>
        </w:rPr>
      </w:pPr>
    </w:p>
    <w:p w:rsidR="00F94F25" w:rsidRPr="008D38F6" w:rsidRDefault="00A81E83" w:rsidP="00F94F25">
      <w:pPr>
        <w:spacing w:after="60"/>
        <w:ind w:left="720"/>
        <w:rPr>
          <w:lang w:val="pt-BR"/>
        </w:rPr>
      </w:pPr>
      <w:r w:rsidRPr="008D38F6">
        <w:rPr>
          <w:rFonts w:eastAsia="Calibri" w:cs="Tahoma"/>
          <w:b/>
          <w:color w:val="000000"/>
          <w:szCs w:val="18"/>
          <w:lang w:val="pt-BR"/>
        </w:rPr>
        <w:t xml:space="preserve">Primeiro Prazo de Renovação (antes de </w:t>
      </w:r>
      <w:r w:rsidR="00EB0F1B" w:rsidRPr="008D38F6">
        <w:rPr>
          <w:rFonts w:eastAsia="Calibri" w:cs="Tahoma"/>
          <w:b/>
          <w:color w:val="000000"/>
          <w:szCs w:val="18"/>
          <w:lang w:val="pt-BR"/>
        </w:rPr>
        <w:t>1</w:t>
      </w:r>
      <w:r w:rsidR="00EB0F1B" w:rsidRPr="008D38F6">
        <w:rPr>
          <w:rFonts w:eastAsia="Calibri" w:cs="Tahoma"/>
          <w:b/>
          <w:color w:val="000000"/>
          <w:szCs w:val="18"/>
          <w:vertAlign w:val="superscript"/>
          <w:lang w:val="pt-BR"/>
        </w:rPr>
        <w:t>º</w:t>
      </w:r>
      <w:r w:rsidRPr="008D38F6">
        <w:rPr>
          <w:rFonts w:eastAsia="Calibri" w:cs="Tahoma"/>
          <w:b/>
          <w:color w:val="000000"/>
          <w:szCs w:val="18"/>
          <w:lang w:val="pt-BR"/>
        </w:rPr>
        <w:t xml:space="preserve"> de abril de 2015)</w:t>
      </w:r>
    </w:p>
    <w:p w:rsidR="00A81E83" w:rsidRPr="008D38F6" w:rsidRDefault="00A81E83" w:rsidP="00F94F25">
      <w:pPr>
        <w:tabs>
          <w:tab w:val="left" w:pos="1440"/>
        </w:tabs>
        <w:ind w:left="720"/>
        <w:rPr>
          <w:lang w:val="pt-BR"/>
        </w:rPr>
      </w:pPr>
      <w:r w:rsidRPr="008D38F6">
        <w:rPr>
          <w:rFonts w:eastAsia="Calibri" w:cs="Tahoma"/>
          <w:color w:val="000000"/>
          <w:szCs w:val="18"/>
          <w:lang w:val="pt-BR"/>
        </w:rPr>
        <w:t xml:space="preserve">Na sua primeira renovação de Software Assurance em ou depois de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abril de 2012 (mas antes de </w:t>
      </w:r>
      <w:r w:rsidR="00EB0F1B" w:rsidRPr="008D38F6">
        <w:rPr>
          <w:rFonts w:eastAsia="Calibri" w:cs="Tahoma"/>
          <w:color w:val="000000"/>
          <w:szCs w:val="18"/>
          <w:lang w:val="pt-BR"/>
        </w:rPr>
        <w:b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abril de 2015), para cada servidor que um cliente tiver licenciado corretamente sob os direitos de uso</w:t>
      </w:r>
      <w:r w:rsidR="00EB0F1B" w:rsidRPr="008D38F6">
        <w:rPr>
          <w:rFonts w:eastAsia="Calibri" w:cs="Tahoma"/>
          <w:color w:val="000000"/>
          <w:szCs w:val="18"/>
          <w:lang w:val="pt-BR"/>
        </w:rPr>
        <w:t> </w:t>
      </w:r>
      <w:r w:rsidRPr="008D38F6">
        <w:rPr>
          <w:rFonts w:eastAsia="Calibri" w:cs="Tahoma"/>
          <w:color w:val="000000"/>
          <w:szCs w:val="18"/>
          <w:lang w:val="pt-BR"/>
        </w:rPr>
        <w:t>do produto da licença do processador do SQL Server 2008 R2, o cliente poderá adquirir licenças principais do Software Assurance para SQL Server Enterprise sem adquirir as licenças principais subjacentes</w:t>
      </w:r>
      <w:r w:rsidR="00EB0F1B" w:rsidRPr="008D38F6">
        <w:rPr>
          <w:rFonts w:eastAsia="Calibri" w:cs="Tahoma"/>
          <w:color w:val="000000"/>
          <w:szCs w:val="18"/>
          <w:lang w:val="pt-BR"/>
        </w:rPr>
        <w:t> </w:t>
      </w:r>
      <w:r w:rsidRPr="008D38F6">
        <w:rPr>
          <w:rFonts w:eastAsia="Calibri" w:cs="Tahoma"/>
          <w:color w:val="000000"/>
          <w:szCs w:val="18"/>
          <w:lang w:val="pt-BR"/>
        </w:rPr>
        <w:t>para uma série de licenças principais iguais à soma de (a) e (b):</w:t>
      </w:r>
    </w:p>
    <w:p w:rsidR="002512D3" w:rsidRPr="008D38F6" w:rsidRDefault="002512D3">
      <w:pPr>
        <w:rPr>
          <w:lang w:val="pt-BR"/>
        </w:rPr>
      </w:pPr>
    </w:p>
    <w:p w:rsidR="00A81E83" w:rsidRPr="008D38F6" w:rsidRDefault="00A81E83" w:rsidP="00F94F25">
      <w:pPr>
        <w:numPr>
          <w:ilvl w:val="0"/>
          <w:numId w:val="144"/>
        </w:numPr>
        <w:tabs>
          <w:tab w:val="left" w:pos="1800"/>
        </w:tabs>
        <w:spacing w:after="60"/>
        <w:ind w:left="1440"/>
        <w:rPr>
          <w:lang w:val="pt-BR"/>
        </w:rPr>
      </w:pPr>
      <w:r w:rsidRPr="008D38F6">
        <w:rPr>
          <w:rFonts w:eastAsia="Calibri" w:cs="Tahoma"/>
          <w:color w:val="000000"/>
          <w:szCs w:val="18"/>
          <w:lang w:val="pt-BR"/>
        </w:rPr>
        <w:t>um número igual ao menor número de licenças qualificadas atribuído ao servidor ou o número total</w:t>
      </w:r>
      <w:r w:rsidR="00EB0F1B" w:rsidRPr="008D38F6">
        <w:rPr>
          <w:rFonts w:eastAsia="Calibri" w:cs="Tahoma"/>
          <w:color w:val="000000"/>
          <w:szCs w:val="18"/>
          <w:lang w:val="pt-BR"/>
        </w:rPr>
        <w:t> </w:t>
      </w:r>
      <w:r w:rsidRPr="008D38F6">
        <w:rPr>
          <w:rFonts w:eastAsia="Calibri" w:cs="Tahoma"/>
          <w:color w:val="000000"/>
          <w:szCs w:val="18"/>
          <w:lang w:val="pt-BR"/>
        </w:rPr>
        <w:t xml:space="preserve">de processadores físicos no servidor multiplicado pelo maior de: </w:t>
      </w:r>
    </w:p>
    <w:p w:rsidR="00A81E83" w:rsidRPr="00416070" w:rsidRDefault="00A81E83" w:rsidP="00F94F25">
      <w:pPr>
        <w:numPr>
          <w:ilvl w:val="3"/>
          <w:numId w:val="112"/>
        </w:numPr>
        <w:tabs>
          <w:tab w:val="left" w:pos="2160"/>
        </w:tabs>
        <w:spacing w:after="60"/>
        <w:ind w:left="2160"/>
      </w:pPr>
      <w:r w:rsidRPr="00416070">
        <w:rPr>
          <w:rFonts w:eastAsia="Calibri" w:cs="Tahoma"/>
          <w:color w:val="000000"/>
          <w:szCs w:val="18"/>
        </w:rPr>
        <w:t>Quatro OU</w:t>
      </w:r>
    </w:p>
    <w:p w:rsidR="00A81E83" w:rsidRPr="008D38F6" w:rsidRDefault="00A81E83" w:rsidP="00F94F25">
      <w:pPr>
        <w:numPr>
          <w:ilvl w:val="3"/>
          <w:numId w:val="112"/>
        </w:numPr>
        <w:tabs>
          <w:tab w:val="left" w:pos="2160"/>
        </w:tabs>
        <w:spacing w:after="60"/>
        <w:ind w:left="2160"/>
        <w:rPr>
          <w:lang w:val="pt-BR"/>
        </w:rPr>
      </w:pPr>
      <w:r w:rsidRPr="008D38F6">
        <w:rPr>
          <w:rFonts w:eastAsia="Calibri" w:cs="Tahoma"/>
          <w:color w:val="000000"/>
          <w:szCs w:val="18"/>
          <w:lang w:val="pt-BR"/>
        </w:rPr>
        <w:t>o número real de núcleos por processador físico multiplicado pelo fator do núcleo apropriado.</w:t>
      </w:r>
      <w:r w:rsidR="00FB5496" w:rsidRPr="008D38F6">
        <w:rPr>
          <w:rFonts w:eastAsia="Calibri" w:cs="Tahoma"/>
          <w:color w:val="000000"/>
          <w:szCs w:val="18"/>
          <w:lang w:val="pt-BR"/>
        </w:rPr>
        <w:t xml:space="preserve"> </w:t>
      </w:r>
      <w:r w:rsidRPr="008D38F6">
        <w:rPr>
          <w:rFonts w:eastAsia="Calibri" w:cs="Tahoma"/>
          <w:color w:val="000000"/>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w:t>
      </w:r>
      <w:r w:rsidR="00EB0F1B" w:rsidRPr="008D38F6">
        <w:rPr>
          <w:rFonts w:eastAsia="Calibri" w:cs="Tahoma"/>
          <w:color w:val="000000"/>
          <w:szCs w:val="18"/>
          <w:lang w:val="pt-BR"/>
        </w:rPr>
        <w:t> </w:t>
      </w:r>
      <w:r w:rsidRPr="008D38F6">
        <w:rPr>
          <w:rFonts w:eastAsia="Calibri" w:cs="Tahoma"/>
          <w:color w:val="000000"/>
          <w:szCs w:val="18"/>
          <w:lang w:val="pt-BR"/>
        </w:rPr>
        <w:t xml:space="preserve">MAP ou </w:t>
      </w:r>
      <w:r w:rsidR="008D0E85" w:rsidRPr="008D38F6">
        <w:rPr>
          <w:rFonts w:eastAsia="Calibri" w:cs="Tahoma"/>
          <w:color w:val="000000"/>
          <w:szCs w:val="18"/>
          <w:lang w:val="pt-BR"/>
        </w:rPr>
        <w:t>qualquer software equivalente.)</w:t>
      </w:r>
    </w:p>
    <w:p w:rsidR="00A81E83" w:rsidRPr="008D38F6" w:rsidRDefault="00A81E83" w:rsidP="00F94F25">
      <w:pPr>
        <w:numPr>
          <w:ilvl w:val="0"/>
          <w:numId w:val="144"/>
        </w:numPr>
        <w:tabs>
          <w:tab w:val="left" w:pos="1800"/>
        </w:tabs>
        <w:spacing w:after="60"/>
        <w:ind w:left="1440"/>
        <w:rPr>
          <w:lang w:val="pt-BR"/>
        </w:rPr>
      </w:pPr>
      <w:r w:rsidRPr="008D38F6">
        <w:rPr>
          <w:rFonts w:eastAsia="Calibri" w:cs="Tahoma"/>
          <w:color w:val="000000"/>
          <w:szCs w:val="18"/>
          <w:lang w:val="pt-BR"/>
        </w:rPr>
        <w:t>um número igual ao número das licenças qualificadas atribuído ao servidor em excesso do número real de processadores físicos no servidor multiplicado por quatro.</w:t>
      </w:r>
    </w:p>
    <w:p w:rsidR="00F94F25" w:rsidRPr="008D38F6" w:rsidRDefault="00F94F25" w:rsidP="00F94F25">
      <w:pPr>
        <w:tabs>
          <w:tab w:val="left" w:pos="1800"/>
        </w:tabs>
        <w:ind w:left="1080"/>
        <w:rPr>
          <w:lang w:val="pt-BR"/>
        </w:rPr>
      </w:pPr>
    </w:p>
    <w:p w:rsidR="00F94F25" w:rsidRPr="008D38F6" w:rsidRDefault="007A34E3" w:rsidP="00F94F25">
      <w:pPr>
        <w:spacing w:after="60"/>
        <w:ind w:left="720"/>
        <w:rPr>
          <w:lang w:val="pt-BR"/>
        </w:rPr>
      </w:pPr>
      <w:r w:rsidRPr="008D38F6">
        <w:rPr>
          <w:rFonts w:eastAsia="Calibri" w:cs="Tahoma"/>
          <w:b/>
          <w:color w:val="000000"/>
          <w:szCs w:val="18"/>
          <w:lang w:val="pt-BR"/>
        </w:rPr>
        <w:t xml:space="preserve">Primeiro Prazo de Renovação em ou após </w:t>
      </w:r>
      <w:r w:rsidR="00EB0F1B" w:rsidRPr="008D38F6">
        <w:rPr>
          <w:rFonts w:eastAsia="Calibri" w:cs="Tahoma"/>
          <w:b/>
          <w:color w:val="000000"/>
          <w:szCs w:val="18"/>
          <w:lang w:val="pt-BR"/>
        </w:rPr>
        <w:t>1</w:t>
      </w:r>
      <w:r w:rsidR="00EB0F1B" w:rsidRPr="008D38F6">
        <w:rPr>
          <w:rFonts w:eastAsia="Calibri" w:cs="Tahoma"/>
          <w:b/>
          <w:color w:val="000000"/>
          <w:szCs w:val="18"/>
          <w:vertAlign w:val="superscript"/>
          <w:lang w:val="pt-BR"/>
        </w:rPr>
        <w:t>º</w:t>
      </w:r>
      <w:r w:rsidRPr="008D38F6">
        <w:rPr>
          <w:rFonts w:eastAsia="Calibri" w:cs="Tahoma"/>
          <w:b/>
          <w:color w:val="000000"/>
          <w:szCs w:val="18"/>
          <w:lang w:val="pt-BR"/>
        </w:rPr>
        <w:t xml:space="preserve"> de abril de 2015</w:t>
      </w:r>
    </w:p>
    <w:p w:rsidR="00A81E83" w:rsidRPr="008D38F6" w:rsidRDefault="00A81E83" w:rsidP="00F94F25">
      <w:pPr>
        <w:ind w:left="720"/>
        <w:rPr>
          <w:lang w:val="pt-BR"/>
        </w:rPr>
      </w:pPr>
      <w:r w:rsidRPr="008D38F6">
        <w:rPr>
          <w:rFonts w:eastAsia="Calibri" w:cs="Tahoma"/>
          <w:color w:val="000000"/>
          <w:szCs w:val="18"/>
          <w:lang w:val="pt-BR"/>
        </w:rPr>
        <w:t xml:space="preserve">Os clientes que renovaram primeiro a cobertura em ou depois de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de abril de 2015</w:t>
      </w:r>
      <w:r w:rsidRPr="008D38F6">
        <w:rPr>
          <w:rFonts w:eastAsia="Calibri" w:cs="Tahoma"/>
          <w:szCs w:val="18"/>
          <w:lang w:val="pt-BR"/>
        </w:rPr>
        <w:t xml:space="preserve"> poderão, para qualquer servidor no qual eles estejam devidamente licenciados sob os direitos de uso do produto da licença</w:t>
      </w:r>
      <w:r w:rsidR="00EB0F1B" w:rsidRPr="008D38F6">
        <w:rPr>
          <w:rFonts w:eastAsia="Calibri" w:cs="Tahoma"/>
          <w:szCs w:val="18"/>
          <w:lang w:val="pt-BR"/>
        </w:rPr>
        <w:t> </w:t>
      </w:r>
      <w:r w:rsidRPr="008D38F6">
        <w:rPr>
          <w:rFonts w:eastAsia="Calibri" w:cs="Tahoma"/>
          <w:szCs w:val="18"/>
          <w:lang w:val="pt-BR"/>
        </w:rPr>
        <w:t>do processador SQK Server 2008 R2, adquirir o Software Assurance, como pode ser visto a seguir:</w:t>
      </w:r>
    </w:p>
    <w:p w:rsidR="00F94F25" w:rsidRPr="008D38F6" w:rsidRDefault="00F94F25" w:rsidP="00F94F25">
      <w:pPr>
        <w:ind w:left="720"/>
        <w:rPr>
          <w:lang w:val="pt-BR"/>
        </w:rPr>
      </w:pPr>
    </w:p>
    <w:p w:rsidR="00A81E83" w:rsidRPr="008D38F6" w:rsidRDefault="00A81E83" w:rsidP="00F94F25">
      <w:pPr>
        <w:numPr>
          <w:ilvl w:val="3"/>
          <w:numId w:val="113"/>
        </w:numPr>
        <w:spacing w:after="60"/>
        <w:ind w:left="1440" w:hanging="360"/>
        <w:rPr>
          <w:lang w:val="pt-BR"/>
        </w:rPr>
      </w:pPr>
      <w:r w:rsidRPr="008D38F6">
        <w:rPr>
          <w:rFonts w:eastAsia="Calibri" w:cs="Tahoma"/>
          <w:szCs w:val="18"/>
          <w:lang w:val="pt-BR"/>
        </w:rPr>
        <w:t>Conforme fornecido no primeiro parágrafo desta nota do produto, as licenças adquiridas antes de</w:t>
      </w:r>
      <w:r w:rsidR="00EB0F1B" w:rsidRPr="008D38F6">
        <w:rPr>
          <w:rFonts w:eastAsia="Calibri" w:cs="Tahoma"/>
          <w:szCs w:val="18"/>
          <w:lang w:val="pt-BR"/>
        </w:rPr>
        <w:t> 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são licenças qualificadas, e os clientes poderão renovar o SA de acordo com</w:t>
      </w:r>
      <w:r w:rsidR="00EB0F1B" w:rsidRPr="008D38F6">
        <w:rPr>
          <w:rFonts w:eastAsia="Calibri" w:cs="Tahoma"/>
          <w:szCs w:val="18"/>
          <w:lang w:val="pt-BR"/>
        </w:rPr>
        <w:t> </w:t>
      </w:r>
      <w:r w:rsidRPr="008D38F6">
        <w:rPr>
          <w:rFonts w:eastAsia="Calibri" w:cs="Tahoma"/>
          <w:szCs w:val="18"/>
          <w:lang w:val="pt-BR"/>
        </w:rPr>
        <w:t xml:space="preserve">os termos na seção “Primeiro Prazo de Renovação (Antes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w:t>
      </w:r>
      <w:r w:rsidR="00910E93" w:rsidRPr="008D38F6">
        <w:rPr>
          <w:rFonts w:eastAsia="Calibri" w:cs="Tahoma"/>
          <w:szCs w:val="18"/>
          <w:lang w:val="pt-BR"/>
        </w:rPr>
        <w:t>”</w:t>
      </w:r>
      <w:r w:rsidRPr="008D38F6">
        <w:rPr>
          <w:rFonts w:eastAsia="Calibri" w:cs="Tahoma"/>
          <w:szCs w:val="18"/>
          <w:lang w:val="pt-BR"/>
        </w:rPr>
        <w:t xml:space="preserve"> acima e</w:t>
      </w:r>
    </w:p>
    <w:p w:rsidR="00A81E83" w:rsidRPr="008D38F6" w:rsidRDefault="00A81E83" w:rsidP="00F94F25">
      <w:pPr>
        <w:numPr>
          <w:ilvl w:val="3"/>
          <w:numId w:val="113"/>
        </w:numPr>
        <w:spacing w:after="60"/>
        <w:ind w:left="1440" w:hanging="360"/>
        <w:rPr>
          <w:lang w:val="pt-BR"/>
        </w:rPr>
      </w:pPr>
      <w:r w:rsidRPr="008D38F6">
        <w:rPr>
          <w:rFonts w:eastAsia="Calibri" w:cs="Tahoma"/>
          <w:szCs w:val="18"/>
          <w:lang w:val="pt-BR"/>
        </w:rPr>
        <w:t xml:space="preserve">Para as licenças adquiridas depois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w:t>
      </w:r>
      <w:r w:rsidR="00EB0F1B" w:rsidRPr="008D38F6">
        <w:rPr>
          <w:rFonts w:eastAsia="Calibri" w:cs="Tahoma"/>
          <w:szCs w:val="18"/>
          <w:lang w:val="pt-BR"/>
        </w:rPr>
        <w:t> </w:t>
      </w:r>
      <w:r w:rsidRPr="008D38F6">
        <w:rPr>
          <w:rFonts w:eastAsia="Calibri" w:cs="Tahoma"/>
          <w:szCs w:val="18"/>
          <w:lang w:val="pt-BR"/>
        </w:rPr>
        <w:t>cliente tem que adquirir licenças principais adicionais.</w:t>
      </w:r>
    </w:p>
    <w:p w:rsidR="00A81E83" w:rsidRPr="008D38F6" w:rsidRDefault="00A81E83" w:rsidP="00F94F25">
      <w:pPr>
        <w:numPr>
          <w:ilvl w:val="0"/>
          <w:numId w:val="64"/>
        </w:numPr>
        <w:spacing w:after="60"/>
        <w:ind w:left="1440"/>
        <w:rPr>
          <w:lang w:val="pt-BR"/>
        </w:rPr>
      </w:pPr>
      <w:r w:rsidRPr="008D38F6">
        <w:rPr>
          <w:rFonts w:eastAsia="Calibri" w:cs="Tahoma"/>
          <w:color w:val="000000"/>
          <w:szCs w:val="18"/>
          <w:lang w:val="pt-BR"/>
        </w:rPr>
        <w:t xml:space="preserve">As licenças do processador dos clientes não são mais válidas na aquisição do Software Assurance para as licenças principais sob esta oferta. </w:t>
      </w:r>
      <w:r w:rsidRPr="008D38F6">
        <w:rPr>
          <w:rFonts w:eastAsia="Calibri" w:cs="Tahoma"/>
          <w:szCs w:val="18"/>
          <w:lang w:val="pt-BR"/>
        </w:rPr>
        <w:t>A opção de adquirir o Software Assurance para licenças principais do SQL Server não é aplicável à renovação de cobertura sob os programas de assinatura.</w:t>
      </w:r>
      <w:r w:rsidR="00FB5496" w:rsidRPr="008D38F6">
        <w:rPr>
          <w:rFonts w:eastAsia="Calibri" w:cs="Tahoma"/>
          <w:szCs w:val="18"/>
          <w:lang w:val="pt-BR"/>
        </w:rPr>
        <w:t xml:space="preserve"> </w:t>
      </w:r>
    </w:p>
    <w:p w:rsidR="00F94F25" w:rsidRPr="008D38F6" w:rsidRDefault="00F94F25" w:rsidP="00F94F25">
      <w:pPr>
        <w:ind w:left="1440"/>
        <w:rPr>
          <w:lang w:val="pt-BR"/>
        </w:rPr>
      </w:pPr>
    </w:p>
    <w:p w:rsidR="00204D6D" w:rsidRPr="008D38F6" w:rsidRDefault="00A81E83" w:rsidP="00204D6D">
      <w:pPr>
        <w:tabs>
          <w:tab w:val="left" w:pos="1440"/>
        </w:tabs>
        <w:spacing w:after="60"/>
        <w:ind w:left="720"/>
        <w:rPr>
          <w:lang w:val="pt-BR"/>
        </w:rPr>
      </w:pPr>
      <w:r w:rsidRPr="008D38F6">
        <w:rPr>
          <w:rFonts w:eastAsia="Calibri" w:cs="Tahoma"/>
          <w:b/>
          <w:color w:val="000000"/>
          <w:szCs w:val="18"/>
          <w:lang w:val="pt-BR"/>
        </w:rPr>
        <w:t xml:space="preserve">Para os clientes com cobertura de Software Assurance que expiram antes de </w:t>
      </w:r>
      <w:r w:rsidR="00EB0F1B" w:rsidRPr="008D38F6">
        <w:rPr>
          <w:rFonts w:eastAsia="Calibri" w:cs="Tahoma"/>
          <w:b/>
          <w:color w:val="000000"/>
          <w:szCs w:val="18"/>
          <w:lang w:val="pt-BR"/>
        </w:rPr>
        <w:t>1</w:t>
      </w:r>
      <w:r w:rsidR="00EB0F1B" w:rsidRPr="008D38F6">
        <w:rPr>
          <w:rFonts w:eastAsia="Calibri" w:cs="Tahoma"/>
          <w:b/>
          <w:color w:val="000000"/>
          <w:szCs w:val="18"/>
          <w:vertAlign w:val="superscript"/>
          <w:lang w:val="pt-BR"/>
        </w:rPr>
        <w:t>º</w:t>
      </w:r>
      <w:r w:rsidRPr="008D38F6">
        <w:rPr>
          <w:rFonts w:eastAsia="Calibri" w:cs="Tahoma"/>
          <w:b/>
          <w:color w:val="000000"/>
          <w:szCs w:val="18"/>
          <w:lang w:val="pt-BR"/>
        </w:rPr>
        <w:t xml:space="preserve"> de abril de 2015 que optaram pela não renovação</w:t>
      </w:r>
    </w:p>
    <w:p w:rsidR="00A81E83" w:rsidRPr="008D38F6" w:rsidRDefault="00A81E83" w:rsidP="00204D6D">
      <w:pPr>
        <w:tabs>
          <w:tab w:val="left" w:pos="1440"/>
        </w:tabs>
        <w:ind w:left="720"/>
        <w:rPr>
          <w:lang w:val="pt-BR"/>
        </w:rPr>
      </w:pPr>
      <w:r w:rsidRPr="008D38F6">
        <w:rPr>
          <w:rFonts w:eastAsia="Calibri" w:cs="Tahoma"/>
          <w:color w:val="000000"/>
          <w:szCs w:val="18"/>
          <w:lang w:val="pt-BR"/>
        </w:rPr>
        <w:t xml:space="preserve">Os clientes do Enterprise Subscription </w:t>
      </w:r>
      <w:r w:rsidRPr="008D38F6">
        <w:rPr>
          <w:rFonts w:cs="Tahoma"/>
          <w:bCs/>
          <w:color w:val="000000"/>
          <w:szCs w:val="18"/>
          <w:lang w:val="pt-BR"/>
        </w:rPr>
        <w:t xml:space="preserve">e Open Value Subscription </w:t>
      </w:r>
      <w:r w:rsidRPr="008D38F6">
        <w:rPr>
          <w:rFonts w:eastAsia="Calibri" w:cs="Tahoma"/>
          <w:color w:val="000000"/>
          <w:szCs w:val="18"/>
          <w:lang w:val="pt-BR"/>
        </w:rPr>
        <w:t xml:space="preserve">com cobertura expirando antes de </w:t>
      </w:r>
      <w:r w:rsidR="00EB0F1B" w:rsidRPr="008D38F6">
        <w:rPr>
          <w:rFonts w:eastAsia="Calibri" w:cs="Tahoma"/>
          <w:color w:val="000000"/>
          <w:szCs w:val="18"/>
          <w:lang w:val="pt-BR"/>
        </w:rPr>
        <w:b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abril de 2015 que optarem por comprar licenças de processador e quaisquer outros clientes que adquirirem licenças perpétuas sob este contrato e optarem por não renovar o Software Assurance poderão</w:t>
      </w:r>
      <w:r w:rsidR="00EB0F1B" w:rsidRPr="008D38F6">
        <w:rPr>
          <w:rFonts w:eastAsia="Calibri" w:cs="Tahoma"/>
          <w:color w:val="000000"/>
          <w:szCs w:val="18"/>
          <w:lang w:val="pt-BR"/>
        </w:rPr>
        <w:t> </w:t>
      </w:r>
      <w:r w:rsidRPr="008D38F6">
        <w:rPr>
          <w:rFonts w:eastAsia="Calibri" w:cs="Tahoma"/>
          <w:color w:val="000000"/>
          <w:szCs w:val="18"/>
          <w:lang w:val="pt-BR"/>
        </w:rPr>
        <w:t>executar o SQL Server 2008 R2 ou SQL Server 2012 sob essas licenças da seguinte forma:</w:t>
      </w:r>
    </w:p>
    <w:p w:rsidR="00204D6D" w:rsidRPr="008D38F6" w:rsidRDefault="00204D6D" w:rsidP="00204D6D">
      <w:pPr>
        <w:tabs>
          <w:tab w:val="left" w:pos="1440"/>
        </w:tabs>
        <w:ind w:left="720"/>
        <w:rPr>
          <w:lang w:val="pt-BR"/>
        </w:rPr>
      </w:pPr>
    </w:p>
    <w:p w:rsidR="00A81E83" w:rsidRPr="008D38F6" w:rsidRDefault="00A81E83" w:rsidP="00204D6D">
      <w:pPr>
        <w:numPr>
          <w:ilvl w:val="0"/>
          <w:numId w:val="67"/>
        </w:numPr>
        <w:spacing w:after="60"/>
        <w:ind w:left="1440"/>
        <w:rPr>
          <w:lang w:val="pt-BR"/>
        </w:rPr>
      </w:pPr>
      <w:r w:rsidRPr="008D38F6">
        <w:rPr>
          <w:rFonts w:eastAsia="Calibri" w:cs="Tahoma"/>
          <w:b/>
          <w:color w:val="000000"/>
          <w:szCs w:val="18"/>
          <w:lang w:val="pt-BR"/>
        </w:rPr>
        <w:t>SQL Server 2008 R2 Enterprise:</w:t>
      </w:r>
      <w:r w:rsidRPr="008D38F6">
        <w:rPr>
          <w:rFonts w:eastAsia="Calibri" w:cs="Tahoma"/>
          <w:color w:val="000000"/>
          <w:szCs w:val="18"/>
          <w:lang w:val="pt-BR"/>
        </w:rPr>
        <w:t xml:space="preserve"> O uso contínuo desta versão do software está sujeito aos</w:t>
      </w:r>
      <w:r w:rsidR="00EB0F1B" w:rsidRPr="008D38F6">
        <w:rPr>
          <w:rFonts w:eastAsia="Calibri" w:cs="Tahoma"/>
          <w:color w:val="000000"/>
          <w:szCs w:val="18"/>
          <w:lang w:val="pt-BR"/>
        </w:rPr>
        <w:t> </w:t>
      </w:r>
      <w:r w:rsidRPr="008D38F6">
        <w:rPr>
          <w:rFonts w:eastAsia="Calibri" w:cs="Tahoma"/>
          <w:color w:val="000000"/>
          <w:szCs w:val="18"/>
          <w:lang w:val="pt-BR"/>
        </w:rPr>
        <w:t>direitos de uso do produto de licença do processador do SQL Server 2008 R2 Enterprise; no</w:t>
      </w:r>
      <w:r w:rsidR="00EB0F1B" w:rsidRPr="008D38F6">
        <w:rPr>
          <w:rFonts w:eastAsia="Calibri" w:cs="Tahoma"/>
          <w:color w:val="000000"/>
          <w:szCs w:val="18"/>
          <w:lang w:val="pt-BR"/>
        </w:rPr>
        <w:t> </w:t>
      </w:r>
      <w:r w:rsidRPr="008D38F6">
        <w:rPr>
          <w:rFonts w:eastAsia="Calibri" w:cs="Tahoma"/>
          <w:color w:val="000000"/>
          <w:szCs w:val="18"/>
          <w:lang w:val="pt-BR"/>
        </w:rPr>
        <w:t xml:space="preserve">entanto, os clientes não têm mais os direitos de uso da Virtualização Ilimitada nem de Mobilidade de Licenças </w:t>
      </w:r>
      <w:r w:rsidR="008D0E85" w:rsidRPr="008D38F6">
        <w:rPr>
          <w:rFonts w:eastAsia="Calibri" w:cs="Tahoma"/>
          <w:color w:val="000000"/>
          <w:szCs w:val="18"/>
          <w:lang w:val="pt-BR"/>
        </w:rPr>
        <w:t>por meio de Software Assurance.</w:t>
      </w:r>
    </w:p>
    <w:p w:rsidR="00A81E83" w:rsidRPr="008D38F6" w:rsidRDefault="00A81E83" w:rsidP="00204D6D">
      <w:pPr>
        <w:numPr>
          <w:ilvl w:val="0"/>
          <w:numId w:val="67"/>
        </w:numPr>
        <w:tabs>
          <w:tab w:val="left" w:pos="1800"/>
        </w:tabs>
        <w:spacing w:after="60"/>
        <w:ind w:left="1440"/>
        <w:rPr>
          <w:lang w:val="pt-BR"/>
        </w:rPr>
      </w:pPr>
      <w:r w:rsidRPr="008D38F6">
        <w:rPr>
          <w:rFonts w:eastAsia="Calibri" w:cs="Tahoma"/>
          <w:b/>
          <w:color w:val="000000"/>
          <w:szCs w:val="18"/>
          <w:lang w:val="pt-BR"/>
        </w:rPr>
        <w:t xml:space="preserve">SQL Server 2012 Enterprise Core: </w:t>
      </w:r>
      <w:r w:rsidRPr="008D38F6">
        <w:rPr>
          <w:rFonts w:eastAsia="Calibri" w:cs="Tahoma"/>
          <w:color w:val="000000"/>
          <w:szCs w:val="18"/>
          <w:lang w:val="pt-BR"/>
        </w:rPr>
        <w:t>O uso desta versão do software está sujeito aos direitos de</w:t>
      </w:r>
      <w:r w:rsidR="00EB0F1B" w:rsidRPr="008D38F6">
        <w:rPr>
          <w:rFonts w:eastAsia="Calibri" w:cs="Tahoma"/>
          <w:color w:val="000000"/>
          <w:szCs w:val="18"/>
          <w:lang w:val="pt-BR"/>
        </w:rPr>
        <w:t> </w:t>
      </w:r>
      <w:r w:rsidRPr="008D38F6">
        <w:rPr>
          <w:rFonts w:eastAsia="Calibri" w:cs="Tahoma"/>
          <w:color w:val="000000"/>
          <w:szCs w:val="18"/>
          <w:lang w:val="pt-BR"/>
        </w:rPr>
        <w:t xml:space="preserve">uso do produto de licença do processador do SQL Server 2008 R2 Enterprise, no entanto: </w:t>
      </w:r>
    </w:p>
    <w:p w:rsidR="00A81E83" w:rsidRPr="008D38F6" w:rsidRDefault="00A81E83" w:rsidP="00204D6D">
      <w:pPr>
        <w:numPr>
          <w:ilvl w:val="1"/>
          <w:numId w:val="67"/>
        </w:numPr>
        <w:tabs>
          <w:tab w:val="left" w:pos="2160"/>
        </w:tabs>
        <w:spacing w:after="60"/>
        <w:ind w:left="2160"/>
        <w:rPr>
          <w:lang w:val="pt-BR"/>
        </w:rPr>
      </w:pPr>
      <w:r w:rsidRPr="008D38F6">
        <w:rPr>
          <w:rFonts w:eastAsia="Calibri" w:cs="Tahoma"/>
          <w:color w:val="000000"/>
          <w:szCs w:val="18"/>
          <w:lang w:val="pt-BR"/>
        </w:rPr>
        <w:t xml:space="preserve">os clientes não têm mais direitos de uso de Virtualização Ilimitada, Mobilidade de Licença nos Farms de Servidores nem Mobilidade de Licença por meio de Software Assurance e </w:t>
      </w:r>
    </w:p>
    <w:p w:rsidR="00A81E83" w:rsidRPr="008D38F6" w:rsidRDefault="00A81E83" w:rsidP="00204D6D">
      <w:pPr>
        <w:numPr>
          <w:ilvl w:val="1"/>
          <w:numId w:val="67"/>
        </w:numPr>
        <w:tabs>
          <w:tab w:val="left" w:pos="2160"/>
          <w:tab w:val="left" w:pos="2970"/>
        </w:tabs>
        <w:spacing w:after="60"/>
        <w:ind w:left="2160"/>
        <w:rPr>
          <w:lang w:val="pt-BR"/>
        </w:rPr>
      </w:pPr>
      <w:r w:rsidRPr="008D38F6">
        <w:rPr>
          <w:rFonts w:eastAsia="Calibri" w:cs="Tahoma"/>
          <w:color w:val="000000"/>
          <w:szCs w:val="18"/>
          <w:lang w:val="pt-BR"/>
        </w:rPr>
        <w:t xml:space="preserve">quaisquer reatribuição de licenças está sujeita a limitações em (i) e (ii) abaixo relacionada a sua “equivalência de licença principal”. A equivalência de licença principal é determinada da seguinte forma: </w:t>
      </w:r>
    </w:p>
    <w:p w:rsidR="00A81E83" w:rsidRPr="008D38F6" w:rsidRDefault="00A81E83" w:rsidP="00204D6D">
      <w:pPr>
        <w:numPr>
          <w:ilvl w:val="2"/>
          <w:numId w:val="67"/>
        </w:numPr>
        <w:tabs>
          <w:tab w:val="left" w:pos="2520"/>
        </w:tabs>
        <w:spacing w:after="60"/>
        <w:ind w:left="2520"/>
        <w:rPr>
          <w:lang w:val="pt-BR"/>
        </w:rPr>
      </w:pPr>
      <w:r w:rsidRPr="008D38F6">
        <w:rPr>
          <w:rFonts w:eastAsia="Calibri" w:cs="Tahoma"/>
          <w:color w:val="000000"/>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8D38F6" w:rsidRDefault="00A81E83" w:rsidP="00204D6D">
      <w:pPr>
        <w:numPr>
          <w:ilvl w:val="4"/>
          <w:numId w:val="64"/>
        </w:numPr>
        <w:tabs>
          <w:tab w:val="left" w:pos="2880"/>
        </w:tabs>
        <w:spacing w:after="60"/>
        <w:ind w:left="2880"/>
        <w:rPr>
          <w:lang w:val="pt-BR"/>
        </w:rPr>
      </w:pPr>
      <w:r w:rsidRPr="008D38F6">
        <w:rPr>
          <w:rFonts w:eastAsia="Calibri" w:cs="Tahoma"/>
          <w:color w:val="000000"/>
          <w:szCs w:val="18"/>
          <w:lang w:val="pt-BR"/>
        </w:rPr>
        <w:t xml:space="preserve">quatro núcleos por licença de processador OU </w:t>
      </w:r>
    </w:p>
    <w:p w:rsidR="00A81E83" w:rsidRPr="008D38F6" w:rsidRDefault="00A81E83" w:rsidP="00204D6D">
      <w:pPr>
        <w:numPr>
          <w:ilvl w:val="4"/>
          <w:numId w:val="64"/>
        </w:numPr>
        <w:tabs>
          <w:tab w:val="left" w:pos="2880"/>
        </w:tabs>
        <w:spacing w:after="60"/>
        <w:ind w:left="2880"/>
        <w:rPr>
          <w:lang w:val="pt-BR"/>
        </w:rPr>
      </w:pPr>
      <w:r w:rsidRPr="008D38F6">
        <w:rPr>
          <w:rFonts w:eastAsia="Calibri" w:cs="Tahoma"/>
          <w:color w:val="000000"/>
          <w:szCs w:val="18"/>
          <w:lang w:val="pt-BR"/>
        </w:rPr>
        <w:t>um número de núcleos por licença do processador com base no número real de</w:t>
      </w:r>
      <w:r w:rsidR="00EB0F1B" w:rsidRPr="008D38F6">
        <w:rPr>
          <w:rFonts w:eastAsia="Calibri" w:cs="Tahoma"/>
          <w:color w:val="000000"/>
          <w:szCs w:val="18"/>
          <w:lang w:val="pt-BR"/>
        </w:rPr>
        <w:t> </w:t>
      </w:r>
      <w:r w:rsidRPr="008D38F6">
        <w:rPr>
          <w:rFonts w:eastAsia="Calibri" w:cs="Tahoma"/>
          <w:color w:val="000000"/>
          <w:szCs w:val="18"/>
          <w:lang w:val="pt-BR"/>
        </w:rPr>
        <w:t xml:space="preserve">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A81E83" w:rsidRPr="008D38F6" w:rsidRDefault="00A81E83" w:rsidP="00204D6D">
      <w:pPr>
        <w:numPr>
          <w:ilvl w:val="2"/>
          <w:numId w:val="67"/>
        </w:numPr>
        <w:tabs>
          <w:tab w:val="left" w:pos="2520"/>
        </w:tabs>
        <w:spacing w:after="60"/>
        <w:ind w:left="2520"/>
        <w:rPr>
          <w:lang w:val="pt-BR"/>
        </w:rPr>
      </w:pPr>
      <w:r w:rsidRPr="008D38F6">
        <w:rPr>
          <w:rFonts w:eastAsia="Calibri" w:cs="Tahoma"/>
          <w:color w:val="000000"/>
          <w:szCs w:val="18"/>
          <w:lang w:val="pt-BR"/>
        </w:rPr>
        <w:t>Para qualquer licença de processador com um Software Assurance expirando atribuído ao mesmo servidor licenciado em excesso do número real de processadores</w:t>
      </w:r>
      <w:r w:rsidR="00EB0F1B" w:rsidRPr="008D38F6">
        <w:rPr>
          <w:rFonts w:eastAsia="Calibri" w:cs="Tahoma"/>
          <w:color w:val="000000"/>
          <w:szCs w:val="18"/>
          <w:lang w:val="pt-BR"/>
        </w:rPr>
        <w:t> </w:t>
      </w:r>
      <w:r w:rsidRPr="008D38F6">
        <w:rPr>
          <w:rFonts w:eastAsia="Calibri" w:cs="Tahoma"/>
          <w:color w:val="000000"/>
          <w:szCs w:val="18"/>
          <w:lang w:val="pt-BR"/>
        </w:rPr>
        <w:t>físicos no servidor, a equivalência de núcleo é de quatro núcleos</w:t>
      </w:r>
      <w:r w:rsidR="00EB0F1B" w:rsidRPr="008D38F6">
        <w:rPr>
          <w:rFonts w:eastAsia="Calibri" w:cs="Tahoma"/>
          <w:color w:val="000000"/>
          <w:szCs w:val="18"/>
          <w:lang w:val="pt-BR"/>
        </w:rPr>
        <w:t> </w:t>
      </w:r>
      <w:r w:rsidRPr="008D38F6">
        <w:rPr>
          <w:rFonts w:eastAsia="Calibri" w:cs="Tahoma"/>
          <w:color w:val="000000"/>
          <w:szCs w:val="18"/>
          <w:lang w:val="pt-BR"/>
        </w:rPr>
        <w:t>por</w:t>
      </w:r>
      <w:r w:rsidR="00EB0F1B" w:rsidRPr="008D38F6">
        <w:rPr>
          <w:rFonts w:eastAsia="Calibri" w:cs="Tahoma"/>
          <w:color w:val="000000"/>
          <w:szCs w:val="18"/>
          <w:lang w:val="pt-BR"/>
        </w:rPr>
        <w:t> </w:t>
      </w:r>
      <w:r w:rsidRPr="008D38F6">
        <w:rPr>
          <w:rFonts w:eastAsia="Calibri" w:cs="Tahoma"/>
          <w:color w:val="000000"/>
          <w:szCs w:val="18"/>
          <w:lang w:val="pt-BR"/>
        </w:rPr>
        <w:t>licença de processador.</w:t>
      </w:r>
    </w:p>
    <w:p w:rsidR="00A81E83" w:rsidRPr="008D38F6" w:rsidRDefault="00A81E83" w:rsidP="00204D6D">
      <w:pPr>
        <w:numPr>
          <w:ilvl w:val="1"/>
          <w:numId w:val="67"/>
        </w:numPr>
        <w:tabs>
          <w:tab w:val="left" w:pos="1800"/>
        </w:tabs>
        <w:spacing w:after="60"/>
        <w:ind w:left="1800"/>
        <w:rPr>
          <w:lang w:val="pt-BR"/>
        </w:rPr>
      </w:pPr>
      <w:r w:rsidRPr="008D38F6">
        <w:rPr>
          <w:rFonts w:eastAsia="Calibri" w:cs="Tahoma"/>
          <w:color w:val="000000"/>
          <w:szCs w:val="18"/>
          <w:lang w:val="pt-BR"/>
        </w:rPr>
        <w:t xml:space="preserve">Os Clientes </w:t>
      </w:r>
      <w:r w:rsidRPr="008D38F6">
        <w:rPr>
          <w:rFonts w:eastAsia="Calibri" w:cs="Tahoma"/>
          <w:szCs w:val="18"/>
          <w:lang w:val="pt-BR"/>
        </w:rPr>
        <w:t>poderão transferir as Licenças para outro servidor. No entanto, se o cliente transferir uma licença para outro servidor, o cliente terá que seguir os direitos de uso do SQL</w:t>
      </w:r>
      <w:r w:rsidR="00EB0F1B" w:rsidRPr="008D38F6">
        <w:rPr>
          <w:rFonts w:eastAsia="Calibri" w:cs="Tahoma"/>
          <w:color w:val="000000"/>
          <w:szCs w:val="18"/>
          <w:lang w:val="pt-BR"/>
        </w:rPr>
        <w:t> </w:t>
      </w:r>
      <w:r w:rsidRPr="008D38F6">
        <w:rPr>
          <w:rFonts w:eastAsia="Calibri" w:cs="Tahoma"/>
          <w:szCs w:val="18"/>
          <w:lang w:val="pt-BR"/>
        </w:rPr>
        <w:t>Server 2012. Ao transferir licenças principais para servidores sob os direitos de uso do</w:t>
      </w:r>
      <w:r w:rsidR="00EB0F1B" w:rsidRPr="008D38F6">
        <w:rPr>
          <w:rFonts w:eastAsia="Calibri" w:cs="Tahoma"/>
          <w:color w:val="000000"/>
          <w:szCs w:val="18"/>
          <w:lang w:val="pt-BR"/>
        </w:rPr>
        <w:t> </w:t>
      </w:r>
      <w:r w:rsidRPr="008D38F6">
        <w:rPr>
          <w:rFonts w:eastAsia="Calibri" w:cs="Tahoma"/>
          <w:szCs w:val="18"/>
          <w:lang w:val="pt-BR"/>
        </w:rPr>
        <w:t>SQL 2012, o cliente poderá combinar a equivalência de núcleo de suas licenças existentes</w:t>
      </w:r>
      <w:r w:rsidR="00F73784" w:rsidRPr="008D38F6">
        <w:rPr>
          <w:rFonts w:eastAsia="Calibri" w:cs="Tahoma"/>
          <w:szCs w:val="18"/>
          <w:lang w:val="pt-BR"/>
        </w:rPr>
        <w:t> </w:t>
      </w:r>
      <w:r w:rsidRPr="008D38F6">
        <w:rPr>
          <w:rFonts w:eastAsia="Calibri" w:cs="Tahoma"/>
          <w:szCs w:val="18"/>
          <w:lang w:val="pt-BR"/>
        </w:rPr>
        <w:t>com as licenças principais do SQL Server 2012 adicionais.</w:t>
      </w:r>
    </w:p>
    <w:p w:rsidR="00A81E83" w:rsidRPr="008D38F6" w:rsidRDefault="00A81E83" w:rsidP="00204D6D">
      <w:pPr>
        <w:numPr>
          <w:ilvl w:val="1"/>
          <w:numId w:val="67"/>
        </w:numPr>
        <w:tabs>
          <w:tab w:val="left" w:pos="1800"/>
          <w:tab w:val="left" w:pos="2970"/>
        </w:tabs>
        <w:spacing w:after="60"/>
        <w:ind w:left="1800"/>
        <w:rPr>
          <w:lang w:val="pt-BR"/>
        </w:rPr>
      </w:pPr>
      <w:r w:rsidRPr="008D38F6">
        <w:rPr>
          <w:rFonts w:eastAsia="Calibri" w:cs="Tahoma"/>
          <w:color w:val="000000"/>
          <w:szCs w:val="18"/>
          <w:lang w:val="pt-BR"/>
        </w:rPr>
        <w:t>A equivalência de licença principal dos clientes não implica que eles podem atribuir uma única</w:t>
      </w:r>
      <w:r w:rsidR="00F73784" w:rsidRPr="008D38F6">
        <w:rPr>
          <w:rFonts w:eastAsia="Calibri" w:cs="Tahoma"/>
          <w:color w:val="000000"/>
          <w:szCs w:val="18"/>
          <w:lang w:val="pt-BR"/>
        </w:rPr>
        <w:t> </w:t>
      </w:r>
      <w:r w:rsidRPr="008D38F6">
        <w:rPr>
          <w:rFonts w:eastAsia="Calibri" w:cs="Tahoma"/>
          <w:color w:val="000000"/>
          <w:szCs w:val="18"/>
          <w:lang w:val="pt-BR"/>
        </w:rPr>
        <w:t>licença de processador a núcleos por dois ou mais processadores.</w:t>
      </w:r>
    </w:p>
    <w:p w:rsidR="00204D6D" w:rsidRPr="008D38F6" w:rsidRDefault="00204D6D" w:rsidP="00204D6D">
      <w:pPr>
        <w:tabs>
          <w:tab w:val="left" w:pos="1800"/>
          <w:tab w:val="left" w:pos="2970"/>
        </w:tabs>
        <w:rPr>
          <w:lang w:val="pt-BR"/>
        </w:rPr>
      </w:pPr>
    </w:p>
    <w:p w:rsidR="00204D6D" w:rsidRPr="008D38F6" w:rsidRDefault="00A81E83" w:rsidP="00204D6D">
      <w:pPr>
        <w:tabs>
          <w:tab w:val="left" w:pos="720"/>
        </w:tabs>
        <w:spacing w:after="60"/>
        <w:ind w:left="720"/>
        <w:rPr>
          <w:lang w:val="pt-BR"/>
        </w:rPr>
      </w:pPr>
      <w:r w:rsidRPr="008D38F6">
        <w:rPr>
          <w:rFonts w:eastAsia="Calibri" w:cs="Tahoma"/>
          <w:b/>
          <w:color w:val="000000"/>
          <w:szCs w:val="18"/>
          <w:lang w:val="pt-BR"/>
        </w:rPr>
        <w:t xml:space="preserve">Para os clientes com cobertura de Software Assurance que expiram em ou depois de </w:t>
      </w:r>
      <w:r w:rsidR="00F73784" w:rsidRPr="008D38F6">
        <w:rPr>
          <w:rFonts w:eastAsia="Calibri" w:cs="Tahoma"/>
          <w:b/>
          <w:color w:val="000000"/>
          <w:szCs w:val="18"/>
          <w:lang w:val="pt-BR"/>
        </w:rPr>
        <w:br/>
      </w:r>
      <w:r w:rsidR="00EB0F1B" w:rsidRPr="008D38F6">
        <w:rPr>
          <w:rFonts w:eastAsia="Calibri" w:cs="Tahoma"/>
          <w:b/>
          <w:color w:val="000000"/>
          <w:szCs w:val="18"/>
          <w:lang w:val="pt-BR"/>
        </w:rPr>
        <w:t>1</w:t>
      </w:r>
      <w:r w:rsidR="00EB0F1B" w:rsidRPr="008D38F6">
        <w:rPr>
          <w:rFonts w:eastAsia="Calibri" w:cs="Tahoma"/>
          <w:b/>
          <w:color w:val="000000"/>
          <w:szCs w:val="18"/>
          <w:vertAlign w:val="superscript"/>
          <w:lang w:val="pt-BR"/>
        </w:rPr>
        <w:t>º</w:t>
      </w:r>
      <w:r w:rsidRPr="008D38F6">
        <w:rPr>
          <w:rFonts w:eastAsia="Calibri" w:cs="Tahoma"/>
          <w:b/>
          <w:color w:val="000000"/>
          <w:szCs w:val="18"/>
          <w:lang w:val="pt-BR"/>
        </w:rPr>
        <w:t xml:space="preserve"> de abril de 2015 que optaram pela não renovação</w:t>
      </w:r>
    </w:p>
    <w:p w:rsidR="00A81E83" w:rsidRPr="008D38F6" w:rsidRDefault="00A81E83" w:rsidP="00204D6D">
      <w:pPr>
        <w:tabs>
          <w:tab w:val="left" w:pos="720"/>
        </w:tabs>
        <w:ind w:left="720"/>
        <w:rPr>
          <w:lang w:val="pt-BR"/>
        </w:rPr>
      </w:pPr>
      <w:r w:rsidRPr="008D38F6">
        <w:rPr>
          <w:rFonts w:eastAsia="Calibri" w:cs="Tahoma"/>
          <w:color w:val="000000"/>
          <w:szCs w:val="18"/>
          <w:lang w:val="pt-BR"/>
        </w:rPr>
        <w:t xml:space="preserve">Os clientes do Enterprise Subscription </w:t>
      </w:r>
      <w:r w:rsidRPr="008D38F6">
        <w:rPr>
          <w:rFonts w:cs="Tahoma"/>
          <w:bCs/>
          <w:color w:val="000000"/>
          <w:szCs w:val="18"/>
          <w:lang w:val="pt-BR"/>
        </w:rPr>
        <w:t xml:space="preserve">e Open Value Subscription </w:t>
      </w:r>
      <w:r w:rsidRPr="008D38F6">
        <w:rPr>
          <w:rFonts w:eastAsia="Calibri" w:cs="Tahoma"/>
          <w:color w:val="000000"/>
          <w:szCs w:val="18"/>
          <w:lang w:val="pt-BR"/>
        </w:rPr>
        <w:t>com cobertura expirando em ou depois de</w:t>
      </w:r>
      <w:r w:rsidR="00F73784" w:rsidRPr="008D38F6">
        <w:rPr>
          <w:rFonts w:eastAsia="Calibri" w:cs="Tahoma"/>
          <w:color w:val="000000"/>
          <w:szCs w:val="18"/>
          <w:lang w:val="pt-BR"/>
        </w:rPr>
        <w:t>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abril de 2015 que optarem por comprar licenças de processador e quaisquer outros clientes que adquirirem licenças perpétuas sob este contrato terão as seguintes opções: </w:t>
      </w:r>
    </w:p>
    <w:p w:rsidR="00204D6D" w:rsidRPr="008D38F6" w:rsidRDefault="00204D6D" w:rsidP="00204D6D">
      <w:pPr>
        <w:tabs>
          <w:tab w:val="left" w:pos="720"/>
        </w:tabs>
        <w:ind w:left="720"/>
        <w:rPr>
          <w:lang w:val="pt-BR"/>
        </w:rPr>
      </w:pPr>
    </w:p>
    <w:p w:rsidR="00A81E83" w:rsidRPr="008D38F6" w:rsidRDefault="00A81E83" w:rsidP="00204D6D">
      <w:pPr>
        <w:numPr>
          <w:ilvl w:val="2"/>
          <w:numId w:val="64"/>
        </w:numPr>
        <w:spacing w:after="60"/>
        <w:ind w:left="1440"/>
        <w:rPr>
          <w:lang w:val="pt-BR"/>
        </w:rPr>
      </w:pPr>
      <w:r w:rsidRPr="008D38F6">
        <w:rPr>
          <w:rFonts w:eastAsia="Calibri" w:cs="Tahoma"/>
          <w:szCs w:val="18"/>
          <w:lang w:val="pt-BR"/>
        </w:rPr>
        <w:t xml:space="preserve">Conforme fornecido no primeiro parágrafo desta nota de produto, as licenças adquiridas antes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que optou por não renovar” acima e</w:t>
      </w:r>
    </w:p>
    <w:p w:rsidR="00A81E83" w:rsidRPr="008D38F6" w:rsidRDefault="00A81E83" w:rsidP="00204D6D">
      <w:pPr>
        <w:numPr>
          <w:ilvl w:val="2"/>
          <w:numId w:val="64"/>
        </w:numPr>
        <w:spacing w:after="60"/>
        <w:ind w:left="1440"/>
        <w:rPr>
          <w:lang w:val="pt-BR"/>
        </w:rPr>
      </w:pPr>
      <w:r w:rsidRPr="008D38F6">
        <w:rPr>
          <w:rFonts w:eastAsia="Calibri" w:cs="Tahoma"/>
          <w:szCs w:val="18"/>
          <w:lang w:val="pt-BR"/>
        </w:rPr>
        <w:t xml:space="preserve">Para as licenças adquiridas depois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a licença do processador de clientes terá</w:t>
      </w:r>
      <w:r w:rsidR="00F73784" w:rsidRPr="008D38F6">
        <w:rPr>
          <w:rFonts w:eastAsia="Calibri" w:cs="Tahoma"/>
          <w:szCs w:val="18"/>
          <w:lang w:val="pt-BR"/>
        </w:rPr>
        <w:t> </w:t>
      </w:r>
      <w:r w:rsidRPr="008D38F6">
        <w:rPr>
          <w:rFonts w:eastAsia="Calibri" w:cs="Tahoma"/>
          <w:szCs w:val="18"/>
          <w:lang w:val="pt-BR"/>
        </w:rPr>
        <w:t>uma equivalência de núcleo de quatro licenças principais do SQL Server 2012 Enterprise. Para</w:t>
      </w:r>
      <w:r w:rsidR="00F73784" w:rsidRPr="008D38F6">
        <w:rPr>
          <w:rFonts w:eastAsia="Calibri" w:cs="Tahoma"/>
          <w:szCs w:val="18"/>
          <w:lang w:val="pt-BR"/>
        </w:rPr>
        <w:t> </w:t>
      </w:r>
      <w:r w:rsidRPr="008D38F6">
        <w:rPr>
          <w:rFonts w:eastAsia="Calibri" w:cs="Tahoma"/>
          <w:szCs w:val="18"/>
          <w:lang w:val="pt-BR"/>
        </w:rPr>
        <w:t>o uso contínuo do SQL Server 2012 em processadores que exigem mais de quatro licenças principais por processador, o cliente tem que adquirir licenças principais adicionais.</w:t>
      </w:r>
    </w:p>
    <w:p w:rsidR="00204D6D" w:rsidRPr="008D38F6" w:rsidRDefault="00204D6D" w:rsidP="00204D6D">
      <w:pPr>
        <w:ind w:left="1440"/>
        <w:rPr>
          <w:lang w:val="pt-BR"/>
        </w:rPr>
      </w:pPr>
    </w:p>
    <w:p w:rsidR="00204D6D" w:rsidRPr="008D38F6" w:rsidRDefault="00A81E83" w:rsidP="00204D6D">
      <w:pPr>
        <w:tabs>
          <w:tab w:val="left" w:pos="720"/>
        </w:tabs>
        <w:spacing w:after="60"/>
        <w:ind w:left="720"/>
        <w:rPr>
          <w:lang w:val="pt-BR"/>
        </w:rPr>
      </w:pPr>
      <w:r w:rsidRPr="008D38F6">
        <w:rPr>
          <w:b/>
          <w:lang w:val="pt-BR"/>
        </w:rPr>
        <w:t>Para os clientes localizados na República Popular da</w:t>
      </w:r>
      <w:r w:rsidRPr="008D38F6">
        <w:rPr>
          <w:lang w:val="pt-BR"/>
        </w:rPr>
        <w:t xml:space="preserve"> </w:t>
      </w:r>
      <w:r w:rsidRPr="008D38F6">
        <w:rPr>
          <w:b/>
          <w:lang w:val="pt-BR"/>
        </w:rPr>
        <w:t>China e para os que estão adquirindo licenças de processador e Software Assurance para SQL Server 2008 R2</w:t>
      </w:r>
    </w:p>
    <w:p w:rsidR="00A81E83" w:rsidRPr="008D38F6" w:rsidRDefault="00A81E83" w:rsidP="00204D6D">
      <w:pPr>
        <w:tabs>
          <w:tab w:val="left" w:pos="720"/>
        </w:tabs>
        <w:ind w:left="720"/>
        <w:rPr>
          <w:lang w:val="pt-BR"/>
        </w:rPr>
      </w:pPr>
      <w:r w:rsidRPr="008D38F6">
        <w:rPr>
          <w:lang w:val="pt-BR"/>
        </w:rPr>
        <w:t xml:space="preserve">As referências a </w:t>
      </w:r>
      <w:r w:rsidR="00EB0F1B" w:rsidRPr="008D38F6">
        <w:rPr>
          <w:lang w:val="pt-BR"/>
        </w:rPr>
        <w:t>1</w:t>
      </w:r>
      <w:r w:rsidR="00EB0F1B" w:rsidRPr="008D38F6">
        <w:rPr>
          <w:vertAlign w:val="superscript"/>
          <w:lang w:val="pt-BR"/>
        </w:rPr>
        <w:t>º</w:t>
      </w:r>
      <w:r w:rsidRPr="008D38F6">
        <w:rPr>
          <w:lang w:val="pt-BR"/>
        </w:rPr>
        <w:t xml:space="preserve"> de abril de 2012 e </w:t>
      </w:r>
      <w:r w:rsidR="00EB0F1B" w:rsidRPr="008D38F6">
        <w:rPr>
          <w:lang w:val="pt-BR"/>
        </w:rPr>
        <w:t>1</w:t>
      </w:r>
      <w:r w:rsidR="00EB0F1B" w:rsidRPr="008D38F6">
        <w:rPr>
          <w:vertAlign w:val="superscript"/>
          <w:lang w:val="pt-BR"/>
        </w:rPr>
        <w:t>º</w:t>
      </w:r>
      <w:r w:rsidRPr="008D38F6">
        <w:rPr>
          <w:lang w:val="pt-BR"/>
        </w:rPr>
        <w:t xml:space="preserve"> de abril de 2015 nesta nota da lista de produtos não são aplicáveis. As datas aplicáveis para esses clientes são </w:t>
      </w:r>
      <w:r w:rsidR="00EB0F1B" w:rsidRPr="008D38F6">
        <w:rPr>
          <w:lang w:val="pt-BR"/>
        </w:rPr>
        <w:t>1</w:t>
      </w:r>
      <w:r w:rsidR="00EB0F1B" w:rsidRPr="008D38F6">
        <w:rPr>
          <w:vertAlign w:val="superscript"/>
          <w:lang w:val="pt-BR"/>
        </w:rPr>
        <w:t>º</w:t>
      </w:r>
      <w:r w:rsidRPr="008D38F6">
        <w:rPr>
          <w:lang w:val="pt-BR"/>
        </w:rPr>
        <w:t xml:space="preserve"> de julho de 2012 e </w:t>
      </w:r>
      <w:r w:rsidR="00EB0F1B" w:rsidRPr="008D38F6">
        <w:rPr>
          <w:lang w:val="pt-BR"/>
        </w:rPr>
        <w:t>1º</w:t>
      </w:r>
      <w:r w:rsidRPr="008D38F6">
        <w:rPr>
          <w:lang w:val="pt-BR"/>
        </w:rPr>
        <w:t xml:space="preserve"> de julho de 2015, respectivamente.</w:t>
      </w:r>
    </w:p>
    <w:p w:rsidR="0005355D" w:rsidRPr="008D38F6" w:rsidRDefault="0005355D" w:rsidP="00204D6D">
      <w:pPr>
        <w:tabs>
          <w:tab w:val="left" w:pos="720"/>
        </w:tabs>
        <w:ind w:left="720"/>
        <w:rPr>
          <w:lang w:val="pt-BR"/>
        </w:rPr>
      </w:pPr>
    </w:p>
    <w:p w:rsidR="003E651C" w:rsidRPr="008D38F6" w:rsidRDefault="003E651C" w:rsidP="00204D6D">
      <w:pPr>
        <w:tabs>
          <w:tab w:val="left" w:pos="720"/>
        </w:tabs>
        <w:ind w:left="720"/>
        <w:rPr>
          <w:lang w:val="pt-BR"/>
        </w:rPr>
      </w:pPr>
    </w:p>
    <w:p w:rsidR="006E28CC" w:rsidRPr="00416070" w:rsidRDefault="0099402E" w:rsidP="006E28CC">
      <w:pPr>
        <w:pStyle w:val="Heading3"/>
      </w:pPr>
      <w:bookmarkStart w:id="1415" w:name="_80_SQL_Server"/>
      <w:bookmarkStart w:id="1416" w:name="_81_SQL_Server"/>
      <w:bookmarkStart w:id="1417" w:name="_Toc352234407"/>
      <w:bookmarkEnd w:id="1415"/>
      <w:bookmarkEnd w:id="1416"/>
      <w:r w:rsidRPr="00416070">
        <w:rPr>
          <w:rFonts w:ascii="Tahoma" w:hAnsi="Tahoma"/>
          <w:caps/>
          <w:color w:val="F66400"/>
          <w:sz w:val="22"/>
          <w:vertAlign w:val="superscript"/>
        </w:rPr>
        <w:t>81</w:t>
      </w:r>
      <w:r w:rsidRPr="00416070">
        <w:rPr>
          <w:rFonts w:ascii="Tahoma" w:hAnsi="Tahoma"/>
          <w:color w:val="F66400"/>
          <w:sz w:val="22"/>
        </w:rPr>
        <w:t xml:space="preserve"> SQL Server </w:t>
      </w:r>
      <w:r w:rsidR="00510A6E" w:rsidRPr="00416070">
        <w:rPr>
          <w:rFonts w:ascii="Tahoma" w:hAnsi="Tahoma"/>
          <w:color w:val="F66400"/>
          <w:sz w:val="22"/>
          <w:vertAlign w:val="superscript"/>
        </w:rPr>
        <w:t>®</w:t>
      </w:r>
      <w:r w:rsidRPr="00416070">
        <w:rPr>
          <w:rFonts w:ascii="Tahoma" w:hAnsi="Tahoma"/>
          <w:color w:val="F66400"/>
          <w:sz w:val="22"/>
        </w:rPr>
        <w:t xml:space="preserve"> 2012 Parallel Data Warehouse</w:t>
      </w:r>
      <w:bookmarkEnd w:id="1417"/>
    </w:p>
    <w:p w:rsidR="006E28CC" w:rsidRPr="00416070" w:rsidRDefault="006E28CC" w:rsidP="006E28CC">
      <w:pPr>
        <w:pStyle w:val="EndnoteText"/>
      </w:pPr>
    </w:p>
    <w:p w:rsidR="000A30EE" w:rsidRPr="008D38F6" w:rsidRDefault="000A30EE" w:rsidP="000A30EE">
      <w:pPr>
        <w:spacing w:after="60"/>
        <w:ind w:left="720"/>
        <w:rPr>
          <w:lang w:val="pt-BR"/>
        </w:rPr>
      </w:pPr>
      <w:r w:rsidRPr="008D38F6">
        <w:rPr>
          <w:rFonts w:eastAsia="Calibri" w:cs="Tahoma"/>
          <w:b/>
          <w:color w:val="000000"/>
          <w:szCs w:val="18"/>
          <w:lang w:val="pt-BR"/>
        </w:rPr>
        <w:t>Outorgas de Licença Associadas à Alteração no Modelo de Licenciamento</w:t>
      </w:r>
    </w:p>
    <w:p w:rsidR="000A30EE" w:rsidRPr="008D38F6" w:rsidRDefault="000A30EE" w:rsidP="008D0E85">
      <w:pPr>
        <w:ind w:left="720"/>
        <w:rPr>
          <w:lang w:val="pt-BR"/>
        </w:rPr>
      </w:pPr>
      <w:r w:rsidRPr="008D38F6">
        <w:rPr>
          <w:rFonts w:eastAsia="Calibri" w:cs="Tahoma"/>
          <w:color w:val="000000"/>
          <w:szCs w:val="18"/>
          <w:lang w:val="pt-BR"/>
        </w:rPr>
        <w:t>O SQL Server 2008 R2 será a última versão do SQL Server Parallel Data Warehouse licenciada sob o</w:t>
      </w:r>
      <w:r w:rsidR="008D0E85" w:rsidRPr="008D38F6">
        <w:rPr>
          <w:rFonts w:eastAsia="Calibri" w:cs="Tahoma"/>
          <w:color w:val="000000"/>
          <w:szCs w:val="18"/>
          <w:lang w:val="pt-BR"/>
        </w:rPr>
        <w:t> </w:t>
      </w:r>
      <w:r w:rsidRPr="008D38F6">
        <w:rPr>
          <w:rFonts w:eastAsia="Calibri" w:cs="Tahoma"/>
          <w:color w:val="000000"/>
          <w:szCs w:val="18"/>
          <w:lang w:val="pt-BR"/>
        </w:rPr>
        <w:t>modelo</w:t>
      </w:r>
      <w:r w:rsidR="00F73784" w:rsidRPr="008D38F6">
        <w:rPr>
          <w:rFonts w:eastAsia="Calibri" w:cs="Tahoma"/>
          <w:color w:val="000000"/>
          <w:szCs w:val="18"/>
          <w:lang w:val="pt-BR"/>
        </w:rPr>
        <w:t> </w:t>
      </w:r>
      <w:r w:rsidRPr="008D38F6">
        <w:rPr>
          <w:rFonts w:eastAsia="Calibri" w:cs="Tahoma"/>
          <w:color w:val="000000"/>
          <w:szCs w:val="18"/>
          <w:lang w:val="pt-BR"/>
        </w:rPr>
        <w:t>de licenciamento por processador.</w:t>
      </w:r>
      <w:r w:rsidR="00FB5496" w:rsidRPr="008D38F6">
        <w:rPr>
          <w:rFonts w:eastAsia="Calibri" w:cs="Tahoma"/>
          <w:color w:val="000000"/>
          <w:szCs w:val="18"/>
          <w:lang w:val="pt-BR"/>
        </w:rPr>
        <w:t xml:space="preserve"> </w:t>
      </w:r>
      <w:r w:rsidRPr="008D38F6">
        <w:rPr>
          <w:rFonts w:eastAsia="Calibri" w:cs="Tahoma"/>
          <w:color w:val="000000"/>
          <w:szCs w:val="18"/>
          <w:lang w:val="pt-BR"/>
        </w:rPr>
        <w:t>Como uma exceção, aos clientes de licenciamento por volume</w:t>
      </w:r>
      <w:r w:rsidR="00F73784" w:rsidRPr="008D38F6">
        <w:rPr>
          <w:rFonts w:eastAsia="Calibri" w:cs="Tahoma"/>
          <w:color w:val="000000"/>
          <w:szCs w:val="18"/>
          <w:lang w:val="pt-BR"/>
        </w:rPr>
        <w:t> </w:t>
      </w:r>
      <w:r w:rsidRPr="008D38F6">
        <w:rPr>
          <w:rFonts w:eastAsia="Calibri" w:cs="Tahoma"/>
          <w:color w:val="000000"/>
          <w:szCs w:val="18"/>
          <w:lang w:val="pt-BR"/>
        </w:rPr>
        <w:t>com Software Assurance ativo para licenças do processador do SQL Server 2008 R2 Parallel Data</w:t>
      </w:r>
      <w:r w:rsidR="008D0E85" w:rsidRPr="008D38F6">
        <w:rPr>
          <w:rFonts w:eastAsia="Calibri" w:cs="Tahoma"/>
          <w:color w:val="000000"/>
          <w:szCs w:val="18"/>
          <w:lang w:val="pt-BR"/>
        </w:rPr>
        <w:t> </w:t>
      </w:r>
      <w:r w:rsidRPr="008D38F6">
        <w:rPr>
          <w:rFonts w:eastAsia="Calibri" w:cs="Tahoma"/>
          <w:color w:val="000000"/>
          <w:szCs w:val="18"/>
          <w:lang w:val="pt-BR"/>
        </w:rPr>
        <w:t xml:space="preserve">Warehouse em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março de 2013 (“licenças qualificadas”) são concedidas as seguintes opções. As</w:t>
      </w:r>
      <w:r w:rsidR="00F73784" w:rsidRPr="008D38F6">
        <w:rPr>
          <w:rFonts w:eastAsia="Calibri" w:cs="Tahoma"/>
          <w:color w:val="000000"/>
          <w:szCs w:val="18"/>
          <w:lang w:val="pt-BR"/>
        </w:rPr>
        <w:t> </w:t>
      </w:r>
      <w:r w:rsidRPr="008D38F6">
        <w:rPr>
          <w:rFonts w:eastAsia="Calibri" w:cs="Tahoma"/>
          <w:color w:val="000000"/>
          <w:szCs w:val="18"/>
          <w:lang w:val="pt-BR"/>
        </w:rPr>
        <w:t xml:space="preserve">licenças do processador do SQL Server 2008 R2 Parallel Data Warehouse </w:t>
      </w:r>
      <w:r w:rsidRPr="008D38F6">
        <w:rPr>
          <w:rFonts w:cs="Tahoma"/>
          <w:bCs/>
          <w:color w:val="000000"/>
          <w:szCs w:val="18"/>
          <w:lang w:val="pt-BR"/>
        </w:rPr>
        <w:t>adquiridas posteriormente no mesmo prazo de registro como parte de um processo de adequação (“true-up”) programado do cliente Enterprise ou Enterprise Subscription também são “licenças de qualificação” para fins dessas opções.</w:t>
      </w:r>
    </w:p>
    <w:p w:rsidR="000A30EE" w:rsidRPr="008D38F6" w:rsidRDefault="000A30EE" w:rsidP="000A30EE">
      <w:pPr>
        <w:ind w:left="720"/>
        <w:rPr>
          <w:lang w:val="pt-BR"/>
        </w:rPr>
      </w:pPr>
    </w:p>
    <w:p w:rsidR="000A30EE" w:rsidRPr="008D38F6" w:rsidRDefault="000A30EE" w:rsidP="000A30EE">
      <w:pPr>
        <w:numPr>
          <w:ilvl w:val="0"/>
          <w:numId w:val="67"/>
        </w:numPr>
        <w:spacing w:after="60"/>
        <w:ind w:left="1440"/>
        <w:rPr>
          <w:lang w:val="pt-BR"/>
        </w:rPr>
      </w:pPr>
      <w:r w:rsidRPr="008D38F6">
        <w:rPr>
          <w:rFonts w:eastAsia="Calibri" w:cs="Tahoma"/>
          <w:color w:val="000000"/>
          <w:szCs w:val="18"/>
          <w:lang w:val="pt-BR"/>
        </w:rPr>
        <w:t>Para cada licença qualificada que o cliente tiver, ele poderá atualizar para 8 licenças principais para</w:t>
      </w:r>
      <w:r w:rsidR="00F73784" w:rsidRPr="008D38F6">
        <w:rPr>
          <w:rFonts w:eastAsia="Calibri" w:cs="Tahoma"/>
          <w:color w:val="000000"/>
          <w:szCs w:val="18"/>
          <w:lang w:val="pt-BR"/>
        </w:rPr>
        <w:t> </w:t>
      </w:r>
      <w:r w:rsidRPr="008D38F6">
        <w:rPr>
          <w:rFonts w:eastAsia="Calibri" w:cs="Tahoma"/>
          <w:color w:val="000000"/>
          <w:szCs w:val="18"/>
          <w:lang w:val="pt-BR"/>
        </w:rPr>
        <w:t>o SQL Server 2012 Parallel Data Warehouse. Na atualização para SQL Server 2012, as licenças</w:t>
      </w:r>
      <w:r w:rsidR="00F73784" w:rsidRPr="008D38F6">
        <w:rPr>
          <w:rFonts w:eastAsia="Calibri" w:cs="Tahoma"/>
          <w:color w:val="000000"/>
          <w:szCs w:val="18"/>
          <w:lang w:val="pt-BR"/>
        </w:rPr>
        <w:t> </w:t>
      </w:r>
      <w:r w:rsidRPr="008D38F6">
        <w:rPr>
          <w:rFonts w:eastAsia="Calibri" w:cs="Tahoma"/>
          <w:color w:val="000000"/>
          <w:szCs w:val="18"/>
          <w:lang w:val="pt-BR"/>
        </w:rPr>
        <w:t>básicas do SQL Server 2008 R2 dos clientes não serão mais válidas.</w:t>
      </w:r>
    </w:p>
    <w:p w:rsidR="003E651C" w:rsidRPr="008D38F6" w:rsidRDefault="003E651C" w:rsidP="000A30EE">
      <w:pPr>
        <w:rPr>
          <w:lang w:val="pt-BR"/>
        </w:rPr>
      </w:pPr>
    </w:p>
    <w:p w:rsidR="000A30EE" w:rsidRPr="008D38F6" w:rsidRDefault="000A30EE" w:rsidP="000A30EE">
      <w:pPr>
        <w:spacing w:after="60"/>
        <w:ind w:left="720"/>
        <w:rPr>
          <w:lang w:val="pt-BR"/>
        </w:rPr>
      </w:pPr>
      <w:r w:rsidRPr="008D38F6">
        <w:rPr>
          <w:rFonts w:eastAsia="Calibri" w:cs="Tahoma"/>
          <w:b/>
          <w:color w:val="000000"/>
          <w:szCs w:val="18"/>
          <w:lang w:val="pt-BR"/>
        </w:rPr>
        <w:t>Outorga de Licença Padrão do System Center</w:t>
      </w:r>
    </w:p>
    <w:p w:rsidR="000A30EE" w:rsidRPr="008D38F6" w:rsidRDefault="000A30EE" w:rsidP="00F73784">
      <w:pPr>
        <w:spacing w:after="60"/>
        <w:ind w:left="720"/>
        <w:rPr>
          <w:lang w:val="pt-BR"/>
        </w:rPr>
      </w:pPr>
      <w:r w:rsidRPr="008D38F6">
        <w:rPr>
          <w:rFonts w:eastAsia="Calibri" w:cs="Tahoma"/>
          <w:color w:val="000000"/>
          <w:szCs w:val="18"/>
          <w:lang w:val="pt-BR"/>
        </w:rPr>
        <w:t>Os clientes que também estão atualizando para o SQL Server 2012 Parallel Data Warehouse de acordo com</w:t>
      </w:r>
      <w:r w:rsidR="00F73784" w:rsidRPr="008D38F6">
        <w:rPr>
          <w:rFonts w:eastAsia="Calibri" w:cs="Tahoma"/>
          <w:color w:val="000000"/>
          <w:szCs w:val="18"/>
          <w:lang w:val="pt-BR"/>
        </w:rPr>
        <w:t> </w:t>
      </w:r>
      <w:r w:rsidRPr="008D38F6">
        <w:rPr>
          <w:rFonts w:eastAsia="Calibri" w:cs="Tahoma"/>
          <w:color w:val="000000"/>
          <w:szCs w:val="18"/>
          <w:lang w:val="pt-BR"/>
        </w:rPr>
        <w:t>as licenças de qualificação estarão qualificados para as outorgas de licença do System Center a</w:t>
      </w:r>
      <w:r w:rsidR="00F73784" w:rsidRPr="008D38F6">
        <w:rPr>
          <w:rFonts w:eastAsia="Calibri" w:cs="Tahoma"/>
          <w:color w:val="000000"/>
          <w:szCs w:val="18"/>
          <w:lang w:val="pt-BR"/>
        </w:rPr>
        <w:t> </w:t>
      </w:r>
      <w:r w:rsidRPr="008D38F6">
        <w:rPr>
          <w:rFonts w:eastAsia="Calibri" w:cs="Tahoma"/>
          <w:color w:val="000000"/>
          <w:szCs w:val="18"/>
          <w:lang w:val="pt-BR"/>
        </w:rPr>
        <w:t>seguir</w:t>
      </w:r>
      <w:r w:rsidR="00F73784" w:rsidRPr="008D38F6">
        <w:rPr>
          <w:rFonts w:eastAsia="Calibri" w:cs="Tahoma"/>
          <w:color w:val="000000"/>
          <w:szCs w:val="18"/>
          <w:lang w:val="pt-BR"/>
        </w:rPr>
        <w:t> </w:t>
      </w:r>
      <w:r w:rsidRPr="008D38F6">
        <w:rPr>
          <w:rFonts w:eastAsia="Calibri" w:cs="Tahoma"/>
          <w:color w:val="000000"/>
          <w:szCs w:val="18"/>
          <w:lang w:val="pt-BR"/>
        </w:rPr>
        <w:t>mediante sua atualização para o SQL Server 2012 Parallel Data Warehouse:</w:t>
      </w:r>
    </w:p>
    <w:p w:rsidR="000A30EE" w:rsidRPr="008D38F6" w:rsidRDefault="000A30EE" w:rsidP="000A30EE">
      <w:pPr>
        <w:numPr>
          <w:ilvl w:val="0"/>
          <w:numId w:val="67"/>
        </w:numPr>
        <w:spacing w:after="60"/>
        <w:ind w:left="1440"/>
        <w:rPr>
          <w:lang w:val="pt-BR"/>
        </w:rPr>
      </w:pPr>
      <w:r w:rsidRPr="008D38F6">
        <w:rPr>
          <w:rFonts w:eastAsia="Calibri" w:cs="Tahoma"/>
          <w:color w:val="000000"/>
          <w:szCs w:val="18"/>
          <w:lang w:val="pt-BR"/>
        </w:rPr>
        <w:t>Uma licença Padrão do System Center 2012 por servidor para cada servidor que esteja executando</w:t>
      </w:r>
      <w:r w:rsidR="00F73784" w:rsidRPr="008D38F6">
        <w:rPr>
          <w:rFonts w:eastAsia="Calibri" w:cs="Tahoma"/>
          <w:color w:val="000000"/>
          <w:szCs w:val="18"/>
          <w:lang w:val="pt-BR"/>
        </w:rPr>
        <w:t> </w:t>
      </w:r>
      <w:r w:rsidRPr="008D38F6">
        <w:rPr>
          <w:rFonts w:eastAsia="Calibri" w:cs="Tahoma"/>
          <w:color w:val="000000"/>
          <w:szCs w:val="18"/>
          <w:lang w:val="pt-BR"/>
        </w:rPr>
        <w:t>o software SQL Server 2012 Parallel Data Warehouse</w:t>
      </w:r>
    </w:p>
    <w:p w:rsidR="000A30EE" w:rsidRPr="008D38F6" w:rsidRDefault="000A30EE" w:rsidP="000A30EE">
      <w:pPr>
        <w:numPr>
          <w:ilvl w:val="0"/>
          <w:numId w:val="67"/>
        </w:numPr>
        <w:spacing w:after="60"/>
        <w:ind w:left="1440"/>
        <w:rPr>
          <w:lang w:val="pt-BR"/>
        </w:rPr>
      </w:pPr>
      <w:r w:rsidRPr="008D38F6">
        <w:rPr>
          <w:rFonts w:eastAsia="Calibri" w:cs="Tahoma"/>
          <w:color w:val="000000"/>
          <w:szCs w:val="18"/>
          <w:lang w:val="pt-BR"/>
        </w:rPr>
        <w:t>Duas licenças Padrão do System Center 2012 por servidor para todos os outros servidores no</w:t>
      </w:r>
      <w:r w:rsidR="00F73784" w:rsidRPr="008D38F6">
        <w:rPr>
          <w:rFonts w:eastAsia="Calibri" w:cs="Tahoma"/>
          <w:szCs w:val="18"/>
          <w:lang w:val="pt-BR"/>
        </w:rPr>
        <w:t> </w:t>
      </w:r>
      <w:r w:rsidRPr="008D38F6">
        <w:rPr>
          <w:rFonts w:eastAsia="Calibri" w:cs="Tahoma"/>
          <w:color w:val="000000"/>
          <w:szCs w:val="18"/>
          <w:lang w:val="pt-BR"/>
        </w:rPr>
        <w:t>SQL</w:t>
      </w:r>
      <w:r w:rsidR="00F73784" w:rsidRPr="008D38F6">
        <w:rPr>
          <w:rFonts w:eastAsia="Calibri" w:cs="Tahoma"/>
          <w:color w:val="000000"/>
          <w:szCs w:val="18"/>
          <w:lang w:val="pt-BR"/>
        </w:rPr>
        <w:t> </w:t>
      </w:r>
      <w:r w:rsidRPr="008D38F6">
        <w:rPr>
          <w:rFonts w:eastAsia="Calibri" w:cs="Tahoma"/>
          <w:color w:val="000000"/>
          <w:szCs w:val="18"/>
          <w:lang w:val="pt-BR"/>
        </w:rPr>
        <w:t>Server 2012 Parallel Data Warehouse Appliance.</w:t>
      </w:r>
    </w:p>
    <w:p w:rsidR="000A30EE" w:rsidRPr="008D38F6" w:rsidRDefault="000A30EE" w:rsidP="00F73784">
      <w:pPr>
        <w:spacing w:after="60"/>
        <w:ind w:left="720"/>
        <w:rPr>
          <w:lang w:val="pt-BR"/>
        </w:rPr>
      </w:pPr>
      <w:r w:rsidRPr="008D38F6">
        <w:rPr>
          <w:rFonts w:eastAsia="Calibri" w:cs="Tahoma"/>
          <w:color w:val="000000"/>
          <w:szCs w:val="18"/>
          <w:lang w:val="pt-BR"/>
        </w:rPr>
        <w:t>O software poderá ser usado unicamente para oferecer suporte ao SQL Server 2012 Parallel Data Warehouse Appliance.</w:t>
      </w:r>
    </w:p>
    <w:p w:rsidR="000A30EE" w:rsidRPr="008D38F6" w:rsidRDefault="000A30EE" w:rsidP="000A30EE">
      <w:pPr>
        <w:spacing w:after="60"/>
        <w:ind w:firstLine="720"/>
        <w:rPr>
          <w:lang w:val="pt-BR"/>
        </w:rPr>
      </w:pPr>
    </w:p>
    <w:p w:rsidR="000A30EE" w:rsidRPr="008D38F6" w:rsidRDefault="000A30EE" w:rsidP="000A30EE">
      <w:pPr>
        <w:tabs>
          <w:tab w:val="left" w:pos="1440"/>
        </w:tabs>
        <w:spacing w:after="60"/>
        <w:ind w:left="720"/>
        <w:rPr>
          <w:lang w:val="pt-BR"/>
        </w:rPr>
      </w:pPr>
      <w:r w:rsidRPr="008D38F6">
        <w:rPr>
          <w:rFonts w:eastAsia="Calibri" w:cs="Tahoma"/>
          <w:b/>
          <w:color w:val="000000"/>
          <w:szCs w:val="18"/>
          <w:lang w:val="pt-BR"/>
        </w:rPr>
        <w:t>Para os clientes com Software Assurance que optaram pela não renovação</w:t>
      </w:r>
    </w:p>
    <w:p w:rsidR="000A30EE" w:rsidRPr="008D38F6" w:rsidRDefault="000A30EE" w:rsidP="000A30EE">
      <w:pPr>
        <w:tabs>
          <w:tab w:val="left" w:pos="1440"/>
        </w:tabs>
        <w:ind w:left="720"/>
        <w:rPr>
          <w:lang w:val="pt-BR"/>
        </w:rPr>
      </w:pPr>
      <w:r w:rsidRPr="008D38F6">
        <w:rPr>
          <w:rFonts w:eastAsia="Calibri" w:cs="Tahoma"/>
          <w:color w:val="000000"/>
          <w:szCs w:val="18"/>
          <w:lang w:val="pt-BR"/>
        </w:rPr>
        <w:t xml:space="preserve">Os clientes do Enterprise Subscription com cobertura a partir de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março de 2013 que optarem por comprar licenças de processador e quaisquer outros clientes que adquirirem licenças de qualificação perpétuas sob este contrato e optarem por não renovar o Software Assurance poderão executar o SQL</w:t>
      </w:r>
      <w:r w:rsidR="00F73784" w:rsidRPr="008D38F6">
        <w:rPr>
          <w:rFonts w:eastAsia="Calibri" w:cs="Tahoma"/>
          <w:color w:val="000000"/>
          <w:szCs w:val="18"/>
          <w:lang w:val="pt-BR"/>
        </w:rPr>
        <w:t> </w:t>
      </w:r>
      <w:r w:rsidRPr="008D38F6">
        <w:rPr>
          <w:rFonts w:eastAsia="Calibri" w:cs="Tahoma"/>
          <w:color w:val="000000"/>
          <w:szCs w:val="18"/>
          <w:lang w:val="pt-BR"/>
        </w:rPr>
        <w:t>Server 2008 R2 ou SQL Server 2012 sob essas licenças da seguinte forma:</w:t>
      </w:r>
    </w:p>
    <w:p w:rsidR="000A30EE" w:rsidRPr="008D38F6" w:rsidRDefault="000A30EE" w:rsidP="000A30EE">
      <w:pPr>
        <w:tabs>
          <w:tab w:val="left" w:pos="1440"/>
        </w:tabs>
        <w:ind w:left="720"/>
        <w:rPr>
          <w:lang w:val="pt-BR"/>
        </w:rPr>
      </w:pPr>
    </w:p>
    <w:p w:rsidR="000A30EE" w:rsidRPr="008D38F6" w:rsidRDefault="000A30EE" w:rsidP="000A30EE">
      <w:pPr>
        <w:numPr>
          <w:ilvl w:val="0"/>
          <w:numId w:val="67"/>
        </w:numPr>
        <w:spacing w:after="60"/>
        <w:ind w:left="1440"/>
        <w:rPr>
          <w:lang w:val="pt-BR"/>
        </w:rPr>
      </w:pPr>
      <w:r w:rsidRPr="008D38F6">
        <w:rPr>
          <w:rFonts w:eastAsia="Calibri" w:cs="Tahoma"/>
          <w:b/>
          <w:color w:val="000000"/>
          <w:szCs w:val="18"/>
          <w:lang w:val="pt-BR"/>
        </w:rPr>
        <w:t>SQL Server 2008 R2 Parallel Data Warehouse:</w:t>
      </w:r>
      <w:r w:rsidRPr="008D38F6">
        <w:rPr>
          <w:rFonts w:eastAsia="Calibri" w:cs="Tahoma"/>
          <w:color w:val="000000"/>
          <w:szCs w:val="18"/>
          <w:lang w:val="pt-BR"/>
        </w:rPr>
        <w:t xml:space="preserve"> O uso contínuo do referido software está sujeito aos direitos de uso do produto de licença do SQL</w:t>
      </w:r>
      <w:r w:rsidR="008D0E85" w:rsidRPr="008D38F6">
        <w:rPr>
          <w:rFonts w:eastAsia="Calibri" w:cs="Tahoma"/>
          <w:color w:val="000000"/>
          <w:szCs w:val="18"/>
          <w:lang w:val="pt-BR"/>
        </w:rPr>
        <w:t xml:space="preserve"> Server 2008 R2.</w:t>
      </w:r>
    </w:p>
    <w:p w:rsidR="000A30EE" w:rsidRPr="008D38F6" w:rsidRDefault="000A30EE" w:rsidP="000A30EE">
      <w:pPr>
        <w:numPr>
          <w:ilvl w:val="0"/>
          <w:numId w:val="67"/>
        </w:numPr>
        <w:tabs>
          <w:tab w:val="left" w:pos="1800"/>
        </w:tabs>
        <w:spacing w:after="60"/>
        <w:ind w:left="1440"/>
        <w:rPr>
          <w:lang w:val="pt-BR"/>
        </w:rPr>
      </w:pPr>
      <w:r w:rsidRPr="008D38F6">
        <w:rPr>
          <w:rFonts w:eastAsia="Calibri" w:cs="Tahoma"/>
          <w:b/>
          <w:color w:val="000000"/>
          <w:szCs w:val="18"/>
          <w:lang w:val="pt-BR"/>
        </w:rPr>
        <w:t xml:space="preserve">SQL Server 2012 Parallel Data Warehouse: </w:t>
      </w:r>
      <w:r w:rsidRPr="008D38F6">
        <w:rPr>
          <w:rFonts w:eastAsia="Calibri" w:cs="Tahoma"/>
          <w:color w:val="000000"/>
          <w:szCs w:val="18"/>
          <w:lang w:val="pt-BR"/>
        </w:rPr>
        <w:t>O uso desta versão do software está sujeito aos</w:t>
      </w:r>
      <w:r w:rsidR="00F73784" w:rsidRPr="008D38F6">
        <w:rPr>
          <w:rFonts w:eastAsia="Calibri" w:cs="Tahoma"/>
          <w:szCs w:val="18"/>
          <w:lang w:val="pt-BR"/>
        </w:rPr>
        <w:t> </w:t>
      </w:r>
      <w:r w:rsidRPr="008D38F6">
        <w:rPr>
          <w:rFonts w:eastAsia="Calibri" w:cs="Tahoma"/>
          <w:color w:val="000000"/>
          <w:szCs w:val="18"/>
          <w:lang w:val="pt-BR"/>
        </w:rPr>
        <w:t>direitos de uso do produto do SQL Serve</w:t>
      </w:r>
      <w:r w:rsidR="008D0E85" w:rsidRPr="008D38F6">
        <w:rPr>
          <w:rFonts w:eastAsia="Calibri" w:cs="Tahoma"/>
          <w:color w:val="000000"/>
          <w:szCs w:val="18"/>
          <w:lang w:val="pt-BR"/>
        </w:rPr>
        <w:t>r 2012 Parallel Data Warehouse.</w:t>
      </w:r>
    </w:p>
    <w:p w:rsidR="000A30EE" w:rsidRPr="008D38F6" w:rsidRDefault="000A30EE" w:rsidP="000A30EE">
      <w:pPr>
        <w:spacing w:after="60"/>
        <w:rPr>
          <w:lang w:val="pt-BR"/>
        </w:rPr>
      </w:pPr>
    </w:p>
    <w:p w:rsidR="000A30EE" w:rsidRPr="008D38F6" w:rsidRDefault="000A30EE" w:rsidP="000A30EE">
      <w:pPr>
        <w:ind w:left="720"/>
        <w:rPr>
          <w:lang w:val="pt-BR"/>
        </w:rPr>
      </w:pPr>
      <w:r w:rsidRPr="008D38F6">
        <w:rPr>
          <w:rFonts w:cs="Tahoma"/>
          <w:color w:val="000000"/>
          <w:szCs w:val="24"/>
          <w:lang w:val="pt-BR"/>
        </w:rPr>
        <w:t>Todas as licenças do SQL Server Parallel Data Warehouse e System Center outorgadas sob esta oferta incluirão cobertura do Software Assurance. Essa cobertura se encerrará no término da cobertura de qualificação de Software Assurance correspondente. Ao término dessa cobertura, os clientes poderão renovar o Software Assurance sobre a</w:t>
      </w:r>
      <w:r w:rsidR="008D0E85" w:rsidRPr="008D38F6">
        <w:rPr>
          <w:rFonts w:cs="Tahoma"/>
          <w:color w:val="000000"/>
          <w:szCs w:val="24"/>
          <w:lang w:val="pt-BR"/>
        </w:rPr>
        <w:t>s licenças outorgadas.</w:t>
      </w:r>
    </w:p>
    <w:p w:rsidR="000A30EE" w:rsidRPr="008D38F6" w:rsidRDefault="000A30EE" w:rsidP="000A30EE">
      <w:pPr>
        <w:ind w:left="720"/>
        <w:rPr>
          <w:lang w:val="pt-BR"/>
        </w:rPr>
      </w:pPr>
    </w:p>
    <w:p w:rsidR="000A30EE" w:rsidRPr="008D38F6" w:rsidRDefault="000A30EE" w:rsidP="008D0E85">
      <w:pPr>
        <w:ind w:left="720"/>
        <w:rPr>
          <w:lang w:val="pt-BR"/>
        </w:rPr>
      </w:pPr>
      <w:r w:rsidRPr="008D38F6">
        <w:rPr>
          <w:rFonts w:cs="Tahoma"/>
          <w:color w:val="000000"/>
          <w:szCs w:val="24"/>
          <w:lang w:val="pt-BR"/>
        </w:rPr>
        <w:t>O uso do software por um cliente sob esta oferta está sujeito aos termos e condições de seu contrato de</w:t>
      </w:r>
      <w:r w:rsidR="008D0E85" w:rsidRPr="008D38F6">
        <w:rPr>
          <w:rFonts w:cs="Tahoma"/>
          <w:color w:val="000000"/>
          <w:szCs w:val="24"/>
          <w:lang w:val="pt-BR"/>
        </w:rPr>
        <w:t> </w:t>
      </w:r>
      <w:r w:rsidRPr="008D38F6">
        <w:rPr>
          <w:rFonts w:cs="Tahoma"/>
          <w:color w:val="000000"/>
          <w:szCs w:val="24"/>
          <w:lang w:val="pt-BR"/>
        </w:rPr>
        <w:t>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2021 Parallel Data Warehouse e System Center 2012 sob os termos desta oferta. Os clientes não poderão transferir as licenças outorgadas sob esta oferta separadamente das licenças qualificadas correspondentes.</w:t>
      </w:r>
    </w:p>
    <w:p w:rsidR="00A81E83" w:rsidRPr="008D38F6" w:rsidRDefault="00A81E83" w:rsidP="00C321B6">
      <w:pPr>
        <w:tabs>
          <w:tab w:val="left" w:pos="2970"/>
        </w:tabs>
        <w:ind w:left="1440"/>
        <w:rPr>
          <w:lang w:val="pt-BR"/>
        </w:rPr>
      </w:pPr>
      <w:bookmarkStart w:id="1418" w:name="Srv_90SQLServer2012Standard"/>
    </w:p>
    <w:p w:rsidR="004815F3" w:rsidRPr="008D38F6" w:rsidRDefault="004815F3" w:rsidP="00C321B6">
      <w:pPr>
        <w:tabs>
          <w:tab w:val="left" w:pos="2970"/>
        </w:tabs>
        <w:ind w:left="1440"/>
        <w:rPr>
          <w:lang w:val="pt-BR"/>
        </w:rPr>
      </w:pPr>
    </w:p>
    <w:p w:rsidR="00A81E83" w:rsidRPr="00416070" w:rsidRDefault="00AF6526" w:rsidP="00EF5637">
      <w:pPr>
        <w:pStyle w:val="Heading3"/>
      </w:pPr>
      <w:bookmarkStart w:id="1419" w:name="_82_SQL_Server®"/>
      <w:bookmarkStart w:id="1420" w:name="_Toc336338348"/>
      <w:bookmarkStart w:id="1421" w:name="_Toc352234408"/>
      <w:bookmarkEnd w:id="1419"/>
      <w:r w:rsidRPr="00416070">
        <w:rPr>
          <w:rFonts w:ascii="Tahoma" w:hAnsi="Tahoma"/>
          <w:caps/>
          <w:color w:val="F66400"/>
          <w:sz w:val="22"/>
          <w:vertAlign w:val="superscript"/>
        </w:rPr>
        <w:t>82</w:t>
      </w:r>
      <w:r w:rsidRPr="00416070">
        <w:rPr>
          <w:rFonts w:ascii="Tahoma" w:hAnsi="Tahoma"/>
          <w:color w:val="F66400"/>
          <w:sz w:val="22"/>
        </w:rPr>
        <w:t xml:space="preserve"> SQL Server</w:t>
      </w:r>
      <w:r w:rsidR="00510A6E" w:rsidRPr="00416070">
        <w:rPr>
          <w:rFonts w:ascii="Tahoma" w:hAnsi="Tahoma"/>
          <w:color w:val="F66400"/>
          <w:sz w:val="22"/>
          <w:vertAlign w:val="superscript"/>
        </w:rPr>
        <w:t>®</w:t>
      </w:r>
      <w:r w:rsidRPr="00416070">
        <w:rPr>
          <w:rFonts w:ascii="Tahoma" w:hAnsi="Tahoma"/>
          <w:color w:val="F66400"/>
          <w:sz w:val="22"/>
        </w:rPr>
        <w:t xml:space="preserve"> 2012 Standard</w:t>
      </w:r>
      <w:bookmarkEnd w:id="1420"/>
      <w:bookmarkEnd w:id="1421"/>
      <w:r w:rsidRPr="00416070">
        <w:rPr>
          <w:rFonts w:ascii="Tahoma" w:hAnsi="Tahoma"/>
          <w:color w:val="F66400"/>
          <w:sz w:val="22"/>
        </w:rPr>
        <w:t xml:space="preserve"> </w:t>
      </w:r>
    </w:p>
    <w:bookmarkEnd w:id="1418"/>
    <w:p w:rsidR="00A81E83" w:rsidRPr="00416070" w:rsidRDefault="00A81E83" w:rsidP="00204D6D">
      <w:pPr>
        <w:pStyle w:val="EndnoteText"/>
        <w:ind w:left="0"/>
      </w:pPr>
    </w:p>
    <w:p w:rsidR="00A81E83" w:rsidRPr="008D38F6" w:rsidRDefault="00A81E83" w:rsidP="00204D6D">
      <w:pPr>
        <w:ind w:left="720"/>
        <w:rPr>
          <w:lang w:val="pt-BR"/>
        </w:rPr>
      </w:pPr>
      <w:r w:rsidRPr="008D38F6">
        <w:rPr>
          <w:rFonts w:eastAsia="Calibri" w:cs="Tahoma"/>
          <w:szCs w:val="18"/>
          <w:lang w:val="pt-BR"/>
        </w:rPr>
        <w:t>O SQL Server 2012 Standard é a próxima versão do SQL Server Standard, e a CAL do SQL Server 2012 é</w:t>
      </w:r>
      <w:r w:rsidR="00F73784" w:rsidRPr="008D38F6">
        <w:rPr>
          <w:rFonts w:eastAsia="Calibri" w:cs="Tahoma"/>
          <w:szCs w:val="18"/>
          <w:lang w:val="pt-BR"/>
        </w:rPr>
        <w:t> </w:t>
      </w:r>
      <w:r w:rsidRPr="008D38F6">
        <w:rPr>
          <w:rFonts w:eastAsia="Calibri" w:cs="Tahoma"/>
          <w:szCs w:val="18"/>
          <w:lang w:val="pt-BR"/>
        </w:rPr>
        <w:t>a</w:t>
      </w:r>
      <w:r w:rsidR="00F73784" w:rsidRPr="008D38F6">
        <w:rPr>
          <w:rFonts w:eastAsia="Calibri" w:cs="Tahoma"/>
          <w:szCs w:val="18"/>
          <w:lang w:val="pt-BR"/>
        </w:rPr>
        <w:t> </w:t>
      </w:r>
      <w:r w:rsidRPr="008D38F6">
        <w:rPr>
          <w:rFonts w:eastAsia="Calibri" w:cs="Tahoma"/>
          <w:szCs w:val="18"/>
          <w:lang w:val="pt-BR"/>
        </w:rPr>
        <w:t>próxima versão da CAL do SQL Server.</w:t>
      </w:r>
    </w:p>
    <w:p w:rsidR="00204D6D" w:rsidRPr="008D38F6" w:rsidRDefault="00204D6D" w:rsidP="00204D6D">
      <w:pPr>
        <w:ind w:left="720"/>
        <w:rPr>
          <w:lang w:val="pt-BR"/>
        </w:rPr>
      </w:pPr>
    </w:p>
    <w:p w:rsidR="00A81E83" w:rsidRPr="00416070" w:rsidRDefault="0099402E" w:rsidP="00EF5637">
      <w:pPr>
        <w:pStyle w:val="Heading3"/>
      </w:pPr>
      <w:bookmarkStart w:id="1422" w:name="_85_83_SQL"/>
      <w:bookmarkStart w:id="1423" w:name="_Toc336338349"/>
      <w:bookmarkStart w:id="1424" w:name="_Toc352234409"/>
      <w:bookmarkStart w:id="1425" w:name="Srv_91SQLServer2012StandardCore"/>
      <w:bookmarkEnd w:id="1422"/>
      <w:r w:rsidRPr="00416070">
        <w:rPr>
          <w:rFonts w:ascii="Tahoma" w:hAnsi="Tahoma" w:cs="Tahoma"/>
          <w:caps/>
          <w:color w:val="F66400"/>
          <w:sz w:val="22"/>
          <w:vertAlign w:val="superscript"/>
        </w:rPr>
        <w:t>83</w:t>
      </w:r>
      <w:r w:rsidRPr="00416070">
        <w:rPr>
          <w:rFonts w:ascii="Tahoma" w:hAnsi="Tahoma" w:cs="Tahoma"/>
          <w:color w:val="F66400"/>
          <w:sz w:val="22"/>
        </w:rPr>
        <w:t xml:space="preserve"> SQL Server</w:t>
      </w:r>
      <w:r w:rsidR="00510A6E" w:rsidRPr="00416070">
        <w:rPr>
          <w:rFonts w:ascii="Tahoma" w:hAnsi="Tahoma" w:cs="Tahoma"/>
          <w:color w:val="F66400"/>
          <w:sz w:val="22"/>
          <w:vertAlign w:val="superscript"/>
        </w:rPr>
        <w:t>®</w:t>
      </w:r>
      <w:r w:rsidRPr="00416070">
        <w:rPr>
          <w:rFonts w:ascii="Tahoma" w:hAnsi="Tahoma" w:cs="Tahoma"/>
          <w:color w:val="F66400"/>
          <w:sz w:val="22"/>
        </w:rPr>
        <w:t xml:space="preserve"> 2012 Standard</w:t>
      </w:r>
      <w:r w:rsidRPr="00416070">
        <w:rPr>
          <w:rFonts w:ascii="Tahoma" w:eastAsia="Calibri" w:hAnsi="Tahoma" w:cs="Tahoma"/>
          <w:color w:val="F66400"/>
          <w:sz w:val="22"/>
          <w:szCs w:val="18"/>
        </w:rPr>
        <w:t xml:space="preserve"> Core</w:t>
      </w:r>
      <w:bookmarkEnd w:id="1423"/>
      <w:bookmarkEnd w:id="1424"/>
    </w:p>
    <w:bookmarkEnd w:id="1425"/>
    <w:p w:rsidR="00A81E83" w:rsidRPr="008D38F6" w:rsidRDefault="00A81E83" w:rsidP="0026723A">
      <w:pPr>
        <w:rPr>
          <w:lang w:val="pt-BR"/>
        </w:rPr>
      </w:pPr>
    </w:p>
    <w:p w:rsidR="0026723A" w:rsidRPr="008D38F6" w:rsidRDefault="00A81E83" w:rsidP="0026723A">
      <w:pPr>
        <w:spacing w:after="60"/>
        <w:ind w:left="720"/>
        <w:rPr>
          <w:lang w:val="pt-BR"/>
        </w:rPr>
      </w:pPr>
      <w:r w:rsidRPr="008D38F6">
        <w:rPr>
          <w:rFonts w:eastAsia="Calibri" w:cs="Tahoma"/>
          <w:b/>
          <w:szCs w:val="18"/>
          <w:lang w:val="pt-BR"/>
        </w:rPr>
        <w:t>Outorgas de Licença Associadas à Alteração no Modelo de Licenciamento</w:t>
      </w:r>
    </w:p>
    <w:p w:rsidR="00A81E83" w:rsidRPr="008D38F6" w:rsidRDefault="00A81E83" w:rsidP="008D0E85">
      <w:pPr>
        <w:ind w:left="720"/>
        <w:rPr>
          <w:spacing w:val="-1"/>
          <w:lang w:val="pt-BR"/>
        </w:rPr>
      </w:pPr>
      <w:r w:rsidRPr="008D38F6">
        <w:rPr>
          <w:rFonts w:eastAsia="Calibri" w:cs="Tahoma"/>
          <w:color w:val="000000"/>
          <w:spacing w:val="-1"/>
          <w:szCs w:val="18"/>
          <w:lang w:val="pt-BR"/>
        </w:rPr>
        <w:t>O SQL Server 2008 R2 será a última versão do SQL Server licenciada sob o modelo de licenciamento por</w:t>
      </w:r>
      <w:r w:rsidR="008D0E85" w:rsidRPr="008D38F6">
        <w:rPr>
          <w:rFonts w:eastAsia="Calibri" w:cs="Tahoma"/>
          <w:color w:val="000000"/>
          <w:spacing w:val="-1"/>
          <w:szCs w:val="18"/>
          <w:lang w:val="pt-BR"/>
        </w:rPr>
        <w:t> </w:t>
      </w:r>
      <w:r w:rsidRPr="008D38F6">
        <w:rPr>
          <w:rFonts w:eastAsia="Calibri" w:cs="Tahoma"/>
          <w:color w:val="000000"/>
          <w:spacing w:val="-1"/>
          <w:szCs w:val="18"/>
          <w:lang w:val="pt-BR"/>
        </w:rPr>
        <w:t>processador.</w:t>
      </w:r>
      <w:r w:rsidR="00FB5496" w:rsidRPr="008D38F6">
        <w:rPr>
          <w:rFonts w:eastAsia="Calibri" w:cs="Tahoma"/>
          <w:color w:val="000000"/>
          <w:spacing w:val="-1"/>
          <w:szCs w:val="18"/>
          <w:lang w:val="pt-BR"/>
        </w:rPr>
        <w:t xml:space="preserve"> </w:t>
      </w:r>
      <w:r w:rsidRPr="008D38F6">
        <w:rPr>
          <w:rFonts w:eastAsia="Calibri" w:cs="Tahoma"/>
          <w:color w:val="000000"/>
          <w:spacing w:val="-1"/>
          <w:szCs w:val="18"/>
          <w:lang w:val="pt-BR"/>
        </w:rPr>
        <w:t xml:space="preserve">Como uma exceção, aos clientes de licenciamento por volume com Software Assurance ativo para licenças do processador do SQL Server 2008 R2 Standard em </w:t>
      </w:r>
      <w:r w:rsidR="00EB0F1B" w:rsidRPr="008D38F6">
        <w:rPr>
          <w:rFonts w:eastAsia="Calibri" w:cs="Tahoma"/>
          <w:color w:val="000000"/>
          <w:spacing w:val="-1"/>
          <w:szCs w:val="18"/>
          <w:lang w:val="pt-BR"/>
        </w:rPr>
        <w:t>1</w:t>
      </w:r>
      <w:r w:rsidR="00EB0F1B" w:rsidRPr="008D38F6">
        <w:rPr>
          <w:rFonts w:eastAsia="Calibri" w:cs="Tahoma"/>
          <w:color w:val="000000"/>
          <w:spacing w:val="-1"/>
          <w:szCs w:val="18"/>
          <w:vertAlign w:val="superscript"/>
          <w:lang w:val="pt-BR"/>
        </w:rPr>
        <w:t>º</w:t>
      </w:r>
      <w:r w:rsidRPr="008D38F6">
        <w:rPr>
          <w:rFonts w:eastAsia="Calibri" w:cs="Tahoma"/>
          <w:color w:val="000000"/>
          <w:spacing w:val="-1"/>
          <w:szCs w:val="18"/>
          <w:lang w:val="pt-BR"/>
        </w:rPr>
        <w:t xml:space="preserve"> de abril de 2012 (“licenças qualificadas”) são concedidas as seguintes opções. As licenças do processador do SQL Server 2008 R2 Standard </w:t>
      </w:r>
      <w:r w:rsidRPr="008D38F6">
        <w:rPr>
          <w:rFonts w:cs="Tahoma"/>
          <w:bCs/>
          <w:color w:val="000000"/>
          <w:spacing w:val="-1"/>
          <w:szCs w:val="18"/>
          <w:lang w:val="pt-BR"/>
        </w:rPr>
        <w:t xml:space="preserve">adquiridas posteriormente no mesmo prazo de registro, mas antes de </w:t>
      </w:r>
      <w:r w:rsidR="00EB0F1B" w:rsidRPr="008D38F6">
        <w:rPr>
          <w:rFonts w:cs="Tahoma"/>
          <w:bCs/>
          <w:color w:val="000000"/>
          <w:spacing w:val="-1"/>
          <w:szCs w:val="18"/>
          <w:lang w:val="pt-BR"/>
        </w:rPr>
        <w:t>1</w:t>
      </w:r>
      <w:r w:rsidR="00EB0F1B" w:rsidRPr="008D38F6">
        <w:rPr>
          <w:rFonts w:cs="Tahoma"/>
          <w:bCs/>
          <w:color w:val="000000"/>
          <w:spacing w:val="-1"/>
          <w:szCs w:val="18"/>
          <w:vertAlign w:val="superscript"/>
          <w:lang w:val="pt-BR"/>
        </w:rPr>
        <w:t>º</w:t>
      </w:r>
      <w:r w:rsidRPr="008D38F6">
        <w:rPr>
          <w:rFonts w:cs="Tahoma"/>
          <w:bCs/>
          <w:color w:val="000000"/>
          <w:spacing w:val="-1"/>
          <w:szCs w:val="18"/>
          <w:lang w:val="pt-BR"/>
        </w:rPr>
        <w:t xml:space="preserve"> de abril de 2015 como parte de um processo de adequação (“true-up”) programado do cliente Enterprise, Enterprise Subscription, Open Value Subscription ou EES também são “licenças qualificadas” para fins dessas opções.</w:t>
      </w:r>
      <w:r w:rsidR="00FB5496" w:rsidRPr="008D38F6">
        <w:rPr>
          <w:rFonts w:cs="Tahoma"/>
          <w:bCs/>
          <w:color w:val="000000"/>
          <w:spacing w:val="-1"/>
          <w:szCs w:val="18"/>
          <w:lang w:val="pt-BR"/>
        </w:rPr>
        <w:t xml:space="preserve"> </w:t>
      </w:r>
      <w:r w:rsidRPr="008D38F6">
        <w:rPr>
          <w:rFonts w:cs="Tahoma"/>
          <w:bCs/>
          <w:color w:val="000000"/>
          <w:spacing w:val="-1"/>
          <w:szCs w:val="18"/>
          <w:lang w:val="pt-BR"/>
        </w:rPr>
        <w:t xml:space="preserve">As licenças adquiridas depois de </w:t>
      </w:r>
      <w:r w:rsidR="00EB0F1B" w:rsidRPr="008D38F6">
        <w:rPr>
          <w:rFonts w:cs="Tahoma"/>
          <w:bCs/>
          <w:color w:val="000000"/>
          <w:spacing w:val="-1"/>
          <w:szCs w:val="18"/>
          <w:lang w:val="pt-BR"/>
        </w:rPr>
        <w:t>1</w:t>
      </w:r>
      <w:r w:rsidR="00EB0F1B" w:rsidRPr="008D38F6">
        <w:rPr>
          <w:rFonts w:cs="Tahoma"/>
          <w:bCs/>
          <w:color w:val="000000"/>
          <w:spacing w:val="-1"/>
          <w:szCs w:val="18"/>
          <w:vertAlign w:val="superscript"/>
          <w:lang w:val="pt-BR"/>
        </w:rPr>
        <w:t>º</w:t>
      </w:r>
      <w:r w:rsidRPr="008D38F6">
        <w:rPr>
          <w:rFonts w:cs="Tahoma"/>
          <w:bCs/>
          <w:color w:val="000000"/>
          <w:spacing w:val="-1"/>
          <w:szCs w:val="18"/>
          <w:lang w:val="pt-BR"/>
        </w:rPr>
        <w:t xml:space="preserve"> de abril de 2015 ou sob um prazo de registro subsequente, um contrato separado ou qualquer registro com uma data de início de vigência após </w:t>
      </w:r>
      <w:r w:rsidR="00EB0F1B" w:rsidRPr="008D38F6">
        <w:rPr>
          <w:rFonts w:cs="Tahoma"/>
          <w:bCs/>
          <w:color w:val="000000"/>
          <w:spacing w:val="-1"/>
          <w:szCs w:val="18"/>
          <w:lang w:val="pt-BR"/>
        </w:rPr>
        <w:t>1</w:t>
      </w:r>
      <w:r w:rsidR="00EB0F1B" w:rsidRPr="008D38F6">
        <w:rPr>
          <w:rFonts w:cs="Tahoma"/>
          <w:bCs/>
          <w:color w:val="000000"/>
          <w:spacing w:val="-1"/>
          <w:szCs w:val="18"/>
          <w:vertAlign w:val="superscript"/>
          <w:lang w:val="pt-BR"/>
        </w:rPr>
        <w:t>º</w:t>
      </w:r>
      <w:r w:rsidRPr="008D38F6">
        <w:rPr>
          <w:rFonts w:cs="Tahoma"/>
          <w:bCs/>
          <w:color w:val="000000"/>
          <w:spacing w:val="-1"/>
          <w:szCs w:val="18"/>
          <w:lang w:val="pt-BR"/>
        </w:rPr>
        <w:t xml:space="preserve"> de abril de 2012 não são licenças qualificadas.</w:t>
      </w:r>
    </w:p>
    <w:p w:rsidR="0026723A" w:rsidRPr="008D38F6" w:rsidRDefault="0026723A" w:rsidP="0026723A">
      <w:pPr>
        <w:ind w:left="720"/>
        <w:rPr>
          <w:lang w:val="pt-BR"/>
        </w:rPr>
      </w:pPr>
    </w:p>
    <w:p w:rsidR="0026723A" w:rsidRPr="008D38F6" w:rsidRDefault="0026723A" w:rsidP="0026723A">
      <w:pPr>
        <w:spacing w:after="60"/>
        <w:ind w:left="720"/>
        <w:rPr>
          <w:lang w:val="pt-BR"/>
        </w:rPr>
      </w:pPr>
      <w:r w:rsidRPr="008D38F6">
        <w:rPr>
          <w:rFonts w:eastAsia="Calibri" w:cs="Tahoma"/>
          <w:b/>
          <w:szCs w:val="18"/>
          <w:lang w:val="pt-BR"/>
        </w:rPr>
        <w:t>Prazo Atual</w:t>
      </w:r>
    </w:p>
    <w:p w:rsidR="00A81E83" w:rsidRPr="008D38F6" w:rsidRDefault="00A81E83" w:rsidP="0026723A">
      <w:pPr>
        <w:ind w:left="720"/>
        <w:rPr>
          <w:lang w:val="pt-BR"/>
        </w:rPr>
      </w:pPr>
      <w:r w:rsidRPr="008D38F6">
        <w:rPr>
          <w:rFonts w:eastAsia="Calibri" w:cs="Tahoma"/>
          <w:szCs w:val="18"/>
          <w:lang w:val="pt-BR"/>
        </w:rPr>
        <w:t xml:space="preserve">Durante o prazo atual da sua cobertura de Software Assurance a partir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2012, os clientes (incluindo aqueles sob contratos de assinatura) podem, sob qualquer licença qualificada, atualizar e usar o</w:t>
      </w:r>
      <w:r w:rsidR="00F73784" w:rsidRPr="008D38F6">
        <w:rPr>
          <w:rFonts w:eastAsia="Calibri" w:cs="Tahoma"/>
          <w:szCs w:val="18"/>
          <w:lang w:val="pt-BR"/>
        </w:rPr>
        <w:t> </w:t>
      </w:r>
      <w:r w:rsidRPr="008D38F6">
        <w:rPr>
          <w:rFonts w:eastAsia="Calibri" w:cs="Tahoma"/>
          <w:szCs w:val="18"/>
          <w:lang w:val="pt-BR"/>
        </w:rPr>
        <w:t>SQL Server 2012 Standard Core em vez do SQL Server 2008 R2 Standard sujeito aos direitos de uso do produto de licença do processador do SQL Server 2008 R2 Standard (conforme os Direitos de Uso do Produto de janeiro de 2012). Aos clientes são concedidos direitos adicionais sob a Mobilidade de Licença por</w:t>
      </w:r>
      <w:r w:rsidR="00F73784" w:rsidRPr="008D38F6">
        <w:rPr>
          <w:rFonts w:eastAsia="Calibri" w:cs="Tahoma"/>
          <w:szCs w:val="18"/>
          <w:lang w:val="pt-BR"/>
        </w:rPr>
        <w:t> </w:t>
      </w:r>
      <w:r w:rsidRPr="008D38F6">
        <w:rPr>
          <w:rFonts w:eastAsia="Calibri" w:cs="Tahoma"/>
          <w:szCs w:val="18"/>
          <w:lang w:val="pt-BR"/>
        </w:rPr>
        <w:t>meio de Software Assurance e Mobilidade de Licença nos Farms de Servidores.</w:t>
      </w:r>
      <w:r w:rsidR="00FB5496" w:rsidRPr="008D38F6">
        <w:rPr>
          <w:rFonts w:eastAsia="Calibri" w:cs="Tahoma"/>
          <w:szCs w:val="18"/>
          <w:lang w:val="pt-BR"/>
        </w:rPr>
        <w:t xml:space="preserve"> </w:t>
      </w:r>
      <w:r w:rsidRPr="008D38F6">
        <w:rPr>
          <w:rFonts w:eastAsia="Calibri" w:cs="Tahoma"/>
          <w:szCs w:val="18"/>
          <w:lang w:val="pt-BR"/>
        </w:rPr>
        <w:t>Os clientes devem consultar os Direitos de Uso do Produto para SQL Server 2012 Standard Core quanto aos termos de licença</w:t>
      </w:r>
      <w:r w:rsidR="00F73784" w:rsidRPr="008D38F6">
        <w:rPr>
          <w:rFonts w:eastAsia="Calibri" w:cs="Tahoma"/>
          <w:szCs w:val="18"/>
          <w:lang w:val="pt-BR"/>
        </w:rPr>
        <w:t> </w:t>
      </w:r>
      <w:r w:rsidRPr="008D38F6">
        <w:rPr>
          <w:rFonts w:eastAsia="Calibri" w:cs="Tahoma"/>
          <w:szCs w:val="18"/>
          <w:lang w:val="pt-BR"/>
        </w:rPr>
        <w:t>para Mobilidade de Licença.</w:t>
      </w:r>
    </w:p>
    <w:p w:rsidR="0026723A" w:rsidRPr="008D38F6" w:rsidRDefault="0026723A" w:rsidP="0026723A">
      <w:pPr>
        <w:ind w:left="720"/>
        <w:rPr>
          <w:lang w:val="pt-BR"/>
        </w:rPr>
      </w:pPr>
    </w:p>
    <w:p w:rsidR="0020393F" w:rsidRPr="008D38F6" w:rsidRDefault="0020393F" w:rsidP="0026723A">
      <w:pPr>
        <w:ind w:left="720"/>
        <w:rPr>
          <w:lang w:val="pt-BR"/>
        </w:rPr>
      </w:pPr>
    </w:p>
    <w:p w:rsidR="0026723A" w:rsidRPr="008D38F6" w:rsidRDefault="00A81E83" w:rsidP="0026723A">
      <w:pPr>
        <w:spacing w:after="60"/>
        <w:ind w:left="720"/>
        <w:rPr>
          <w:lang w:val="pt-BR"/>
        </w:rPr>
      </w:pPr>
      <w:r w:rsidRPr="008D38F6">
        <w:rPr>
          <w:rFonts w:eastAsia="Calibri" w:cs="Tahoma"/>
          <w:b/>
          <w:szCs w:val="18"/>
          <w:lang w:val="pt-BR"/>
        </w:rPr>
        <w:t xml:space="preserve">Primeiro Prazo de Renovação (antes de </w:t>
      </w:r>
      <w:r w:rsidR="00EB0F1B" w:rsidRPr="008D38F6">
        <w:rPr>
          <w:rFonts w:eastAsia="Calibri" w:cs="Tahoma"/>
          <w:b/>
          <w:szCs w:val="18"/>
          <w:lang w:val="pt-BR"/>
        </w:rPr>
        <w:t>1</w:t>
      </w:r>
      <w:r w:rsidR="00EB0F1B" w:rsidRPr="008D38F6">
        <w:rPr>
          <w:rFonts w:eastAsia="Calibri" w:cs="Tahoma"/>
          <w:b/>
          <w:szCs w:val="18"/>
          <w:vertAlign w:val="superscript"/>
          <w:lang w:val="pt-BR"/>
        </w:rPr>
        <w:t>º</w:t>
      </w:r>
      <w:r w:rsidRPr="008D38F6">
        <w:rPr>
          <w:rFonts w:eastAsia="Calibri" w:cs="Tahoma"/>
          <w:b/>
          <w:szCs w:val="18"/>
          <w:lang w:val="pt-BR"/>
        </w:rPr>
        <w:t xml:space="preserve"> de abril de 2015)</w:t>
      </w:r>
    </w:p>
    <w:p w:rsidR="00A81E83" w:rsidRPr="008D38F6" w:rsidRDefault="00A81E83" w:rsidP="0026723A">
      <w:pPr>
        <w:ind w:left="720"/>
        <w:rPr>
          <w:lang w:val="pt-BR"/>
        </w:rPr>
      </w:pPr>
      <w:r w:rsidRPr="008D38F6">
        <w:rPr>
          <w:rFonts w:eastAsia="Calibri" w:cs="Tahoma"/>
          <w:szCs w:val="18"/>
          <w:lang w:val="pt-BR"/>
        </w:rPr>
        <w:t xml:space="preserve">Na sua primeira renovação de Software Assurance em ou depois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2012 (mas antes de </w:t>
      </w:r>
      <w:r w:rsidR="00F73784" w:rsidRPr="008D38F6">
        <w:rPr>
          <w:rFonts w:eastAsia="Calibri" w:cs="Tahoma"/>
          <w:szCs w:val="18"/>
          <w:lang w:val="pt-BR"/>
        </w:rPr>
        <w:br/>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26723A" w:rsidRPr="008D38F6" w:rsidRDefault="0026723A" w:rsidP="0026723A">
      <w:pPr>
        <w:ind w:left="720"/>
        <w:rPr>
          <w:lang w:val="pt-BR"/>
        </w:rPr>
      </w:pPr>
    </w:p>
    <w:p w:rsidR="0026723A" w:rsidRPr="008D38F6" w:rsidRDefault="00A81E83" w:rsidP="0026723A">
      <w:pPr>
        <w:numPr>
          <w:ilvl w:val="0"/>
          <w:numId w:val="145"/>
        </w:numPr>
        <w:tabs>
          <w:tab w:val="left" w:pos="1440"/>
        </w:tabs>
        <w:spacing w:after="60"/>
        <w:ind w:left="1440"/>
        <w:rPr>
          <w:lang w:val="pt-BR"/>
        </w:rPr>
      </w:pPr>
      <w:r w:rsidRPr="008D38F6">
        <w:rPr>
          <w:rFonts w:eastAsia="Calibri" w:cs="Tahoma"/>
          <w:szCs w:val="18"/>
          <w:lang w:val="pt-BR"/>
        </w:rPr>
        <w:t>um número igual ao menor número de licenças qualificadas atribuído ao servidor ou o número total</w:t>
      </w:r>
      <w:r w:rsidR="00F73784" w:rsidRPr="008D38F6">
        <w:rPr>
          <w:rFonts w:eastAsia="Calibri" w:cs="Tahoma"/>
          <w:szCs w:val="18"/>
          <w:lang w:val="pt-BR"/>
        </w:rPr>
        <w:t> </w:t>
      </w:r>
      <w:r w:rsidRPr="008D38F6">
        <w:rPr>
          <w:rFonts w:eastAsia="Calibri" w:cs="Tahoma"/>
          <w:szCs w:val="18"/>
          <w:lang w:val="pt-BR"/>
        </w:rPr>
        <w:t xml:space="preserve">de processadores físicos no servidor multiplicado pelo maior de: </w:t>
      </w:r>
    </w:p>
    <w:p w:rsidR="00A81E83" w:rsidRPr="00416070" w:rsidRDefault="00A81E83" w:rsidP="0026723A">
      <w:pPr>
        <w:numPr>
          <w:ilvl w:val="3"/>
          <w:numId w:val="71"/>
        </w:numPr>
        <w:spacing w:after="60"/>
        <w:ind w:left="1800"/>
      </w:pPr>
      <w:r w:rsidRPr="00416070">
        <w:rPr>
          <w:rFonts w:eastAsia="Calibri" w:cs="Tahoma"/>
          <w:szCs w:val="18"/>
        </w:rPr>
        <w:t>Quatro OU</w:t>
      </w:r>
    </w:p>
    <w:p w:rsidR="00A81E83" w:rsidRPr="008D38F6" w:rsidRDefault="00A81E83" w:rsidP="0026723A">
      <w:pPr>
        <w:numPr>
          <w:ilvl w:val="3"/>
          <w:numId w:val="71"/>
        </w:numPr>
        <w:spacing w:after="60"/>
        <w:ind w:left="1800"/>
        <w:rPr>
          <w:lang w:val="pt-BR"/>
        </w:rPr>
      </w:pPr>
      <w:r w:rsidRPr="008D38F6">
        <w:rPr>
          <w:rFonts w:eastAsia="Calibri" w:cs="Tahoma"/>
          <w:szCs w:val="18"/>
          <w:lang w:val="pt-BR"/>
        </w:rPr>
        <w:t>o número real de núcleos por processador físico multiplicado pelo fator do núcleo apropriado.</w:t>
      </w:r>
      <w:r w:rsidR="00FB5496" w:rsidRPr="008D38F6">
        <w:rPr>
          <w:rFonts w:eastAsia="Calibri" w:cs="Tahoma"/>
          <w:szCs w:val="18"/>
          <w:lang w:val="pt-BR"/>
        </w:rPr>
        <w:t xml:space="preserve"> </w:t>
      </w:r>
      <w:r w:rsidRPr="008D38F6">
        <w:rPr>
          <w:rFonts w:eastAsia="Calibri" w:cs="Tahoma"/>
          <w:szCs w:val="18"/>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w:t>
      </w:r>
      <w:r w:rsidR="008D0E85" w:rsidRPr="008D38F6">
        <w:rPr>
          <w:rFonts w:eastAsia="Calibri" w:cs="Tahoma"/>
          <w:szCs w:val="18"/>
          <w:lang w:val="pt-BR"/>
        </w:rPr>
        <w:t>uivalente.)</w:t>
      </w:r>
    </w:p>
    <w:p w:rsidR="00A81E83" w:rsidRPr="008D38F6" w:rsidRDefault="00A81E83" w:rsidP="0026723A">
      <w:pPr>
        <w:numPr>
          <w:ilvl w:val="0"/>
          <w:numId w:val="145"/>
        </w:numPr>
        <w:tabs>
          <w:tab w:val="left" w:pos="1440"/>
        </w:tabs>
        <w:spacing w:after="60"/>
        <w:ind w:left="1440"/>
        <w:rPr>
          <w:lang w:val="pt-BR"/>
        </w:rPr>
      </w:pPr>
      <w:r w:rsidRPr="008D38F6">
        <w:rPr>
          <w:rFonts w:eastAsia="Calibri" w:cs="Tahoma"/>
          <w:szCs w:val="18"/>
          <w:lang w:val="pt-BR"/>
        </w:rPr>
        <w:t>um número igual ao número das licenças qualificadas atribuído ao servidor em excesso do número real de processadores físicos no servidor multiplicado por quatro.</w:t>
      </w:r>
    </w:p>
    <w:p w:rsidR="0026723A" w:rsidRPr="008D38F6" w:rsidRDefault="0026723A" w:rsidP="0026723A">
      <w:pPr>
        <w:tabs>
          <w:tab w:val="left" w:pos="1440"/>
        </w:tabs>
        <w:ind w:left="1080"/>
        <w:rPr>
          <w:lang w:val="pt-BR"/>
        </w:rPr>
      </w:pPr>
    </w:p>
    <w:p w:rsidR="0026723A" w:rsidRPr="008D38F6" w:rsidRDefault="00A81E83" w:rsidP="0026723A">
      <w:pPr>
        <w:spacing w:after="60"/>
        <w:ind w:left="720"/>
        <w:rPr>
          <w:lang w:val="pt-BR"/>
        </w:rPr>
      </w:pPr>
      <w:r w:rsidRPr="008D38F6">
        <w:rPr>
          <w:rFonts w:eastAsia="Calibri" w:cs="Tahoma"/>
          <w:b/>
          <w:szCs w:val="18"/>
          <w:lang w:val="pt-BR"/>
        </w:rPr>
        <w:t xml:space="preserve">Primeiro Prazo de Renovação (em ou após </w:t>
      </w:r>
      <w:r w:rsidR="00EB0F1B" w:rsidRPr="008D38F6">
        <w:rPr>
          <w:rFonts w:eastAsia="Calibri" w:cs="Tahoma"/>
          <w:b/>
          <w:szCs w:val="18"/>
          <w:lang w:val="pt-BR"/>
        </w:rPr>
        <w:t>1</w:t>
      </w:r>
      <w:r w:rsidR="00EB0F1B" w:rsidRPr="008D38F6">
        <w:rPr>
          <w:rFonts w:eastAsia="Calibri" w:cs="Tahoma"/>
          <w:b/>
          <w:szCs w:val="18"/>
          <w:vertAlign w:val="superscript"/>
          <w:lang w:val="pt-BR"/>
        </w:rPr>
        <w:t>º</w:t>
      </w:r>
      <w:r w:rsidRPr="008D38F6">
        <w:rPr>
          <w:rFonts w:eastAsia="Calibri" w:cs="Tahoma"/>
          <w:b/>
          <w:szCs w:val="18"/>
          <w:lang w:val="pt-BR"/>
        </w:rPr>
        <w:t xml:space="preserve"> de abril de 2015)</w:t>
      </w:r>
    </w:p>
    <w:p w:rsidR="00A81E83" w:rsidRPr="008D38F6" w:rsidRDefault="00A81E83" w:rsidP="0026723A">
      <w:pPr>
        <w:ind w:left="720"/>
        <w:rPr>
          <w:lang w:val="pt-BR"/>
        </w:rPr>
      </w:pPr>
      <w:r w:rsidRPr="008D38F6">
        <w:rPr>
          <w:rFonts w:eastAsia="Calibri" w:cs="Tahoma"/>
          <w:color w:val="000000"/>
          <w:szCs w:val="18"/>
          <w:lang w:val="pt-BR"/>
        </w:rPr>
        <w:t xml:space="preserve">Os clientes que renovaram primeiro a cobertura em ou depois de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de abril de 2015</w:t>
      </w:r>
      <w:r w:rsidRPr="008D38F6">
        <w:rPr>
          <w:rFonts w:eastAsia="Calibri" w:cs="Tahoma"/>
          <w:szCs w:val="18"/>
          <w:lang w:val="pt-BR"/>
        </w:rPr>
        <w:t xml:space="preserve"> poderão, para qualquer servidor no qual eles estejam devidamente licenciados sob os direitos de uso do produto da licença</w:t>
      </w:r>
      <w:r w:rsidR="00F73784" w:rsidRPr="008D38F6">
        <w:rPr>
          <w:rFonts w:eastAsia="Calibri" w:cs="Tahoma"/>
          <w:szCs w:val="18"/>
          <w:lang w:val="pt-BR"/>
        </w:rPr>
        <w:t> </w:t>
      </w:r>
      <w:r w:rsidRPr="008D38F6">
        <w:rPr>
          <w:rFonts w:eastAsia="Calibri" w:cs="Tahoma"/>
          <w:szCs w:val="18"/>
          <w:lang w:val="pt-BR"/>
        </w:rPr>
        <w:t>do processador SQK Server 2008 R2, adquirir o Software Assurance, como pode ser visto a seguir:</w:t>
      </w:r>
    </w:p>
    <w:p w:rsidR="0026723A" w:rsidRPr="008D38F6" w:rsidRDefault="0026723A" w:rsidP="0026723A">
      <w:pPr>
        <w:ind w:left="720"/>
        <w:rPr>
          <w:lang w:val="pt-BR"/>
        </w:rPr>
      </w:pPr>
    </w:p>
    <w:p w:rsidR="00A81E83" w:rsidRPr="008D38F6" w:rsidRDefault="00A81E83" w:rsidP="0026723A">
      <w:pPr>
        <w:numPr>
          <w:ilvl w:val="3"/>
          <w:numId w:val="114"/>
        </w:numPr>
        <w:spacing w:after="60"/>
        <w:ind w:left="1440"/>
        <w:rPr>
          <w:lang w:val="pt-BR"/>
        </w:rPr>
      </w:pPr>
      <w:r w:rsidRPr="008D38F6">
        <w:rPr>
          <w:rFonts w:eastAsia="Calibri" w:cs="Tahoma"/>
          <w:szCs w:val="18"/>
          <w:lang w:val="pt-BR"/>
        </w:rPr>
        <w:t>Conforme fornecido no primeiro parágrafo desta nota do produto, as licenças adquiridas antes de</w:t>
      </w:r>
      <w:r w:rsidR="00F73784" w:rsidRPr="008D38F6">
        <w:rPr>
          <w:rFonts w:eastAsia="Calibri" w:cs="Tahoma"/>
          <w:szCs w:val="18"/>
          <w:lang w:val="pt-BR"/>
        </w:rPr>
        <w:t>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são licenças qualificadas, e os clientes poderão renovar o SA de acordo com</w:t>
      </w:r>
      <w:r w:rsidR="00F73784" w:rsidRPr="008D38F6">
        <w:rPr>
          <w:rFonts w:eastAsia="Calibri" w:cs="Tahoma"/>
          <w:szCs w:val="18"/>
          <w:lang w:val="pt-BR"/>
        </w:rPr>
        <w:t> </w:t>
      </w:r>
      <w:r w:rsidRPr="008D38F6">
        <w:rPr>
          <w:rFonts w:eastAsia="Calibri" w:cs="Tahoma"/>
          <w:szCs w:val="18"/>
          <w:lang w:val="pt-BR"/>
        </w:rPr>
        <w:t xml:space="preserve">os termos na seção “Primeiro Prazo de Renovação (Antes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w:t>
      </w:r>
      <w:r w:rsidR="00910E93" w:rsidRPr="008D38F6">
        <w:rPr>
          <w:rFonts w:eastAsia="Calibri" w:cs="Tahoma"/>
          <w:szCs w:val="18"/>
          <w:lang w:val="pt-BR"/>
        </w:rPr>
        <w:t>”</w:t>
      </w:r>
      <w:r w:rsidRPr="008D38F6">
        <w:rPr>
          <w:rFonts w:eastAsia="Calibri" w:cs="Tahoma"/>
          <w:szCs w:val="18"/>
          <w:lang w:val="pt-BR"/>
        </w:rPr>
        <w:t xml:space="preserve"> acima e</w:t>
      </w:r>
    </w:p>
    <w:p w:rsidR="00A81E83" w:rsidRPr="008D38F6" w:rsidRDefault="00A81E83" w:rsidP="0026723A">
      <w:pPr>
        <w:numPr>
          <w:ilvl w:val="3"/>
          <w:numId w:val="114"/>
        </w:numPr>
        <w:spacing w:after="60"/>
        <w:ind w:left="1440"/>
        <w:rPr>
          <w:lang w:val="pt-BR"/>
        </w:rPr>
      </w:pPr>
      <w:r w:rsidRPr="008D38F6">
        <w:rPr>
          <w:rFonts w:eastAsia="Calibri" w:cs="Tahoma"/>
          <w:szCs w:val="18"/>
          <w:lang w:val="pt-BR"/>
        </w:rPr>
        <w:t xml:space="preserve">Para as licenças adquiridas depois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w:t>
      </w:r>
      <w:r w:rsidR="00F73784" w:rsidRPr="008D38F6">
        <w:rPr>
          <w:rFonts w:eastAsia="Calibri" w:cs="Tahoma"/>
          <w:szCs w:val="18"/>
          <w:lang w:val="pt-BR"/>
        </w:rPr>
        <w:t> </w:t>
      </w:r>
      <w:r w:rsidRPr="008D38F6">
        <w:rPr>
          <w:rFonts w:eastAsia="Calibri" w:cs="Tahoma"/>
          <w:szCs w:val="18"/>
          <w:lang w:val="pt-BR"/>
        </w:rPr>
        <w:t>cliente tem que adquirir licenças principais adicionais.</w:t>
      </w:r>
    </w:p>
    <w:p w:rsidR="00A81E83" w:rsidRPr="008D38F6" w:rsidRDefault="00A81E83" w:rsidP="0026723A">
      <w:pPr>
        <w:numPr>
          <w:ilvl w:val="0"/>
          <w:numId w:val="64"/>
        </w:numPr>
        <w:spacing w:after="60"/>
        <w:ind w:left="1440"/>
        <w:rPr>
          <w:lang w:val="pt-BR"/>
        </w:rPr>
      </w:pPr>
      <w:r w:rsidRPr="008D38F6">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rsidR="0026723A" w:rsidRPr="008D38F6" w:rsidRDefault="0026723A" w:rsidP="0026723A">
      <w:pPr>
        <w:tabs>
          <w:tab w:val="left" w:pos="1080"/>
        </w:tabs>
        <w:ind w:left="1080"/>
        <w:rPr>
          <w:lang w:val="pt-BR"/>
        </w:rPr>
      </w:pPr>
    </w:p>
    <w:p w:rsidR="0026723A" w:rsidRPr="008D38F6" w:rsidRDefault="00A431D5" w:rsidP="0026723A">
      <w:pPr>
        <w:spacing w:after="60"/>
        <w:ind w:left="720"/>
        <w:rPr>
          <w:lang w:val="pt-BR"/>
        </w:rPr>
      </w:pPr>
      <w:r w:rsidRPr="008D38F6">
        <w:rPr>
          <w:rFonts w:eastAsia="Calibri" w:cs="Tahoma"/>
          <w:b/>
          <w:szCs w:val="18"/>
          <w:lang w:val="pt-BR"/>
        </w:rPr>
        <w:t>Para os clientes que estão desejando fazer step-up do SQL Server Standard para SQL Server Enterprise Core</w:t>
      </w:r>
    </w:p>
    <w:p w:rsidR="00A431D5" w:rsidRPr="008D38F6" w:rsidRDefault="00A431D5" w:rsidP="0026723A">
      <w:pPr>
        <w:ind w:left="720"/>
        <w:rPr>
          <w:lang w:val="pt-BR"/>
        </w:rPr>
      </w:pPr>
      <w:r w:rsidRPr="008D38F6">
        <w:rPr>
          <w:rFonts w:eastAsia="Calibri" w:cs="Tahoma"/>
          <w:szCs w:val="18"/>
          <w:lang w:val="pt-BR"/>
        </w:rPr>
        <w:t xml:space="preserve">Os Clientes com licenças qualificadas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rsidR="0026723A" w:rsidRPr="008D38F6" w:rsidRDefault="0026723A" w:rsidP="0026723A">
      <w:pPr>
        <w:tabs>
          <w:tab w:val="left" w:pos="1080"/>
        </w:tabs>
        <w:ind w:left="1080"/>
        <w:rPr>
          <w:lang w:val="pt-BR"/>
        </w:rPr>
      </w:pPr>
    </w:p>
    <w:p w:rsidR="00A431D5" w:rsidRPr="00416070" w:rsidRDefault="00A431D5" w:rsidP="0026723A">
      <w:pPr>
        <w:numPr>
          <w:ilvl w:val="3"/>
          <w:numId w:val="115"/>
        </w:numPr>
        <w:tabs>
          <w:tab w:val="left" w:pos="1440"/>
        </w:tabs>
        <w:spacing w:after="60"/>
        <w:ind w:left="1440"/>
      </w:pPr>
      <w:r w:rsidRPr="00416070">
        <w:rPr>
          <w:rFonts w:eastAsia="Calibri" w:cs="Tahoma"/>
          <w:szCs w:val="18"/>
        </w:rPr>
        <w:t>Quatro OU</w:t>
      </w:r>
    </w:p>
    <w:p w:rsidR="00A431D5" w:rsidRPr="008D38F6" w:rsidRDefault="00A431D5" w:rsidP="0026723A">
      <w:pPr>
        <w:numPr>
          <w:ilvl w:val="3"/>
          <w:numId w:val="115"/>
        </w:numPr>
        <w:tabs>
          <w:tab w:val="left" w:pos="1440"/>
        </w:tabs>
        <w:spacing w:after="60"/>
        <w:ind w:left="1440"/>
        <w:rPr>
          <w:lang w:val="pt-BR"/>
        </w:rPr>
      </w:pPr>
      <w:r w:rsidRPr="008D38F6">
        <w:rPr>
          <w:rFonts w:eastAsia="Calibri" w:cs="Tahoma"/>
          <w:szCs w:val="18"/>
          <w:lang w:val="pt-BR"/>
        </w:rPr>
        <w:t>o número real de núcleos por processador físico multiplicado pelo fator do núcleo apropriado.</w:t>
      </w:r>
      <w:r w:rsidR="00FB5496" w:rsidRPr="008D38F6">
        <w:rPr>
          <w:rFonts w:eastAsia="Calibri" w:cs="Tahoma"/>
          <w:szCs w:val="18"/>
          <w:lang w:val="pt-BR"/>
        </w:rPr>
        <w:t xml:space="preserve"> </w:t>
      </w:r>
      <w:r w:rsidRPr="008D38F6">
        <w:rPr>
          <w:rFonts w:eastAsia="Calibri" w:cs="Tahoma"/>
          <w:szCs w:val="18"/>
          <w:lang w:val="pt-BR"/>
        </w:rPr>
        <w:t>(Nos</w:t>
      </w:r>
      <w:r w:rsidR="00F73784" w:rsidRPr="008D38F6">
        <w:rPr>
          <w:rFonts w:eastAsia="Calibri" w:cs="Tahoma"/>
          <w:szCs w:val="18"/>
          <w:lang w:val="pt-BR"/>
        </w:rPr>
        <w:t> </w:t>
      </w:r>
      <w:r w:rsidRPr="008D38F6">
        <w:rPr>
          <w:rFonts w:eastAsia="Calibri" w:cs="Tahoma"/>
          <w:szCs w:val="18"/>
          <w:lang w:val="pt-BR"/>
        </w:rPr>
        <w:t>casos em que o número real de núcleos por processador físico excede quatro, os clientes devem manter um registro da configuração do software SQL Server executando no servidor) instâncias licenciadas executando em ambientes do sistema operacional no servidor licenciado) e</w:t>
      </w:r>
      <w:r w:rsidR="00F73784" w:rsidRPr="008D38F6">
        <w:rPr>
          <w:rFonts w:eastAsia="Calibri" w:cs="Tahoma"/>
          <w:szCs w:val="18"/>
          <w:lang w:val="pt-BR"/>
        </w:rPr>
        <w:t> </w:t>
      </w:r>
      <w:r w:rsidRPr="008D38F6">
        <w:rPr>
          <w:rFonts w:eastAsia="Calibri" w:cs="Tahoma"/>
          <w:szCs w:val="18"/>
          <w:lang w:val="pt-BR"/>
        </w:rPr>
        <w:t>o</w:t>
      </w:r>
      <w:r w:rsidR="00F73784" w:rsidRPr="008D38F6">
        <w:rPr>
          <w:rFonts w:eastAsia="Calibri" w:cs="Tahoma"/>
          <w:szCs w:val="18"/>
          <w:lang w:val="pt-BR"/>
        </w:rPr>
        <w:t> </w:t>
      </w:r>
      <w:r w:rsidRPr="008D38F6">
        <w:rPr>
          <w:rFonts w:eastAsia="Calibri" w:cs="Tahoma"/>
          <w:szCs w:val="18"/>
          <w:lang w:val="pt-BR"/>
        </w:rPr>
        <w:t>hardware físico oferecendo suporte ao software que está antecedendo a aquisição das licenças</w:t>
      </w:r>
      <w:r w:rsidR="00F73784" w:rsidRPr="008D38F6">
        <w:rPr>
          <w:rFonts w:eastAsia="Calibri" w:cs="Tahoma"/>
          <w:szCs w:val="18"/>
          <w:lang w:val="pt-BR"/>
        </w:rPr>
        <w:t> </w:t>
      </w:r>
      <w:r w:rsidRPr="008D38F6">
        <w:rPr>
          <w:rFonts w:eastAsia="Calibri" w:cs="Tahoma"/>
          <w:szCs w:val="18"/>
          <w:lang w:val="pt-BR"/>
        </w:rPr>
        <w:t xml:space="preserve">de Step-up usando a ferramenta Microsoft MAP ou </w:t>
      </w:r>
      <w:r w:rsidR="00A76730" w:rsidRPr="008D38F6">
        <w:rPr>
          <w:rFonts w:eastAsia="Calibri" w:cs="Tahoma"/>
          <w:szCs w:val="18"/>
          <w:lang w:val="pt-BR"/>
        </w:rPr>
        <w:t>qualquer software equivalente.)</w:t>
      </w:r>
    </w:p>
    <w:p w:rsidR="0026723A" w:rsidRPr="008D38F6" w:rsidRDefault="0026723A" w:rsidP="0026723A">
      <w:pPr>
        <w:tabs>
          <w:tab w:val="left" w:pos="1440"/>
        </w:tabs>
        <w:ind w:left="1440"/>
        <w:rPr>
          <w:lang w:val="pt-BR"/>
        </w:rPr>
      </w:pPr>
    </w:p>
    <w:p w:rsidR="0020393F" w:rsidRPr="008D38F6" w:rsidRDefault="0020393F" w:rsidP="0026723A">
      <w:pPr>
        <w:tabs>
          <w:tab w:val="left" w:pos="1440"/>
        </w:tabs>
        <w:ind w:left="1440"/>
        <w:rPr>
          <w:lang w:val="pt-BR"/>
        </w:rPr>
      </w:pPr>
    </w:p>
    <w:p w:rsidR="00A431D5" w:rsidRPr="008D38F6" w:rsidRDefault="00A431D5" w:rsidP="0026723A">
      <w:pPr>
        <w:ind w:left="720"/>
        <w:rPr>
          <w:lang w:val="pt-BR"/>
        </w:rPr>
      </w:pPr>
      <w:r w:rsidRPr="008D38F6">
        <w:rPr>
          <w:rFonts w:eastAsia="Calibri" w:cs="Tahoma"/>
          <w:szCs w:val="18"/>
          <w:lang w:val="pt-BR"/>
        </w:rPr>
        <w:t>Mediante a aquisição do número apropriado de licenças Step-up para SQL Server Enterprise Core, o cliente poderá implantar e usar o software sob os direitos de uso do SQL Server Enterprise Core.</w:t>
      </w:r>
      <w:r w:rsidR="00FB5496" w:rsidRPr="008D38F6">
        <w:rPr>
          <w:rFonts w:eastAsia="Calibri" w:cs="Tahoma"/>
          <w:szCs w:val="18"/>
          <w:lang w:val="pt-BR"/>
        </w:rPr>
        <w:t xml:space="preserve"> </w:t>
      </w:r>
      <w:r w:rsidRPr="008D38F6">
        <w:rPr>
          <w:rFonts w:eastAsia="Calibri" w:cs="Tahoma"/>
          <w:szCs w:val="18"/>
          <w:lang w:val="pt-BR"/>
        </w:rPr>
        <w:t>Exceto conforme fornecido nesta seção “Para os clientes que estão desejando fazer step-up do SQL Server Standard para SQL Server Enterprise Core”</w:t>
      </w:r>
      <w:r w:rsidRPr="008D38F6">
        <w:rPr>
          <w:rFonts w:eastAsia="Calibri" w:cs="Tahoma"/>
          <w:b/>
          <w:szCs w:val="18"/>
          <w:lang w:val="pt-BR"/>
        </w:rPr>
        <w:t xml:space="preserve">, </w:t>
      </w:r>
      <w:r w:rsidRPr="008D38F6">
        <w:rPr>
          <w:rFonts w:eastAsia="Calibri" w:cs="Tahoma"/>
          <w:szCs w:val="18"/>
          <w:lang w:val="pt-BR"/>
        </w:rPr>
        <w:t>aplicam-se os termos e as condições pertencentes à aquisição de licenças Step-up, conforme descrito na seção Software Assurance desta Lista de produto.</w:t>
      </w:r>
    </w:p>
    <w:p w:rsidR="0026723A" w:rsidRPr="008D38F6" w:rsidRDefault="0026723A" w:rsidP="0026723A">
      <w:pPr>
        <w:tabs>
          <w:tab w:val="left" w:pos="1080"/>
        </w:tabs>
        <w:ind w:left="1080"/>
        <w:rPr>
          <w:lang w:val="pt-BR"/>
        </w:rPr>
      </w:pPr>
    </w:p>
    <w:p w:rsidR="0026723A" w:rsidRPr="008D38F6" w:rsidRDefault="00A81E83" w:rsidP="0026723A">
      <w:pPr>
        <w:spacing w:after="60"/>
        <w:ind w:left="720"/>
        <w:rPr>
          <w:lang w:val="pt-BR"/>
        </w:rPr>
      </w:pPr>
      <w:r w:rsidRPr="008D38F6">
        <w:rPr>
          <w:rFonts w:eastAsia="Calibri" w:cs="Tahoma"/>
          <w:b/>
          <w:szCs w:val="18"/>
          <w:lang w:val="pt-BR"/>
        </w:rPr>
        <w:t xml:space="preserve">Para os clientes com cobertura de Software Assurance que expiram antes de </w:t>
      </w:r>
      <w:r w:rsidR="00EB0F1B" w:rsidRPr="008D38F6">
        <w:rPr>
          <w:rFonts w:eastAsia="Calibri" w:cs="Tahoma"/>
          <w:b/>
          <w:szCs w:val="18"/>
          <w:lang w:val="pt-BR"/>
        </w:rPr>
        <w:t>1</w:t>
      </w:r>
      <w:r w:rsidR="00EB0F1B" w:rsidRPr="008D38F6">
        <w:rPr>
          <w:rFonts w:eastAsia="Calibri" w:cs="Tahoma"/>
          <w:b/>
          <w:szCs w:val="18"/>
          <w:vertAlign w:val="superscript"/>
          <w:lang w:val="pt-BR"/>
        </w:rPr>
        <w:t>º</w:t>
      </w:r>
      <w:r w:rsidRPr="008D38F6">
        <w:rPr>
          <w:rFonts w:eastAsia="Calibri" w:cs="Tahoma"/>
          <w:b/>
          <w:szCs w:val="18"/>
          <w:lang w:val="pt-BR"/>
        </w:rPr>
        <w:t xml:space="preserve"> de abril de</w:t>
      </w:r>
      <w:r w:rsidR="00F73784" w:rsidRPr="008D38F6">
        <w:rPr>
          <w:rFonts w:eastAsia="Calibri" w:cs="Tahoma"/>
          <w:szCs w:val="18"/>
          <w:lang w:val="pt-BR"/>
        </w:rPr>
        <w:t> </w:t>
      </w:r>
      <w:r w:rsidRPr="008D38F6">
        <w:rPr>
          <w:rFonts w:eastAsia="Calibri" w:cs="Tahoma"/>
          <w:b/>
          <w:szCs w:val="18"/>
          <w:lang w:val="pt-BR"/>
        </w:rPr>
        <w:t>2015 que optaram pela não renovação</w:t>
      </w:r>
    </w:p>
    <w:p w:rsidR="00A81E83" w:rsidRPr="008D38F6" w:rsidRDefault="00A81E83" w:rsidP="0026723A">
      <w:pPr>
        <w:ind w:left="720"/>
        <w:rPr>
          <w:lang w:val="pt-BR"/>
        </w:rPr>
      </w:pPr>
      <w:r w:rsidRPr="008D38F6">
        <w:rPr>
          <w:rFonts w:eastAsia="Calibri" w:cs="Tahoma"/>
          <w:szCs w:val="18"/>
          <w:lang w:val="pt-BR"/>
        </w:rPr>
        <w:t xml:space="preserve">Os clientes do Enterprise Subscription e Open Value Subscription com cobertura expirando antes de </w:t>
      </w:r>
      <w:r w:rsidR="00F73784" w:rsidRPr="008D38F6">
        <w:rPr>
          <w:rFonts w:eastAsia="Calibri" w:cs="Tahoma"/>
          <w:szCs w:val="18"/>
          <w:lang w:val="pt-BR"/>
        </w:rPr>
        <w:br/>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que optarem por comprar licenças de processador e quaisquer outros clientes que adquirirem licenças perpétuas sob este contrato e optarem por não renovar o Software Assurance poderão</w:t>
      </w:r>
      <w:r w:rsidR="00F73784" w:rsidRPr="008D38F6">
        <w:rPr>
          <w:rFonts w:eastAsia="Calibri" w:cs="Tahoma"/>
          <w:szCs w:val="18"/>
          <w:lang w:val="pt-BR"/>
        </w:rPr>
        <w:t> </w:t>
      </w:r>
      <w:r w:rsidRPr="008D38F6">
        <w:rPr>
          <w:rFonts w:eastAsia="Calibri" w:cs="Tahoma"/>
          <w:szCs w:val="18"/>
          <w:lang w:val="pt-BR"/>
        </w:rPr>
        <w:t>executar o SQL Server 2008 R2 ou SQL Server 2012 sob essas licenças da seguinte forma:</w:t>
      </w:r>
    </w:p>
    <w:p w:rsidR="009C7505" w:rsidRPr="008D38F6" w:rsidRDefault="009C7505" w:rsidP="0026723A">
      <w:pPr>
        <w:ind w:left="720"/>
        <w:rPr>
          <w:lang w:val="pt-BR"/>
        </w:rPr>
      </w:pPr>
    </w:p>
    <w:p w:rsidR="00A81E83" w:rsidRPr="008D38F6" w:rsidRDefault="00A81E83" w:rsidP="009C7505">
      <w:pPr>
        <w:numPr>
          <w:ilvl w:val="0"/>
          <w:numId w:val="116"/>
        </w:numPr>
        <w:tabs>
          <w:tab w:val="left" w:pos="1440"/>
        </w:tabs>
        <w:spacing w:after="60"/>
        <w:ind w:left="1440"/>
        <w:rPr>
          <w:lang w:val="pt-BR"/>
        </w:rPr>
      </w:pPr>
      <w:r w:rsidRPr="008D38F6">
        <w:rPr>
          <w:rFonts w:eastAsia="Calibri" w:cs="Tahoma"/>
          <w:b/>
          <w:szCs w:val="18"/>
          <w:lang w:val="pt-BR"/>
        </w:rPr>
        <w:t>SQL Server 2008 R2 Standard:</w:t>
      </w:r>
      <w:r w:rsidRPr="008D38F6">
        <w:rPr>
          <w:rFonts w:eastAsia="Calibri" w:cs="Tahoma"/>
          <w:szCs w:val="18"/>
          <w:lang w:val="pt-BR"/>
        </w:rPr>
        <w:t xml:space="preserve"> O uso contínuo desta versão do software está sujeito aos</w:t>
      </w:r>
      <w:r w:rsidR="00F73784" w:rsidRPr="008D38F6">
        <w:rPr>
          <w:rFonts w:eastAsia="Calibri" w:cs="Tahoma"/>
          <w:szCs w:val="18"/>
          <w:lang w:val="pt-BR"/>
        </w:rPr>
        <w:t> </w:t>
      </w:r>
      <w:r w:rsidRPr="008D38F6">
        <w:rPr>
          <w:rFonts w:eastAsia="Calibri" w:cs="Tahoma"/>
          <w:szCs w:val="18"/>
          <w:lang w:val="pt-BR"/>
        </w:rPr>
        <w:t>direitos de uso do produto de licença do processador do SQL Server 2008 R2 Standard. Os</w:t>
      </w:r>
      <w:r w:rsidR="00F73784" w:rsidRPr="008D38F6">
        <w:rPr>
          <w:rFonts w:eastAsia="Calibri" w:cs="Tahoma"/>
          <w:szCs w:val="18"/>
          <w:lang w:val="pt-BR"/>
        </w:rPr>
        <w:t> </w:t>
      </w:r>
      <w:r w:rsidRPr="008D38F6">
        <w:rPr>
          <w:rFonts w:eastAsia="Calibri" w:cs="Tahoma"/>
          <w:szCs w:val="18"/>
          <w:lang w:val="pt-BR"/>
        </w:rPr>
        <w:t>clientes</w:t>
      </w:r>
      <w:r w:rsidR="00F73784" w:rsidRPr="008D38F6">
        <w:rPr>
          <w:rFonts w:eastAsia="Calibri" w:cs="Tahoma"/>
          <w:szCs w:val="18"/>
          <w:lang w:val="pt-BR"/>
        </w:rPr>
        <w:t> </w:t>
      </w:r>
      <w:r w:rsidRPr="008D38F6">
        <w:rPr>
          <w:rFonts w:eastAsia="Calibri" w:cs="Tahoma"/>
          <w:szCs w:val="18"/>
          <w:lang w:val="pt-BR"/>
        </w:rPr>
        <w:t>não têm mais direitos sob Mobilidade de Licença nos Farms de Servidores nem Mobilidade de Licença por meio de Software Ass</w:t>
      </w:r>
      <w:r w:rsidR="00A76730" w:rsidRPr="008D38F6">
        <w:rPr>
          <w:rFonts w:eastAsia="Calibri" w:cs="Tahoma"/>
          <w:szCs w:val="18"/>
          <w:lang w:val="pt-BR"/>
        </w:rPr>
        <w:t>urance.</w:t>
      </w:r>
    </w:p>
    <w:p w:rsidR="00A81E83" w:rsidRPr="008D38F6" w:rsidRDefault="00A81E83" w:rsidP="009C7505">
      <w:pPr>
        <w:numPr>
          <w:ilvl w:val="0"/>
          <w:numId w:val="116"/>
        </w:numPr>
        <w:tabs>
          <w:tab w:val="left" w:pos="1440"/>
        </w:tabs>
        <w:spacing w:after="60"/>
        <w:ind w:left="1440"/>
        <w:rPr>
          <w:lang w:val="pt-BR"/>
        </w:rPr>
      </w:pPr>
      <w:r w:rsidRPr="008D38F6">
        <w:rPr>
          <w:rFonts w:eastAsia="Calibri" w:cs="Tahoma"/>
          <w:b/>
          <w:szCs w:val="18"/>
          <w:lang w:val="pt-BR"/>
        </w:rPr>
        <w:t xml:space="preserve">SQL Server 2012 Standard Core: </w:t>
      </w:r>
      <w:r w:rsidRPr="008D38F6">
        <w:rPr>
          <w:rFonts w:eastAsia="Calibri" w:cs="Tahoma"/>
          <w:szCs w:val="18"/>
          <w:lang w:val="pt-BR"/>
        </w:rPr>
        <w:t>O uso desta versão do software está sujeito aos direitos de</w:t>
      </w:r>
      <w:r w:rsidR="00F73784" w:rsidRPr="008D38F6">
        <w:rPr>
          <w:rFonts w:eastAsia="Calibri" w:cs="Tahoma"/>
          <w:szCs w:val="18"/>
          <w:lang w:val="pt-BR"/>
        </w:rPr>
        <w:t> </w:t>
      </w:r>
      <w:r w:rsidRPr="008D38F6">
        <w:rPr>
          <w:rFonts w:eastAsia="Calibri" w:cs="Tahoma"/>
          <w:szCs w:val="18"/>
          <w:lang w:val="pt-BR"/>
        </w:rPr>
        <w:t xml:space="preserve">uso do produto de licença do processador do SQL Server 2008 R2 Standard, no entanto: </w:t>
      </w:r>
    </w:p>
    <w:p w:rsidR="00A81E83" w:rsidRPr="008D38F6" w:rsidRDefault="00A81E83" w:rsidP="009C7505">
      <w:pPr>
        <w:numPr>
          <w:ilvl w:val="1"/>
          <w:numId w:val="117"/>
        </w:numPr>
        <w:tabs>
          <w:tab w:val="left" w:pos="1800"/>
        </w:tabs>
        <w:spacing w:after="60"/>
        <w:ind w:left="1800"/>
        <w:rPr>
          <w:lang w:val="pt-BR"/>
        </w:rPr>
      </w:pPr>
      <w:r w:rsidRPr="008D38F6">
        <w:rPr>
          <w:rFonts w:eastAsia="Calibri" w:cs="Tahoma"/>
          <w:szCs w:val="18"/>
          <w:lang w:val="pt-BR"/>
        </w:rPr>
        <w:t xml:space="preserve">os clientes não têm mais direitos sob Mobilidade de Licença nos Farms de Servidores nem Mobilidade de Licença por meio de Software Assurance e </w:t>
      </w:r>
    </w:p>
    <w:p w:rsidR="00A81E83" w:rsidRPr="008D38F6" w:rsidRDefault="00A81E83" w:rsidP="009C7505">
      <w:pPr>
        <w:numPr>
          <w:ilvl w:val="1"/>
          <w:numId w:val="117"/>
        </w:numPr>
        <w:tabs>
          <w:tab w:val="left" w:pos="1800"/>
        </w:tabs>
        <w:spacing w:after="60"/>
        <w:ind w:left="1800"/>
        <w:rPr>
          <w:lang w:val="pt-BR"/>
        </w:rPr>
      </w:pPr>
      <w:r w:rsidRPr="008D38F6">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rsidR="00A81E83" w:rsidRPr="008D38F6" w:rsidRDefault="00A81E83" w:rsidP="00A76730">
      <w:pPr>
        <w:numPr>
          <w:ilvl w:val="2"/>
          <w:numId w:val="116"/>
        </w:numPr>
        <w:tabs>
          <w:tab w:val="left" w:pos="2160"/>
        </w:tabs>
        <w:spacing w:after="60"/>
        <w:ind w:hanging="360"/>
        <w:rPr>
          <w:lang w:val="pt-BR"/>
        </w:rPr>
      </w:pPr>
      <w:r w:rsidRPr="008D38F6">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A76730" w:rsidRPr="008D38F6">
        <w:rPr>
          <w:rFonts w:eastAsia="Calibri" w:cs="Tahoma"/>
          <w:szCs w:val="18"/>
          <w:lang w:val="pt-BR"/>
        </w:rPr>
        <w:t> </w:t>
      </w:r>
      <w:r w:rsidRPr="008D38F6">
        <w:rPr>
          <w:rFonts w:eastAsia="Calibri" w:cs="Tahoma"/>
          <w:szCs w:val="18"/>
          <w:lang w:val="pt-BR"/>
        </w:rPr>
        <w:t xml:space="preserve">equivalência de licença principal é maior do que: </w:t>
      </w:r>
    </w:p>
    <w:p w:rsidR="00A81E83" w:rsidRPr="008D38F6" w:rsidRDefault="00A81E83" w:rsidP="009C7505">
      <w:pPr>
        <w:numPr>
          <w:ilvl w:val="4"/>
          <w:numId w:val="64"/>
        </w:numPr>
        <w:tabs>
          <w:tab w:val="left" w:pos="2520"/>
        </w:tabs>
        <w:spacing w:after="60"/>
        <w:ind w:left="2880"/>
        <w:rPr>
          <w:lang w:val="pt-BR"/>
        </w:rPr>
      </w:pPr>
      <w:r w:rsidRPr="008D38F6">
        <w:rPr>
          <w:rFonts w:eastAsia="Calibri" w:cs="Tahoma"/>
          <w:szCs w:val="18"/>
          <w:lang w:val="pt-BR"/>
        </w:rPr>
        <w:t xml:space="preserve">quatro núcleos por licença de processador OU </w:t>
      </w:r>
    </w:p>
    <w:p w:rsidR="00A81E83" w:rsidRPr="008D38F6" w:rsidRDefault="00A81E83" w:rsidP="009C7505">
      <w:pPr>
        <w:numPr>
          <w:ilvl w:val="4"/>
          <w:numId w:val="64"/>
        </w:numPr>
        <w:tabs>
          <w:tab w:val="left" w:pos="2520"/>
        </w:tabs>
        <w:spacing w:after="60"/>
        <w:ind w:left="2880"/>
        <w:rPr>
          <w:lang w:val="pt-BR"/>
        </w:rPr>
      </w:pPr>
      <w:r w:rsidRPr="008D38F6">
        <w:rPr>
          <w:rFonts w:eastAsia="Calibri" w:cs="Tahoma"/>
          <w:szCs w:val="18"/>
          <w:lang w:val="pt-BR"/>
        </w:rPr>
        <w:t>um número de núcleos por licença do processador com base no número real de</w:t>
      </w:r>
      <w:r w:rsidR="00F73784" w:rsidRPr="008D38F6">
        <w:rPr>
          <w:rFonts w:eastAsia="Calibri" w:cs="Tahoma"/>
          <w:szCs w:val="18"/>
          <w:lang w:val="pt-BR"/>
        </w:rPr>
        <w:t> </w:t>
      </w:r>
      <w:r w:rsidRPr="008D38F6">
        <w:rPr>
          <w:rFonts w:eastAsia="Calibri" w:cs="Tahoma"/>
          <w:szCs w:val="18"/>
          <w:lang w:val="pt-BR"/>
        </w:rPr>
        <w:t>núcleos por processador físico multiplicado pelo fator de núcleo apropriado. (Nos casos em que o número real de núcleos por processador físico excede quatro, os clientes devem manter um registro da configuração do software SQL</w:t>
      </w:r>
      <w:r w:rsidR="00F73784" w:rsidRPr="008D38F6">
        <w:rPr>
          <w:rFonts w:eastAsia="Calibri" w:cs="Tahoma"/>
          <w:szCs w:val="18"/>
          <w:lang w:val="pt-BR"/>
        </w:rPr>
        <w:t> </w:t>
      </w:r>
      <w:r w:rsidRPr="008D38F6">
        <w:rPr>
          <w:rFonts w:eastAsia="Calibri" w:cs="Tahoma"/>
          <w:szCs w:val="18"/>
          <w:lang w:val="pt-BR"/>
        </w:rPr>
        <w:t>Server executando no servidor) instâncias licenciadas executando em ambientes do sistema operacional no servidor licenciado) e o hardware físico oferecendo suporte ao software que está antecedendo a expiração do Software</w:t>
      </w:r>
      <w:r w:rsidR="00F73784" w:rsidRPr="008D38F6">
        <w:rPr>
          <w:rFonts w:eastAsia="Calibri" w:cs="Tahoma"/>
          <w:szCs w:val="18"/>
          <w:lang w:val="pt-BR"/>
        </w:rPr>
        <w:t> </w:t>
      </w:r>
      <w:r w:rsidRPr="008D38F6">
        <w:rPr>
          <w:rFonts w:eastAsia="Calibri" w:cs="Tahoma"/>
          <w:szCs w:val="18"/>
          <w:lang w:val="pt-BR"/>
        </w:rPr>
        <w:t>Assurance usando a ferramenta Microsoft MAP ou qualquer software</w:t>
      </w:r>
      <w:r w:rsidR="00F73784" w:rsidRPr="008D38F6">
        <w:rPr>
          <w:rFonts w:eastAsia="Calibri" w:cs="Tahoma"/>
          <w:szCs w:val="18"/>
          <w:lang w:val="pt-BR"/>
        </w:rPr>
        <w:t> </w:t>
      </w:r>
      <w:r w:rsidRPr="008D38F6">
        <w:rPr>
          <w:rFonts w:eastAsia="Calibri" w:cs="Tahoma"/>
          <w:szCs w:val="18"/>
          <w:lang w:val="pt-BR"/>
        </w:rPr>
        <w:t>equivalente.)</w:t>
      </w:r>
    </w:p>
    <w:p w:rsidR="00A81E83" w:rsidRPr="008D38F6" w:rsidRDefault="00A81E83" w:rsidP="00A76730">
      <w:pPr>
        <w:numPr>
          <w:ilvl w:val="2"/>
          <w:numId w:val="116"/>
        </w:numPr>
        <w:tabs>
          <w:tab w:val="left" w:pos="2160"/>
        </w:tabs>
        <w:spacing w:after="60"/>
        <w:ind w:hanging="360"/>
        <w:rPr>
          <w:lang w:val="pt-BR"/>
        </w:rPr>
      </w:pPr>
      <w:r w:rsidRPr="008D38F6">
        <w:rPr>
          <w:rFonts w:eastAsia="Calibri" w:cs="Tahoma"/>
          <w:szCs w:val="18"/>
          <w:lang w:val="pt-BR"/>
        </w:rPr>
        <w:t>Para qualquer licença de processador com um Software Assurance expirando atribuído ao</w:t>
      </w:r>
      <w:r w:rsidR="00A76730" w:rsidRPr="008D38F6">
        <w:rPr>
          <w:rFonts w:eastAsia="Calibri" w:cs="Tahoma"/>
          <w:szCs w:val="18"/>
          <w:lang w:val="pt-BR"/>
        </w:rPr>
        <w:t> </w:t>
      </w:r>
      <w:r w:rsidRPr="008D38F6">
        <w:rPr>
          <w:rFonts w:eastAsia="Calibri" w:cs="Tahoma"/>
          <w:szCs w:val="18"/>
          <w:lang w:val="pt-BR"/>
        </w:rPr>
        <w:t>mesmo servidor licenciado em excesso do número real de processadores físicos no servidor, a equivalência de núcleo é de quatro núcleos por licença de processador.</w:t>
      </w:r>
    </w:p>
    <w:p w:rsidR="00A81E83" w:rsidRPr="008D38F6" w:rsidRDefault="00A81E83" w:rsidP="00A76730">
      <w:pPr>
        <w:numPr>
          <w:ilvl w:val="0"/>
          <w:numId w:val="67"/>
        </w:numPr>
        <w:tabs>
          <w:tab w:val="left" w:pos="1440"/>
        </w:tabs>
        <w:spacing w:after="60"/>
        <w:ind w:left="1440"/>
        <w:rPr>
          <w:lang w:val="pt-BR"/>
        </w:rPr>
      </w:pPr>
      <w:r w:rsidRPr="008D38F6">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w:t>
      </w:r>
      <w:r w:rsidR="00A76730" w:rsidRPr="008D38F6">
        <w:rPr>
          <w:rFonts w:eastAsia="Calibri" w:cs="Tahoma"/>
          <w:szCs w:val="18"/>
          <w:lang w:val="pt-BR"/>
        </w:rPr>
        <w:t> </w:t>
      </w:r>
      <w:r w:rsidRPr="008D38F6">
        <w:rPr>
          <w:rFonts w:eastAsia="Calibri" w:cs="Tahoma"/>
          <w:szCs w:val="18"/>
          <w:lang w:val="pt-BR"/>
        </w:rPr>
        <w:t>SQL Server 2012 adicionais.</w:t>
      </w:r>
    </w:p>
    <w:p w:rsidR="00A81E83" w:rsidRPr="008D38F6" w:rsidRDefault="00A81E83" w:rsidP="009C7505">
      <w:pPr>
        <w:numPr>
          <w:ilvl w:val="0"/>
          <w:numId w:val="67"/>
        </w:numPr>
        <w:tabs>
          <w:tab w:val="left" w:pos="1440"/>
        </w:tabs>
        <w:spacing w:after="60"/>
        <w:ind w:left="1440"/>
        <w:rPr>
          <w:lang w:val="pt-BR"/>
        </w:rPr>
      </w:pPr>
      <w:r w:rsidRPr="008D38F6">
        <w:rPr>
          <w:rFonts w:eastAsia="Calibri" w:cs="Tahoma"/>
          <w:szCs w:val="18"/>
          <w:lang w:val="pt-BR"/>
        </w:rPr>
        <w:t>A equivalência de licença principal dos clientes não implica que eles podem atribuir uma única licença de processador a núcleos por dois ou mais processadores.</w:t>
      </w:r>
    </w:p>
    <w:p w:rsidR="009C7505" w:rsidRPr="008D38F6" w:rsidRDefault="00A81E83" w:rsidP="009C7505">
      <w:pPr>
        <w:tabs>
          <w:tab w:val="left" w:pos="720"/>
        </w:tabs>
        <w:spacing w:after="60"/>
        <w:ind w:left="720"/>
        <w:rPr>
          <w:lang w:val="pt-BR"/>
        </w:rPr>
      </w:pPr>
      <w:r w:rsidRPr="008D38F6">
        <w:rPr>
          <w:rFonts w:eastAsia="Calibri" w:cs="Tahoma"/>
          <w:b/>
          <w:szCs w:val="18"/>
          <w:lang w:val="pt-BR"/>
        </w:rPr>
        <w:t xml:space="preserve">Para os clientes com cobertura de Software Assurance que expiram em ou depois de </w:t>
      </w:r>
      <w:r w:rsidR="00F73784" w:rsidRPr="008D38F6">
        <w:rPr>
          <w:rFonts w:eastAsia="Calibri" w:cs="Tahoma"/>
          <w:b/>
          <w:szCs w:val="18"/>
          <w:lang w:val="pt-BR"/>
        </w:rPr>
        <w:br/>
      </w:r>
      <w:r w:rsidR="00EB0F1B" w:rsidRPr="008D38F6">
        <w:rPr>
          <w:rFonts w:eastAsia="Calibri" w:cs="Tahoma"/>
          <w:b/>
          <w:szCs w:val="18"/>
          <w:lang w:val="pt-BR"/>
        </w:rPr>
        <w:t>1</w:t>
      </w:r>
      <w:r w:rsidR="00EB0F1B" w:rsidRPr="008D38F6">
        <w:rPr>
          <w:rFonts w:eastAsia="Calibri" w:cs="Tahoma"/>
          <w:b/>
          <w:szCs w:val="18"/>
          <w:vertAlign w:val="superscript"/>
          <w:lang w:val="pt-BR"/>
        </w:rPr>
        <w:t>º</w:t>
      </w:r>
      <w:r w:rsidRPr="008D38F6">
        <w:rPr>
          <w:rFonts w:eastAsia="Calibri" w:cs="Tahoma"/>
          <w:b/>
          <w:szCs w:val="18"/>
          <w:lang w:val="pt-BR"/>
        </w:rPr>
        <w:t xml:space="preserve"> de abril de 2015 que optaram pela não renovação</w:t>
      </w:r>
    </w:p>
    <w:p w:rsidR="00A81E83" w:rsidRPr="008D38F6" w:rsidRDefault="00A81E83" w:rsidP="009C7505">
      <w:pPr>
        <w:tabs>
          <w:tab w:val="left" w:pos="720"/>
        </w:tabs>
        <w:ind w:left="720"/>
        <w:rPr>
          <w:lang w:val="pt-BR"/>
        </w:rPr>
      </w:pPr>
      <w:r w:rsidRPr="008D38F6">
        <w:rPr>
          <w:rFonts w:eastAsia="Calibri" w:cs="Tahoma"/>
          <w:color w:val="000000"/>
          <w:szCs w:val="18"/>
          <w:lang w:val="pt-BR"/>
        </w:rPr>
        <w:t xml:space="preserve">Os clientes do Enterprise Subscription </w:t>
      </w:r>
      <w:r w:rsidRPr="008D38F6">
        <w:rPr>
          <w:rFonts w:eastAsia="Calibri" w:cs="Tahoma"/>
          <w:szCs w:val="18"/>
          <w:lang w:val="pt-BR"/>
        </w:rPr>
        <w:t xml:space="preserve">e Open Value Subscription </w:t>
      </w:r>
      <w:r w:rsidRPr="008D38F6">
        <w:rPr>
          <w:rFonts w:eastAsia="Calibri" w:cs="Tahoma"/>
          <w:color w:val="000000"/>
          <w:szCs w:val="18"/>
          <w:lang w:val="pt-BR"/>
        </w:rPr>
        <w:t>com cobertura expirando em ou depois de</w:t>
      </w:r>
      <w:r w:rsidR="00F73784" w:rsidRPr="008D38F6">
        <w:rPr>
          <w:rFonts w:eastAsia="Calibri" w:cs="Tahoma"/>
          <w:color w:val="000000"/>
          <w:szCs w:val="18"/>
          <w:lang w:val="pt-BR"/>
        </w:rPr>
        <w:t> </w:t>
      </w:r>
      <w:r w:rsidR="00EB0F1B" w:rsidRPr="008D38F6">
        <w:rPr>
          <w:rFonts w:eastAsia="Calibri" w:cs="Tahoma"/>
          <w:color w:val="000000"/>
          <w:szCs w:val="18"/>
          <w:lang w:val="pt-BR"/>
        </w:rPr>
        <w:t>1</w:t>
      </w:r>
      <w:r w:rsidR="00EB0F1B" w:rsidRPr="008D38F6">
        <w:rPr>
          <w:rFonts w:eastAsia="Calibri" w:cs="Tahoma"/>
          <w:color w:val="000000"/>
          <w:szCs w:val="18"/>
          <w:vertAlign w:val="superscript"/>
          <w:lang w:val="pt-BR"/>
        </w:rPr>
        <w:t>º</w:t>
      </w:r>
      <w:r w:rsidRPr="008D38F6">
        <w:rPr>
          <w:rFonts w:eastAsia="Calibri" w:cs="Tahoma"/>
          <w:color w:val="000000"/>
          <w:szCs w:val="18"/>
          <w:lang w:val="pt-BR"/>
        </w:rPr>
        <w:t xml:space="preserve"> de abril de 2015 que optarem por comprar licenças de processador e quaisquer outros clientes que adquirirem licenças perpétuas sob este contrato terão as seguintes opções: </w:t>
      </w:r>
    </w:p>
    <w:p w:rsidR="009C7505" w:rsidRPr="008D38F6" w:rsidRDefault="009C7505" w:rsidP="009C7505">
      <w:pPr>
        <w:tabs>
          <w:tab w:val="left" w:pos="720"/>
        </w:tabs>
        <w:ind w:left="720"/>
        <w:rPr>
          <w:lang w:val="pt-BR"/>
        </w:rPr>
      </w:pPr>
    </w:p>
    <w:p w:rsidR="00A81E83" w:rsidRPr="008D38F6" w:rsidRDefault="00A81E83" w:rsidP="009C7505">
      <w:pPr>
        <w:numPr>
          <w:ilvl w:val="2"/>
          <w:numId w:val="64"/>
        </w:numPr>
        <w:spacing w:after="60"/>
        <w:ind w:left="1440"/>
        <w:rPr>
          <w:lang w:val="pt-BR"/>
        </w:rPr>
      </w:pPr>
      <w:r w:rsidRPr="008D38F6">
        <w:rPr>
          <w:rFonts w:eastAsia="Calibri" w:cs="Tahoma"/>
          <w:szCs w:val="18"/>
          <w:lang w:val="pt-BR"/>
        </w:rPr>
        <w:t xml:space="preserve">Conforme fornecido no primeiro parágrafo desta nota de produto, as licenças adquiridas antes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que optou por não renovar” acima e</w:t>
      </w:r>
    </w:p>
    <w:p w:rsidR="00A81E83" w:rsidRPr="008D38F6" w:rsidRDefault="00A81E83" w:rsidP="009C7505">
      <w:pPr>
        <w:numPr>
          <w:ilvl w:val="2"/>
          <w:numId w:val="64"/>
        </w:numPr>
        <w:spacing w:after="60"/>
        <w:ind w:left="1440"/>
        <w:rPr>
          <w:lang w:val="pt-BR"/>
        </w:rPr>
      </w:pPr>
      <w:r w:rsidRPr="008D38F6">
        <w:rPr>
          <w:rFonts w:eastAsia="Calibri" w:cs="Tahoma"/>
          <w:szCs w:val="18"/>
          <w:lang w:val="pt-BR"/>
        </w:rPr>
        <w:t xml:space="preserve">Para as licenças adquiridas depois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2015, a licença do processador de clientes terá</w:t>
      </w:r>
      <w:r w:rsidR="00F73784" w:rsidRPr="008D38F6">
        <w:rPr>
          <w:rFonts w:eastAsia="Calibri" w:cs="Tahoma"/>
          <w:szCs w:val="18"/>
          <w:lang w:val="pt-BR"/>
        </w:rPr>
        <w:t> </w:t>
      </w:r>
      <w:r w:rsidRPr="008D38F6">
        <w:rPr>
          <w:rFonts w:eastAsia="Calibri" w:cs="Tahoma"/>
          <w:szCs w:val="18"/>
          <w:lang w:val="pt-BR"/>
        </w:rPr>
        <w:t>uma equivalência de núcleo de quatro licenças principais do SQL Server 2012 Standard. Para</w:t>
      </w:r>
      <w:r w:rsidR="00F73784" w:rsidRPr="008D38F6">
        <w:rPr>
          <w:rFonts w:eastAsia="Calibri" w:cs="Tahoma"/>
          <w:szCs w:val="18"/>
          <w:lang w:val="pt-BR"/>
        </w:rPr>
        <w:t> </w:t>
      </w:r>
      <w:r w:rsidRPr="008D38F6">
        <w:rPr>
          <w:rFonts w:eastAsia="Calibri" w:cs="Tahoma"/>
          <w:szCs w:val="18"/>
          <w:lang w:val="pt-BR"/>
        </w:rPr>
        <w:t>o</w:t>
      </w:r>
      <w:r w:rsidR="00F73784" w:rsidRPr="008D38F6">
        <w:rPr>
          <w:rFonts w:eastAsia="Calibri" w:cs="Tahoma"/>
          <w:szCs w:val="18"/>
          <w:lang w:val="pt-BR"/>
        </w:rPr>
        <w:t> </w:t>
      </w:r>
      <w:r w:rsidRPr="008D38F6">
        <w:rPr>
          <w:rFonts w:eastAsia="Calibri" w:cs="Tahoma"/>
          <w:szCs w:val="18"/>
          <w:lang w:val="pt-BR"/>
        </w:rPr>
        <w:t>uso contínuo do SQL Server 2012 em processadores que exigem mais de quatro licenças principais por processador, o cliente tem que adquirir licenças principais adicionais.</w:t>
      </w:r>
    </w:p>
    <w:p w:rsidR="009C7505" w:rsidRPr="008D38F6" w:rsidRDefault="009C7505" w:rsidP="009C7505">
      <w:pPr>
        <w:ind w:left="1440"/>
        <w:rPr>
          <w:lang w:val="pt-BR"/>
        </w:rPr>
      </w:pPr>
    </w:p>
    <w:p w:rsidR="009C7505" w:rsidRPr="008D38F6" w:rsidRDefault="00A81E83" w:rsidP="009C7505">
      <w:pPr>
        <w:spacing w:after="60"/>
        <w:ind w:left="720"/>
        <w:rPr>
          <w:lang w:val="pt-BR"/>
        </w:rPr>
      </w:pPr>
      <w:r w:rsidRPr="008D38F6">
        <w:rPr>
          <w:b/>
          <w:lang w:val="pt-BR"/>
        </w:rPr>
        <w:t>Para os clientes localizados na República Popular da</w:t>
      </w:r>
      <w:r w:rsidRPr="008D38F6">
        <w:rPr>
          <w:lang w:val="pt-BR"/>
        </w:rPr>
        <w:t xml:space="preserve"> </w:t>
      </w:r>
      <w:r w:rsidRPr="008D38F6">
        <w:rPr>
          <w:b/>
          <w:lang w:val="pt-BR"/>
        </w:rPr>
        <w:t>China e para os que estão adquirindo licenças de processador e Software Assurance para SQL Server 2008 R2</w:t>
      </w:r>
    </w:p>
    <w:p w:rsidR="001D7A2C" w:rsidRPr="008D38F6" w:rsidRDefault="00A81E83" w:rsidP="009C7505">
      <w:pPr>
        <w:ind w:left="720"/>
        <w:rPr>
          <w:lang w:val="pt-BR"/>
        </w:rPr>
      </w:pPr>
      <w:r w:rsidRPr="008D38F6">
        <w:rPr>
          <w:lang w:val="pt-BR"/>
        </w:rPr>
        <w:t xml:space="preserve">As referências a </w:t>
      </w:r>
      <w:r w:rsidR="00EB0F1B" w:rsidRPr="008D38F6">
        <w:rPr>
          <w:lang w:val="pt-BR"/>
        </w:rPr>
        <w:t>1</w:t>
      </w:r>
      <w:r w:rsidR="00EB0F1B" w:rsidRPr="008D38F6">
        <w:rPr>
          <w:vertAlign w:val="superscript"/>
          <w:lang w:val="pt-BR"/>
        </w:rPr>
        <w:t>º</w:t>
      </w:r>
      <w:r w:rsidRPr="008D38F6">
        <w:rPr>
          <w:lang w:val="pt-BR"/>
        </w:rPr>
        <w:t xml:space="preserve"> de abril de 2012 e </w:t>
      </w:r>
      <w:r w:rsidR="00EB0F1B" w:rsidRPr="008D38F6">
        <w:rPr>
          <w:lang w:val="pt-BR"/>
        </w:rPr>
        <w:t>1</w:t>
      </w:r>
      <w:r w:rsidR="00EB0F1B" w:rsidRPr="008D38F6">
        <w:rPr>
          <w:vertAlign w:val="superscript"/>
          <w:lang w:val="pt-BR"/>
        </w:rPr>
        <w:t>º</w:t>
      </w:r>
      <w:r w:rsidRPr="008D38F6">
        <w:rPr>
          <w:lang w:val="pt-BR"/>
        </w:rPr>
        <w:t xml:space="preserve"> de abril de 2015 nesta nota da lista de produtos não são aplicáveis. As datas aplicáveis para esses clientes são </w:t>
      </w:r>
      <w:r w:rsidR="00EB0F1B" w:rsidRPr="008D38F6">
        <w:rPr>
          <w:lang w:val="pt-BR"/>
        </w:rPr>
        <w:t>1</w:t>
      </w:r>
      <w:r w:rsidR="00EB0F1B" w:rsidRPr="008D38F6">
        <w:rPr>
          <w:vertAlign w:val="superscript"/>
          <w:lang w:val="pt-BR"/>
        </w:rPr>
        <w:t>º</w:t>
      </w:r>
      <w:r w:rsidRPr="008D38F6">
        <w:rPr>
          <w:lang w:val="pt-BR"/>
        </w:rPr>
        <w:t xml:space="preserve"> de julho de 2012 e </w:t>
      </w:r>
      <w:r w:rsidR="00EB0F1B" w:rsidRPr="008D38F6">
        <w:rPr>
          <w:lang w:val="pt-BR"/>
        </w:rPr>
        <w:t>1</w:t>
      </w:r>
      <w:r w:rsidR="00EB0F1B" w:rsidRPr="008D38F6">
        <w:rPr>
          <w:vertAlign w:val="superscript"/>
          <w:lang w:val="pt-BR"/>
        </w:rPr>
        <w:t>º</w:t>
      </w:r>
      <w:r w:rsidRPr="008D38F6">
        <w:rPr>
          <w:lang w:val="pt-BR"/>
        </w:rPr>
        <w:t xml:space="preserve"> de julho de 2015, respectivamente.</w:t>
      </w:r>
      <w:bookmarkStart w:id="1426" w:name="_821_SQL_Server®"/>
      <w:bookmarkEnd w:id="1382"/>
      <w:bookmarkEnd w:id="1383"/>
      <w:bookmarkEnd w:id="1384"/>
      <w:bookmarkEnd w:id="1385"/>
      <w:bookmarkEnd w:id="1426"/>
    </w:p>
    <w:p w:rsidR="009C7505" w:rsidRPr="008D38F6" w:rsidRDefault="009C7505" w:rsidP="009C7505">
      <w:pPr>
        <w:rPr>
          <w:lang w:val="pt-BR"/>
        </w:rPr>
      </w:pPr>
    </w:p>
    <w:p w:rsidR="00602EF4" w:rsidRPr="008D38F6" w:rsidRDefault="00602EF4" w:rsidP="00602EF4">
      <w:pPr>
        <w:rPr>
          <w:lang w:val="pt-BR"/>
        </w:rPr>
      </w:pPr>
      <w:bookmarkStart w:id="1427" w:name="Srv_82SysCtrDataProMgr07StdSvrMgmtML"/>
      <w:bookmarkStart w:id="1428" w:name="Srv_78SysCtrDataProMgr07StdSvrMgmtML"/>
      <w:bookmarkStart w:id="1429" w:name="Srv_79SysCtrDataProMgr07StdSvrMgmtML"/>
    </w:p>
    <w:p w:rsidR="00023FE7" w:rsidRPr="00416070" w:rsidRDefault="0099402E" w:rsidP="0037081F">
      <w:pPr>
        <w:pStyle w:val="Heading3"/>
      </w:pPr>
      <w:bookmarkStart w:id="1430" w:name="_79_System_Center"/>
      <w:bookmarkStart w:id="1431" w:name="_86_84_System"/>
      <w:bookmarkStart w:id="1432" w:name="_Toc336338351"/>
      <w:bookmarkStart w:id="1433" w:name="_Toc352234410"/>
      <w:bookmarkStart w:id="1434" w:name="Srv_79SystemCenterEssentials07"/>
      <w:bookmarkStart w:id="1435" w:name="Srv_80SystemCenterEssentials07"/>
      <w:bookmarkStart w:id="1436" w:name="Srv_83SystemCenterEssentials07"/>
      <w:bookmarkEnd w:id="1427"/>
      <w:bookmarkEnd w:id="1428"/>
      <w:bookmarkEnd w:id="1429"/>
      <w:bookmarkEnd w:id="1430"/>
      <w:bookmarkEnd w:id="1431"/>
      <w:r w:rsidRPr="00416070">
        <w:rPr>
          <w:rFonts w:ascii="Tahoma" w:hAnsi="Tahoma"/>
          <w:caps/>
          <w:color w:val="F66400"/>
          <w:sz w:val="22"/>
          <w:vertAlign w:val="superscript"/>
        </w:rPr>
        <w:t>84</w:t>
      </w:r>
      <w:r w:rsidRPr="00416070">
        <w:rPr>
          <w:rFonts w:ascii="Tahoma" w:hAnsi="Tahoma"/>
          <w:color w:val="F66400"/>
          <w:sz w:val="22"/>
        </w:rPr>
        <w:t xml:space="preserve"> System Center Essentials 2010</w:t>
      </w:r>
      <w:bookmarkEnd w:id="1432"/>
      <w:bookmarkEnd w:id="1433"/>
    </w:p>
    <w:bookmarkEnd w:id="1434"/>
    <w:bookmarkEnd w:id="1435"/>
    <w:bookmarkEnd w:id="1436"/>
    <w:p w:rsidR="00A30254" w:rsidRPr="008D38F6" w:rsidRDefault="00A30254" w:rsidP="00602EF4">
      <w:pPr>
        <w:spacing w:after="60"/>
        <w:ind w:left="720"/>
        <w:rPr>
          <w:lang w:val="pt-BR"/>
        </w:rPr>
      </w:pPr>
    </w:p>
    <w:p w:rsidR="00A30254" w:rsidRPr="008D38F6" w:rsidRDefault="00A30254" w:rsidP="00A30254">
      <w:pPr>
        <w:spacing w:after="60"/>
        <w:ind w:left="720"/>
        <w:rPr>
          <w:lang w:val="pt-BR"/>
        </w:rPr>
      </w:pPr>
      <w:r w:rsidRPr="008D38F6">
        <w:rPr>
          <w:rFonts w:cs="Tahoma"/>
          <w:b/>
          <w:color w:val="000000"/>
          <w:szCs w:val="20"/>
          <w:lang w:val="pt-BR"/>
        </w:rPr>
        <w:t>Outorga de Licença para os Clientes de Software Assurance do System Center Essentials 2010</w:t>
      </w:r>
    </w:p>
    <w:p w:rsidR="00A30254" w:rsidRPr="00416070" w:rsidRDefault="00A30254" w:rsidP="00A30254">
      <w:pPr>
        <w:pStyle w:val="EndnoteText"/>
        <w:ind w:left="720"/>
      </w:pPr>
      <w:r w:rsidRPr="00416070">
        <w:rPr>
          <w:rFonts w:ascii="Tahoma" w:hAnsi="Tahoma" w:cs="Tahoma"/>
          <w:sz w:val="18"/>
        </w:rPr>
        <w:t>A versão 2010 do System Center Essentials (SCE) será a última versão do produto.</w:t>
      </w:r>
      <w:r w:rsidR="00FB5496" w:rsidRPr="00416070">
        <w:rPr>
          <w:rFonts w:ascii="Tahoma" w:hAnsi="Tahoma" w:cs="Tahoma"/>
          <w:sz w:val="18"/>
        </w:rPr>
        <w:t xml:space="preserve"> </w:t>
      </w:r>
      <w:r w:rsidRPr="00416070">
        <w:rPr>
          <w:rFonts w:ascii="Tahoma" w:hAnsi="Tahoma" w:cs="Tahoma"/>
          <w:sz w:val="18"/>
        </w:rPr>
        <w:t xml:space="preserve">Os clientes que possuírem cobertura de Software Assurance para SCE a partir de </w:t>
      </w:r>
      <w:r w:rsidR="00EB0F1B">
        <w:rPr>
          <w:rFonts w:ascii="Tahoma" w:hAnsi="Tahoma" w:cs="Tahoma"/>
          <w:sz w:val="18"/>
        </w:rPr>
        <w:t>1</w:t>
      </w:r>
      <w:r w:rsidR="00EB0F1B" w:rsidRPr="0005355D">
        <w:rPr>
          <w:rFonts w:ascii="Tahoma" w:hAnsi="Tahoma" w:cs="Tahoma"/>
          <w:sz w:val="18"/>
          <w:vertAlign w:val="superscript"/>
        </w:rPr>
        <w:t>º</w:t>
      </w:r>
      <w:r w:rsidRPr="00416070">
        <w:rPr>
          <w:rFonts w:ascii="Tahoma" w:hAnsi="Tahoma" w:cs="Tahoma"/>
          <w:sz w:val="18"/>
        </w:rPr>
        <w:t xml:space="preserve"> de março de 2013 terão uma concessão</w:t>
      </w:r>
      <w:r w:rsidR="00F73784">
        <w:rPr>
          <w:rFonts w:eastAsia="Calibri" w:cs="Tahoma"/>
          <w:szCs w:val="18"/>
        </w:rPr>
        <w:t> </w:t>
      </w:r>
      <w:r w:rsidRPr="00416070">
        <w:rPr>
          <w:rFonts w:ascii="Tahoma" w:hAnsi="Tahoma" w:cs="Tahoma"/>
          <w:sz w:val="18"/>
        </w:rPr>
        <w:t>de licenças do System Center 2012 sem custo adicional, a não ser os custos de mídia (se</w:t>
      </w:r>
      <w:r w:rsidR="00F73784">
        <w:rPr>
          <w:rFonts w:eastAsia="Calibri" w:cs="Tahoma"/>
          <w:szCs w:val="18"/>
        </w:rPr>
        <w:t> </w:t>
      </w:r>
      <w:r w:rsidRPr="00416070">
        <w:rPr>
          <w:rFonts w:ascii="Tahoma" w:hAnsi="Tahoma" w:cs="Tahoma"/>
          <w:sz w:val="18"/>
        </w:rPr>
        <w:t>aplicável).</w:t>
      </w:r>
      <w:r w:rsidR="00FB5496" w:rsidRPr="00416070">
        <w:rPr>
          <w:rFonts w:ascii="Tahoma" w:hAnsi="Tahoma" w:cs="Tahoma"/>
          <w:sz w:val="18"/>
        </w:rPr>
        <w:t xml:space="preserve"> </w:t>
      </w:r>
      <w:r w:rsidRPr="00416070">
        <w:rPr>
          <w:rFonts w:ascii="Tahoma" w:hAnsi="Tahoma" w:cs="Tahoma"/>
          <w:sz w:val="18"/>
        </w:rPr>
        <w:t>O número de licenças do System Center 2012 para as quais um cliente estará qualificado sob</w:t>
      </w:r>
      <w:r w:rsidR="00F73784">
        <w:rPr>
          <w:rFonts w:eastAsia="Calibri" w:cs="Tahoma"/>
          <w:szCs w:val="18"/>
        </w:rPr>
        <w:t> </w:t>
      </w:r>
      <w:r w:rsidRPr="00416070">
        <w:rPr>
          <w:rFonts w:ascii="Tahoma" w:hAnsi="Tahoma" w:cs="Tahoma"/>
          <w:sz w:val="18"/>
        </w:rPr>
        <w:t>esta oferta varia com base no número e no tipo de licenças SCE com cobertura de Software Assurance que o cliente adquiriu.</w:t>
      </w:r>
      <w:r w:rsidR="00FB5496" w:rsidRPr="00416070">
        <w:rPr>
          <w:rFonts w:ascii="Tahoma" w:hAnsi="Tahoma" w:cs="Tahoma"/>
          <w:sz w:val="18"/>
        </w:rPr>
        <w:t xml:space="preserve"> </w:t>
      </w:r>
      <w:r w:rsidRPr="00416070">
        <w:rPr>
          <w:rFonts w:ascii="Tahoma" w:hAnsi="Tahoma" w:cs="Tahoma"/>
          <w:sz w:val="18"/>
        </w:rPr>
        <w:t>Consulte a tabela a seguir para obter detalhes.</w:t>
      </w:r>
    </w:p>
    <w:p w:rsidR="00A30254" w:rsidRPr="00416070"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2B5F9E" w:rsidTr="00CE334A">
        <w:tc>
          <w:tcPr>
            <w:tcW w:w="3960" w:type="dxa"/>
            <w:shd w:val="clear" w:color="auto" w:fill="FABF8F"/>
            <w:hideMark/>
          </w:tcPr>
          <w:p w:rsidR="00A30254" w:rsidRPr="008D38F6" w:rsidRDefault="00A30254" w:rsidP="00CE334A">
            <w:pPr>
              <w:ind w:left="162"/>
              <w:jc w:val="center"/>
              <w:rPr>
                <w:rFonts w:cs="Tahoma"/>
                <w:b/>
                <w:bCs/>
                <w:color w:val="000000"/>
                <w:szCs w:val="18"/>
                <w:lang w:val="pt-BR"/>
              </w:rPr>
            </w:pPr>
            <w:r w:rsidRPr="008D38F6">
              <w:rPr>
                <w:rFonts w:cs="Tahoma"/>
                <w:b/>
                <w:bCs/>
                <w:color w:val="000000"/>
                <w:szCs w:val="18"/>
                <w:lang w:val="pt-BR"/>
              </w:rPr>
              <w:t>Licenças de Qualificação com Software Assurance</w:t>
            </w:r>
          </w:p>
        </w:tc>
        <w:tc>
          <w:tcPr>
            <w:tcW w:w="4593" w:type="dxa"/>
            <w:shd w:val="clear" w:color="auto" w:fill="FABF8F"/>
            <w:hideMark/>
          </w:tcPr>
          <w:p w:rsidR="00A30254" w:rsidRPr="008D38F6" w:rsidRDefault="00A30254" w:rsidP="00CE334A">
            <w:pPr>
              <w:ind w:left="162"/>
              <w:jc w:val="center"/>
              <w:rPr>
                <w:rFonts w:cs="Tahoma"/>
                <w:b/>
                <w:bCs/>
                <w:color w:val="000000"/>
                <w:szCs w:val="18"/>
                <w:lang w:val="pt-BR"/>
              </w:rPr>
            </w:pPr>
            <w:r w:rsidRPr="008D38F6">
              <w:rPr>
                <w:rFonts w:cs="Tahoma"/>
                <w:b/>
                <w:bCs/>
                <w:color w:val="000000"/>
                <w:szCs w:val="18"/>
                <w:lang w:val="pt-BR"/>
              </w:rPr>
              <w:t>Outorga de Licença do System Center 2012</w:t>
            </w:r>
          </w:p>
        </w:tc>
      </w:tr>
      <w:tr w:rsidR="00A30254" w:rsidRPr="002B5F9E" w:rsidTr="00CE334A">
        <w:tc>
          <w:tcPr>
            <w:tcW w:w="3960" w:type="dxa"/>
            <w:hideMark/>
          </w:tcPr>
          <w:p w:rsidR="00A30254" w:rsidRPr="00416070" w:rsidRDefault="00A30254" w:rsidP="00CE334A">
            <w:pPr>
              <w:ind w:left="162"/>
              <w:rPr>
                <w:rFonts w:cs="Tahoma"/>
                <w:bCs/>
                <w:color w:val="000000"/>
                <w:szCs w:val="18"/>
              </w:rPr>
            </w:pPr>
            <w:r w:rsidRPr="00416070">
              <w:rPr>
                <w:rFonts w:cs="Tahoma"/>
                <w:bCs/>
                <w:color w:val="000000"/>
                <w:szCs w:val="18"/>
              </w:rPr>
              <w:t>System Center Essentials 2010</w:t>
            </w:r>
          </w:p>
        </w:tc>
        <w:tc>
          <w:tcPr>
            <w:tcW w:w="4593"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uma Licença de Gerenciamento de Servidores Padrão do System Center 2012 para cada oito* licenças de qualificação</w:t>
            </w:r>
          </w:p>
        </w:tc>
      </w:tr>
      <w:tr w:rsidR="00A30254" w:rsidRPr="002B5F9E" w:rsidTr="00CE334A">
        <w:tc>
          <w:tcPr>
            <w:tcW w:w="3960"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System Center Essentials 2010 com SQL</w:t>
            </w:r>
          </w:p>
        </w:tc>
        <w:tc>
          <w:tcPr>
            <w:tcW w:w="4593"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uma Licença de Gerenciamento de Servidores Padrão do System Center 2012 para cada uma licença qualificada</w:t>
            </w:r>
          </w:p>
        </w:tc>
      </w:tr>
      <w:tr w:rsidR="00A30254" w:rsidRPr="002B5F9E" w:rsidTr="00CE334A">
        <w:tc>
          <w:tcPr>
            <w:tcW w:w="3960"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Licença de Gerenciamento do System Center Essentials 2010 Server</w:t>
            </w:r>
          </w:p>
        </w:tc>
        <w:tc>
          <w:tcPr>
            <w:tcW w:w="4593"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uma Licença de Gerenciamento de Servidores Padrão do System Center 2012 para cada oito* licenças de qualificação</w:t>
            </w:r>
          </w:p>
        </w:tc>
      </w:tr>
      <w:tr w:rsidR="00A30254" w:rsidRPr="002B5F9E" w:rsidTr="00CE334A">
        <w:tc>
          <w:tcPr>
            <w:tcW w:w="3960" w:type="dxa"/>
            <w:hideMark/>
          </w:tcPr>
          <w:p w:rsidR="00A30254" w:rsidRPr="008D38F6" w:rsidRDefault="00A30254" w:rsidP="00CE334A">
            <w:pPr>
              <w:ind w:left="162"/>
              <w:rPr>
                <w:lang w:val="pt-BR"/>
              </w:rPr>
            </w:pPr>
            <w:r w:rsidRPr="008D38F6">
              <w:rPr>
                <w:rFonts w:cs="Tahoma"/>
                <w:bCs/>
                <w:color w:val="000000"/>
                <w:szCs w:val="18"/>
                <w:lang w:val="pt-BR"/>
              </w:rPr>
              <w:t>System Center Essentials 2010 Plus</w:t>
            </w:r>
          </w:p>
          <w:p w:rsidR="00A30254" w:rsidRPr="008D38F6" w:rsidRDefault="00A30254" w:rsidP="00F73784">
            <w:pPr>
              <w:ind w:left="162"/>
              <w:rPr>
                <w:rFonts w:cs="Tahoma"/>
                <w:bCs/>
                <w:color w:val="000000"/>
                <w:szCs w:val="18"/>
                <w:lang w:val="pt-BR"/>
              </w:rPr>
            </w:pPr>
            <w:r w:rsidRPr="008D38F6">
              <w:rPr>
                <w:rFonts w:cs="Tahoma"/>
                <w:bCs/>
                <w:color w:val="000000"/>
                <w:szCs w:val="18"/>
                <w:lang w:val="pt-BR"/>
              </w:rPr>
              <w:t>Pacote de Licenças de Gerenciamento de</w:t>
            </w:r>
            <w:r w:rsidR="00F73784" w:rsidRPr="008D38F6">
              <w:rPr>
                <w:rFonts w:cs="Tahoma"/>
                <w:bCs/>
                <w:color w:val="000000"/>
                <w:szCs w:val="18"/>
                <w:lang w:val="pt-BR"/>
              </w:rPr>
              <w:t> </w:t>
            </w:r>
            <w:r w:rsidRPr="008D38F6">
              <w:rPr>
                <w:rFonts w:cs="Tahoma"/>
                <w:bCs/>
                <w:color w:val="000000"/>
                <w:szCs w:val="18"/>
                <w:lang w:val="pt-BR"/>
              </w:rPr>
              <w:t>Servidor</w:t>
            </w:r>
          </w:p>
        </w:tc>
        <w:tc>
          <w:tcPr>
            <w:tcW w:w="4593"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uma Licença de Gerenciamento de Servidores Padrão do System Center 2012 para cada duas** licenças de qualificação</w:t>
            </w:r>
          </w:p>
        </w:tc>
      </w:tr>
      <w:tr w:rsidR="00A30254" w:rsidRPr="002B5F9E" w:rsidTr="00CE334A">
        <w:tc>
          <w:tcPr>
            <w:tcW w:w="3960"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Licença de Gerenciamento de Clientes do</w:t>
            </w:r>
            <w:r w:rsidR="00F73784" w:rsidRPr="008D38F6">
              <w:rPr>
                <w:rFonts w:cs="Tahoma"/>
                <w:bCs/>
                <w:color w:val="000000"/>
                <w:szCs w:val="18"/>
                <w:lang w:val="pt-BR"/>
              </w:rPr>
              <w:t> </w:t>
            </w:r>
            <w:r w:rsidRPr="008D38F6">
              <w:rPr>
                <w:rFonts w:cs="Tahoma"/>
                <w:bCs/>
                <w:color w:val="000000"/>
                <w:szCs w:val="18"/>
                <w:lang w:val="pt-BR"/>
              </w:rPr>
              <w:t>System Center Essentials 2010</w:t>
            </w:r>
          </w:p>
        </w:tc>
        <w:tc>
          <w:tcPr>
            <w:tcW w:w="4593"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uma Licença de Gerenciamento de Clientes do Gerenciador de Configuração do System Center 2012 para cada uma licença qualificada</w:t>
            </w:r>
          </w:p>
        </w:tc>
      </w:tr>
      <w:tr w:rsidR="00A30254" w:rsidRPr="002B5F9E" w:rsidTr="00CE334A">
        <w:tc>
          <w:tcPr>
            <w:tcW w:w="3960"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Licença de Gerenciamento de Cliente do</w:t>
            </w:r>
            <w:r w:rsidR="00F73784" w:rsidRPr="008D38F6">
              <w:rPr>
                <w:rFonts w:cs="Tahoma"/>
                <w:bCs/>
                <w:color w:val="000000"/>
                <w:szCs w:val="18"/>
                <w:lang w:val="pt-BR"/>
              </w:rPr>
              <w:t> </w:t>
            </w:r>
            <w:r w:rsidRPr="008D38F6">
              <w:rPr>
                <w:rFonts w:cs="Tahoma"/>
                <w:bCs/>
                <w:color w:val="000000"/>
                <w:szCs w:val="18"/>
                <w:lang w:val="pt-BR"/>
              </w:rPr>
              <w:t>System Center Essentials 2010 Plus</w:t>
            </w:r>
          </w:p>
        </w:tc>
        <w:tc>
          <w:tcPr>
            <w:tcW w:w="4593"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uma Licença de Gerenciamento de Clientes do Gerenciador de Configuração do System Center 2012 para cada uma licença qualificada</w:t>
            </w:r>
          </w:p>
        </w:tc>
      </w:tr>
      <w:tr w:rsidR="00A30254" w:rsidRPr="002B5F9E" w:rsidTr="00CE334A">
        <w:tc>
          <w:tcPr>
            <w:tcW w:w="3960" w:type="dxa"/>
            <w:hideMark/>
          </w:tcPr>
          <w:p w:rsidR="00A30254" w:rsidRPr="00416070" w:rsidRDefault="00A30254" w:rsidP="00CE334A">
            <w:pPr>
              <w:ind w:left="162"/>
              <w:rPr>
                <w:rFonts w:cs="Tahoma"/>
                <w:bCs/>
                <w:color w:val="000000"/>
                <w:szCs w:val="18"/>
              </w:rPr>
            </w:pPr>
            <w:r w:rsidRPr="00416070">
              <w:rPr>
                <w:rFonts w:cs="Tahoma"/>
                <w:bCs/>
                <w:color w:val="000000"/>
                <w:szCs w:val="18"/>
              </w:rPr>
              <w:t>Licença do Virtual Machine Manager Workgroup Edition Server</w:t>
            </w:r>
          </w:p>
        </w:tc>
        <w:tc>
          <w:tcPr>
            <w:tcW w:w="4593" w:type="dxa"/>
            <w:hideMark/>
          </w:tcPr>
          <w:p w:rsidR="00A30254" w:rsidRPr="008D38F6" w:rsidRDefault="00A30254" w:rsidP="00CE334A">
            <w:pPr>
              <w:ind w:left="162"/>
              <w:rPr>
                <w:rFonts w:cs="Tahoma"/>
                <w:bCs/>
                <w:color w:val="000000"/>
                <w:szCs w:val="18"/>
                <w:lang w:val="pt-BR"/>
              </w:rPr>
            </w:pPr>
            <w:r w:rsidRPr="008D38F6">
              <w:rPr>
                <w:rFonts w:cs="Tahoma"/>
                <w:bCs/>
                <w:color w:val="000000"/>
                <w:szCs w:val="18"/>
                <w:lang w:val="pt-BR"/>
              </w:rPr>
              <w:t>uma Licença de Gerenciamento de Servidores Padrão do System Center 2012 para cada duas** licenças de qualificação</w:t>
            </w:r>
          </w:p>
        </w:tc>
      </w:tr>
    </w:tbl>
    <w:p w:rsidR="00A30254" w:rsidRPr="00A76730" w:rsidRDefault="00A30254" w:rsidP="00A30254">
      <w:pPr>
        <w:pStyle w:val="EndnoteText"/>
        <w:rPr>
          <w:sz w:val="16"/>
          <w:szCs w:val="16"/>
        </w:rPr>
      </w:pPr>
      <w:r w:rsidRPr="00A76730">
        <w:rPr>
          <w:rFonts w:ascii="Tahoma" w:hAnsi="Tahoma" w:cs="Tahoma"/>
          <w:i/>
          <w:sz w:val="16"/>
          <w:szCs w:val="16"/>
        </w:rPr>
        <w:t>*As contagens de licenças para clientes com menos de oito licenças de qualificação serão arredondados para oito para fins de determinar sua outorga de licença sob esta oferta.</w:t>
      </w:r>
      <w:r w:rsidR="00FB5496" w:rsidRPr="00A76730">
        <w:rPr>
          <w:rFonts w:ascii="Tahoma" w:hAnsi="Tahoma" w:cs="Tahoma"/>
          <w:i/>
          <w:sz w:val="16"/>
          <w:szCs w:val="16"/>
        </w:rPr>
        <w:t xml:space="preserve"> </w:t>
      </w:r>
      <w:r w:rsidRPr="00A76730">
        <w:rPr>
          <w:rFonts w:ascii="Tahoma" w:hAnsi="Tahoma" w:cs="Tahoma"/>
          <w:i/>
          <w:sz w:val="16"/>
          <w:szCs w:val="16"/>
        </w:rPr>
        <w:t>Da mesma forma, as contagens de licenças para clientes com licenças que ultrapassam oito serão arredondadas para o múltiplo mais próximo de oito para fins de determinar sua outorga de licença sob esta oferta.</w:t>
      </w:r>
    </w:p>
    <w:p w:rsidR="0020393F" w:rsidRPr="008D38F6" w:rsidRDefault="0020393F" w:rsidP="00A30254">
      <w:pPr>
        <w:pStyle w:val="EndnoteText"/>
        <w:rPr>
          <w:sz w:val="16"/>
          <w:szCs w:val="16"/>
          <w:lang w:val="pt-BR"/>
        </w:rPr>
      </w:pPr>
    </w:p>
    <w:p w:rsidR="00A30254" w:rsidRPr="00A76730" w:rsidRDefault="00A30254" w:rsidP="00A30254">
      <w:pPr>
        <w:pStyle w:val="EndnoteText"/>
        <w:rPr>
          <w:sz w:val="16"/>
          <w:szCs w:val="16"/>
        </w:rPr>
      </w:pPr>
      <w:r w:rsidRPr="00A76730">
        <w:rPr>
          <w:rFonts w:ascii="Tahoma" w:hAnsi="Tahoma" w:cs="Tahoma"/>
          <w:i/>
          <w:sz w:val="16"/>
          <w:szCs w:val="16"/>
        </w:rPr>
        <w:t>**As contagens de licenças para clientes com menos de duas licenças de qualificação serão arredondados para dois para fins de determinar sua outorga de licença sob esta oferta.</w:t>
      </w:r>
      <w:r w:rsidR="00FB5496" w:rsidRPr="00A76730">
        <w:rPr>
          <w:rFonts w:ascii="Tahoma" w:hAnsi="Tahoma" w:cs="Tahoma"/>
          <w:i/>
          <w:sz w:val="16"/>
          <w:szCs w:val="16"/>
        </w:rPr>
        <w:t xml:space="preserve"> </w:t>
      </w:r>
      <w:r w:rsidRPr="00A76730">
        <w:rPr>
          <w:rFonts w:ascii="Tahoma" w:hAnsi="Tahoma" w:cs="Tahoma"/>
          <w:i/>
          <w:sz w:val="16"/>
          <w:szCs w:val="16"/>
        </w:rPr>
        <w:t>Da mesma forma, as contagens de licenças para clientes com licenças que ultrapassam duas serão arredondadas para o múltiplo mais próximo de dois para fins de determinar sua outorga de licença sob esta oferta.</w:t>
      </w:r>
    </w:p>
    <w:p w:rsidR="00A30254" w:rsidRPr="008D38F6" w:rsidRDefault="00A30254" w:rsidP="00CE334A">
      <w:pPr>
        <w:spacing w:line="276" w:lineRule="auto"/>
        <w:rPr>
          <w:lang w:val="pt-BR"/>
        </w:rPr>
      </w:pPr>
    </w:p>
    <w:p w:rsidR="00A30254" w:rsidRPr="008D38F6" w:rsidRDefault="00A30254" w:rsidP="00CE334A">
      <w:pPr>
        <w:pStyle w:val="EndnoteText"/>
        <w:ind w:left="720"/>
        <w:rPr>
          <w:rFonts w:ascii="Tahoma" w:hAnsi="Tahoma" w:cs="Tahoma"/>
          <w:sz w:val="18"/>
          <w:szCs w:val="18"/>
          <w:lang w:val="pt-BR"/>
        </w:rPr>
      </w:pPr>
      <w:r w:rsidRPr="00A76730">
        <w:rPr>
          <w:rFonts w:ascii="Tahoma" w:hAnsi="Tahoma" w:cs="Tahoma"/>
          <w:sz w:val="18"/>
          <w:szCs w:val="18"/>
        </w:rPr>
        <w:t>Todas as licenças concedidas sob esta oferta incluirão cobertura do Software Assurance. Essa cobertura se</w:t>
      </w:r>
      <w:r w:rsidR="00F73784" w:rsidRPr="008D38F6">
        <w:rPr>
          <w:rFonts w:ascii="Tahoma" w:hAnsi="Tahoma" w:cs="Tahoma"/>
          <w:sz w:val="18"/>
          <w:szCs w:val="18"/>
          <w:lang w:val="pt-BR"/>
        </w:rPr>
        <w:t> </w:t>
      </w:r>
      <w:r w:rsidRPr="00A76730">
        <w:rPr>
          <w:rFonts w:ascii="Tahoma" w:hAnsi="Tahoma" w:cs="Tahoma"/>
          <w:sz w:val="18"/>
          <w:szCs w:val="18"/>
        </w:rPr>
        <w:t>encerrará no término da cobertura nas licenças de SCE qualificadas. Ao término dessa cobertura, os</w:t>
      </w:r>
      <w:r w:rsidR="00F73784" w:rsidRPr="008D38F6">
        <w:rPr>
          <w:rFonts w:ascii="Tahoma" w:hAnsi="Tahoma" w:cs="Tahoma"/>
          <w:sz w:val="18"/>
          <w:szCs w:val="18"/>
          <w:lang w:val="pt-BR"/>
        </w:rPr>
        <w:t> </w:t>
      </w:r>
      <w:r w:rsidRPr="00A76730">
        <w:rPr>
          <w:rFonts w:ascii="Tahoma" w:hAnsi="Tahoma" w:cs="Tahoma"/>
          <w:sz w:val="18"/>
          <w:szCs w:val="18"/>
        </w:rPr>
        <w:t xml:space="preserve">clientes poderão renovar o Software Assurance sobre as </w:t>
      </w:r>
      <w:r w:rsidR="00A76730" w:rsidRPr="00A76730">
        <w:rPr>
          <w:rFonts w:ascii="Tahoma" w:hAnsi="Tahoma" w:cs="Tahoma"/>
          <w:sz w:val="18"/>
          <w:szCs w:val="18"/>
        </w:rPr>
        <w:t>licenças do System Center 2012.</w:t>
      </w:r>
    </w:p>
    <w:p w:rsidR="00A30254" w:rsidRPr="008D38F6" w:rsidRDefault="00A30254" w:rsidP="00CE334A">
      <w:pPr>
        <w:spacing w:line="276" w:lineRule="auto"/>
        <w:rPr>
          <w:rFonts w:cs="Tahoma"/>
          <w:szCs w:val="18"/>
          <w:lang w:val="pt-BR"/>
        </w:rPr>
      </w:pPr>
    </w:p>
    <w:p w:rsidR="00A30254" w:rsidRPr="00A76730" w:rsidRDefault="00A30254" w:rsidP="00CE334A">
      <w:pPr>
        <w:pStyle w:val="EndnoteText"/>
        <w:ind w:left="720"/>
        <w:rPr>
          <w:rFonts w:ascii="Tahoma" w:hAnsi="Tahoma" w:cs="Tahoma"/>
          <w:sz w:val="18"/>
          <w:szCs w:val="18"/>
        </w:rPr>
      </w:pPr>
      <w:r w:rsidRPr="00A76730">
        <w:rPr>
          <w:rFonts w:ascii="Tahoma" w:hAnsi="Tahoma" w:cs="Tahoma"/>
          <w:sz w:val="18"/>
          <w:szCs w:val="18"/>
        </w:rPr>
        <w:t>O uso que um cliente faz do software outorgado sob esta oferta está sujeito aos termos e condições de seu</w:t>
      </w:r>
      <w:r w:rsidR="00F73784" w:rsidRPr="008D38F6">
        <w:rPr>
          <w:rFonts w:ascii="Tahoma" w:hAnsi="Tahoma" w:cs="Tahoma"/>
          <w:sz w:val="18"/>
          <w:szCs w:val="18"/>
          <w:lang w:val="pt-BR"/>
        </w:rPr>
        <w:t> </w:t>
      </w:r>
      <w:r w:rsidRPr="00A76730">
        <w:rPr>
          <w:rFonts w:ascii="Tahoma" w:hAnsi="Tahoma" w:cs="Tahoma"/>
          <w:sz w:val="18"/>
          <w:szCs w:val="18"/>
        </w:rPr>
        <w:t>contrato de licença e aos direitos de uso de produto relacionados ao software. O direito de usar o software outorgado expira quando o direito de usar a licença SCE de qualificação expirar. Os clientes não</w:t>
      </w:r>
      <w:r w:rsidR="00F73784" w:rsidRPr="008D38F6">
        <w:rPr>
          <w:rFonts w:ascii="Tahoma" w:hAnsi="Tahoma" w:cs="Tahoma"/>
          <w:sz w:val="18"/>
          <w:szCs w:val="18"/>
          <w:lang w:val="pt-BR"/>
        </w:rPr>
        <w:t> </w:t>
      </w:r>
      <w:r w:rsidRPr="00A76730">
        <w:rPr>
          <w:rFonts w:ascii="Tahoma" w:hAnsi="Tahoma" w:cs="Tahoma"/>
          <w:sz w:val="18"/>
          <w:szCs w:val="18"/>
        </w:rPr>
        <w:t>poderão transferir as licenças outorgadas sob esta oferta separadamente das licenças SCE qualificadas</w:t>
      </w:r>
      <w:r w:rsidR="00F73784" w:rsidRPr="008D38F6">
        <w:rPr>
          <w:rFonts w:ascii="Tahoma" w:hAnsi="Tahoma" w:cs="Tahoma"/>
          <w:sz w:val="18"/>
          <w:szCs w:val="18"/>
          <w:lang w:val="pt-BR"/>
        </w:rPr>
        <w:t> </w:t>
      </w:r>
      <w:r w:rsidRPr="00A76730">
        <w:rPr>
          <w:rFonts w:ascii="Tahoma" w:hAnsi="Tahoma" w:cs="Tahoma"/>
          <w:sz w:val="18"/>
          <w:szCs w:val="18"/>
        </w:rPr>
        <w:t>correspondentes.</w:t>
      </w:r>
    </w:p>
    <w:p w:rsidR="00A30254" w:rsidRPr="00A76730" w:rsidRDefault="00A30254" w:rsidP="00CE334A">
      <w:pPr>
        <w:pStyle w:val="EndnoteText"/>
        <w:ind w:left="720"/>
        <w:rPr>
          <w:rFonts w:ascii="Tahoma" w:hAnsi="Tahoma" w:cs="Tahoma"/>
          <w:sz w:val="18"/>
          <w:szCs w:val="18"/>
        </w:rPr>
      </w:pPr>
    </w:p>
    <w:p w:rsidR="00A30254" w:rsidRPr="008D38F6" w:rsidRDefault="00A30254" w:rsidP="00CE334A">
      <w:pPr>
        <w:ind w:left="720"/>
        <w:rPr>
          <w:rFonts w:cs="Tahoma"/>
          <w:szCs w:val="18"/>
          <w:lang w:val="pt-BR"/>
        </w:rPr>
      </w:pPr>
      <w:r w:rsidRPr="008D38F6">
        <w:rPr>
          <w:rFonts w:eastAsia="Calibri" w:cs="Tahoma"/>
          <w:color w:val="000000"/>
          <w:szCs w:val="18"/>
          <w:lang w:val="pt-BR"/>
        </w:rPr>
        <w:t>As licenças SCE</w:t>
      </w:r>
      <w:r w:rsidRPr="008D38F6">
        <w:rPr>
          <w:rFonts w:cs="Tahoma"/>
          <w:bCs/>
          <w:szCs w:val="18"/>
          <w:lang w:val="pt-BR"/>
        </w:rPr>
        <w:t xml:space="preserve"> adquiridas após 1° de março de 2013 como parte do processo anual de adequação (“true-up”) de um cliente para Registros Enterprise ou Enrollment for Education Solutions sob os quais as licenças para </w:t>
      </w:r>
      <w:r w:rsidRPr="008D38F6">
        <w:rPr>
          <w:rFonts w:eastAsia="Calibri" w:cs="Tahoma"/>
          <w:color w:val="000000"/>
          <w:szCs w:val="18"/>
          <w:lang w:val="pt-BR"/>
        </w:rPr>
        <w:t>SCE</w:t>
      </w:r>
      <w:r w:rsidRPr="008D38F6">
        <w:rPr>
          <w:rFonts w:cs="Tahoma"/>
          <w:bCs/>
          <w:szCs w:val="18"/>
          <w:lang w:val="pt-BR"/>
        </w:rPr>
        <w:t xml:space="preserve"> foram adquiridas pela primeira vez antes de 1° de março de 2013 também são licenças SCE de qualificação para fins desta concessão.</w:t>
      </w:r>
    </w:p>
    <w:p w:rsidR="00A30254" w:rsidRPr="008D38F6" w:rsidRDefault="00A30254" w:rsidP="00CE334A">
      <w:pPr>
        <w:ind w:left="720"/>
        <w:rPr>
          <w:rFonts w:cs="Tahoma"/>
          <w:szCs w:val="18"/>
          <w:lang w:val="pt-BR"/>
        </w:rPr>
      </w:pPr>
    </w:p>
    <w:p w:rsidR="00A30254" w:rsidRPr="008D38F6" w:rsidRDefault="00A30254" w:rsidP="00A76730">
      <w:pPr>
        <w:ind w:left="720"/>
        <w:rPr>
          <w:rFonts w:cs="Tahoma"/>
          <w:szCs w:val="18"/>
          <w:lang w:val="pt-BR"/>
        </w:rPr>
      </w:pPr>
      <w:r w:rsidRPr="008D38F6">
        <w:rPr>
          <w:rFonts w:cs="Tahoma"/>
          <w:bCs/>
          <w:szCs w:val="18"/>
          <w:lang w:val="pt-BR"/>
        </w:rPr>
        <w:t>No caso de clientes de Enrollment for Education Solutions, Contratos Enterprise Subscription, Campus e</w:t>
      </w:r>
      <w:r w:rsidR="00A76730" w:rsidRPr="008D38F6">
        <w:rPr>
          <w:rFonts w:cs="Tahoma"/>
          <w:bCs/>
          <w:szCs w:val="18"/>
          <w:lang w:val="pt-BR"/>
        </w:rPr>
        <w:t> </w:t>
      </w:r>
      <w:r w:rsidRPr="008D38F6">
        <w:rPr>
          <w:rFonts w:cs="Tahoma"/>
          <w:bCs/>
          <w:szCs w:val="18"/>
          <w:lang w:val="pt-BR"/>
        </w:rPr>
        <w:t>School e Open Value Subscription, os mesmos direitos serão outorgados temporariamente até o final do</w:t>
      </w:r>
      <w:r w:rsidR="00F73784" w:rsidRPr="008D38F6">
        <w:rPr>
          <w:rFonts w:cs="Tahoma"/>
          <w:szCs w:val="18"/>
          <w:lang w:val="pt-BR"/>
        </w:rPr>
        <w:t> </w:t>
      </w:r>
      <w:r w:rsidRPr="008D38F6">
        <w:rPr>
          <w:rFonts w:cs="Tahoma"/>
          <w:bCs/>
          <w:szCs w:val="18"/>
          <w:lang w:val="pt-BR"/>
        </w:rPr>
        <w:t>prazo do registro da licença, contanto que as Licenças e o Software Assurance sejam válidos durante o</w:t>
      </w:r>
      <w:r w:rsidR="00F73784" w:rsidRPr="008D38F6">
        <w:rPr>
          <w:rFonts w:cs="Tahoma"/>
          <w:szCs w:val="18"/>
          <w:lang w:val="pt-BR"/>
        </w:rPr>
        <w:t> </w:t>
      </w:r>
      <w:r w:rsidRPr="008D38F6">
        <w:rPr>
          <w:rFonts w:cs="Tahoma"/>
          <w:bCs/>
          <w:szCs w:val="18"/>
          <w:lang w:val="pt-BR"/>
        </w:rPr>
        <w:t>período da outorga e o cliente mantenha uma cobertura contínua da assinatura.</w:t>
      </w:r>
      <w:r w:rsidR="00FB5496" w:rsidRPr="008D38F6">
        <w:rPr>
          <w:rFonts w:cs="Tahoma"/>
          <w:bCs/>
          <w:szCs w:val="18"/>
          <w:lang w:val="pt-BR"/>
        </w:rPr>
        <w:t xml:space="preserve"> </w:t>
      </w:r>
      <w:r w:rsidRPr="008D38F6">
        <w:rPr>
          <w:rFonts w:cs="Tahoma"/>
          <w:bCs/>
          <w:szCs w:val="18"/>
          <w:lang w:val="pt-BR"/>
        </w:rPr>
        <w:t>Esses direitos só se tornarão permanentes se a opção de compra (“buy-out”) for exercida e continuarão sujeitos a todos os termos e condições do contrato de licença do cliente.</w:t>
      </w:r>
    </w:p>
    <w:p w:rsidR="00A30254" w:rsidRPr="008D38F6" w:rsidRDefault="00A30254" w:rsidP="00602EF4">
      <w:pPr>
        <w:spacing w:after="60"/>
        <w:ind w:left="720"/>
        <w:rPr>
          <w:lang w:val="pt-BR"/>
        </w:rPr>
      </w:pPr>
    </w:p>
    <w:p w:rsidR="00CE2BD2" w:rsidRPr="008D38F6" w:rsidRDefault="00CE2BD2" w:rsidP="006D6A83">
      <w:pPr>
        <w:spacing w:after="60"/>
        <w:ind w:left="720"/>
        <w:rPr>
          <w:lang w:val="pt-BR"/>
        </w:rPr>
      </w:pPr>
      <w:r w:rsidRPr="008D38F6">
        <w:rPr>
          <w:rFonts w:cs="Tahoma"/>
          <w:b/>
          <w:color w:val="000000"/>
          <w:szCs w:val="20"/>
          <w:lang w:val="pt-BR"/>
        </w:rPr>
        <w:t>Caminho de Migração do System Center Essentials 2007 (SCE 2007) para o System Center Essentials 2010 (SCE 2010)</w:t>
      </w:r>
    </w:p>
    <w:p w:rsidR="00A30254" w:rsidRPr="008D38F6" w:rsidRDefault="00A30254" w:rsidP="00A30254">
      <w:pPr>
        <w:ind w:left="720"/>
        <w:rPr>
          <w:lang w:val="pt-BR"/>
        </w:rPr>
      </w:pPr>
      <w:r w:rsidRPr="008D38F6">
        <w:rPr>
          <w:rFonts w:cs="Tahoma"/>
          <w:color w:val="000000"/>
          <w:szCs w:val="20"/>
          <w:lang w:val="pt-BR"/>
        </w:rPr>
        <w:t>Para consultar os termos e as condições que regem o direito dos clientes de atualizar para SCE 2010 a partir do SCE 2007 sob Software Assurance, consulte a Lista de Produtos de fevereiro de 2013.</w:t>
      </w:r>
    </w:p>
    <w:p w:rsidR="00F73784" w:rsidRPr="008D38F6" w:rsidRDefault="00F73784" w:rsidP="00CE2BD2">
      <w:pPr>
        <w:ind w:left="720"/>
        <w:rPr>
          <w:lang w:val="pt-BR"/>
        </w:rPr>
      </w:pPr>
    </w:p>
    <w:p w:rsidR="003E651C" w:rsidRPr="008D38F6" w:rsidRDefault="003E651C" w:rsidP="00CE2BD2">
      <w:pPr>
        <w:ind w:left="720"/>
        <w:rPr>
          <w:lang w:val="pt-BR"/>
        </w:rPr>
      </w:pPr>
    </w:p>
    <w:p w:rsidR="00ED5504" w:rsidRPr="00416070" w:rsidRDefault="0099402E" w:rsidP="00ED5504">
      <w:pPr>
        <w:pStyle w:val="Heading3"/>
      </w:pPr>
      <w:bookmarkStart w:id="1437" w:name="_80_System_Center"/>
      <w:bookmarkStart w:id="1438" w:name="_95_System_Center"/>
      <w:bookmarkStart w:id="1439" w:name="_81_System_Center"/>
      <w:bookmarkStart w:id="1440" w:name="_82_System_Center"/>
      <w:bookmarkStart w:id="1441" w:name="_83_System_Center"/>
      <w:bookmarkStart w:id="1442" w:name="_84__System"/>
      <w:bookmarkStart w:id="1443" w:name="_87_85_System"/>
      <w:bookmarkStart w:id="1444" w:name="_Toc336338353"/>
      <w:bookmarkStart w:id="1445" w:name="_Toc352234411"/>
      <w:bookmarkStart w:id="1446" w:name="Srv_88SystemCtrReportMgr2006"/>
      <w:bookmarkStart w:id="1447" w:name="Srv_89SysCtrSvrMgmtSuiteEnterprise"/>
      <w:bookmarkEnd w:id="1437"/>
      <w:bookmarkEnd w:id="1438"/>
      <w:bookmarkEnd w:id="1439"/>
      <w:bookmarkEnd w:id="1440"/>
      <w:bookmarkEnd w:id="1441"/>
      <w:bookmarkEnd w:id="1442"/>
      <w:bookmarkEnd w:id="1443"/>
      <w:r w:rsidRPr="00416070">
        <w:rPr>
          <w:rFonts w:ascii="Tahoma" w:hAnsi="Tahoma"/>
          <w:caps/>
          <w:color w:val="F66400"/>
          <w:sz w:val="22"/>
          <w:vertAlign w:val="superscript"/>
        </w:rPr>
        <w:t>85</w:t>
      </w:r>
      <w:r w:rsidRPr="00416070">
        <w:rPr>
          <w:rFonts w:ascii="Tahoma" w:hAnsi="Tahoma"/>
          <w:color w:val="F66400"/>
          <w:sz w:val="22"/>
        </w:rPr>
        <w:t xml:space="preserve"> System Center Reporting Manager 2006</w:t>
      </w:r>
      <w:bookmarkEnd w:id="1444"/>
      <w:bookmarkEnd w:id="1445"/>
    </w:p>
    <w:bookmarkEnd w:id="1446"/>
    <w:p w:rsidR="00ED5504" w:rsidRPr="00416070" w:rsidRDefault="00ED5504" w:rsidP="00D511CC">
      <w:pPr>
        <w:pStyle w:val="EndnoteText"/>
        <w:ind w:left="0"/>
      </w:pPr>
    </w:p>
    <w:p w:rsidR="00ED5504" w:rsidRPr="00A76730" w:rsidRDefault="00ED5504" w:rsidP="00D511CC">
      <w:pPr>
        <w:pStyle w:val="EndnoteText"/>
        <w:ind w:left="720"/>
        <w:rPr>
          <w:rFonts w:ascii="Tahoma" w:hAnsi="Tahoma" w:cs="Tahoma"/>
          <w:sz w:val="18"/>
          <w:szCs w:val="18"/>
        </w:rPr>
      </w:pPr>
      <w:r w:rsidRPr="00A76730">
        <w:rPr>
          <w:rFonts w:ascii="Tahoma" w:hAnsi="Tahoma" w:cs="Tahoma"/>
          <w:sz w:val="18"/>
          <w:szCs w:val="18"/>
        </w:rPr>
        <w:t>Este produto encontra-se no status EOL (Fim da Vida Útil) e não será mais oferecido.</w:t>
      </w:r>
    </w:p>
    <w:p w:rsidR="00ED5504" w:rsidRPr="00A76730" w:rsidRDefault="00ED5504" w:rsidP="00D511CC">
      <w:pPr>
        <w:pStyle w:val="EndnoteText"/>
        <w:ind w:left="720"/>
        <w:rPr>
          <w:rFonts w:ascii="Tahoma" w:hAnsi="Tahoma" w:cs="Tahoma"/>
          <w:sz w:val="18"/>
          <w:szCs w:val="18"/>
        </w:rPr>
      </w:pPr>
    </w:p>
    <w:p w:rsidR="00ED5504" w:rsidRPr="00A76730" w:rsidRDefault="00ED5504" w:rsidP="00D511CC">
      <w:pPr>
        <w:pStyle w:val="EndnoteText"/>
        <w:spacing w:after="60"/>
        <w:ind w:left="720"/>
        <w:rPr>
          <w:rFonts w:ascii="Tahoma" w:hAnsi="Tahoma" w:cs="Tahoma"/>
          <w:sz w:val="18"/>
          <w:szCs w:val="18"/>
        </w:rPr>
      </w:pPr>
      <w:r w:rsidRPr="00A76730">
        <w:rPr>
          <w:rFonts w:ascii="Tahoma" w:hAnsi="Tahoma" w:cs="Tahoma"/>
          <w:b/>
          <w:sz w:val="18"/>
          <w:szCs w:val="18"/>
        </w:rPr>
        <w:t>Outorga de Licença Única para Titulares de Licenças do System Center Reporting Manager</w:t>
      </w:r>
      <w:r w:rsidR="00F73784" w:rsidRPr="008D38F6">
        <w:rPr>
          <w:rFonts w:ascii="Tahoma" w:hAnsi="Tahoma" w:cs="Tahoma"/>
          <w:b/>
          <w:sz w:val="18"/>
          <w:szCs w:val="18"/>
          <w:lang w:val="pt-BR"/>
        </w:rPr>
        <w:t> </w:t>
      </w:r>
      <w:r w:rsidRPr="00A76730">
        <w:rPr>
          <w:rFonts w:ascii="Tahoma" w:hAnsi="Tahoma" w:cs="Tahoma"/>
          <w:b/>
          <w:sz w:val="18"/>
          <w:szCs w:val="18"/>
        </w:rPr>
        <w:t>2006</w:t>
      </w:r>
    </w:p>
    <w:p w:rsidR="00ED5504" w:rsidRPr="00A76730" w:rsidRDefault="00ED5504" w:rsidP="00D511CC">
      <w:pPr>
        <w:pStyle w:val="EndnoteText"/>
        <w:ind w:left="720"/>
        <w:rPr>
          <w:rFonts w:ascii="Tahoma" w:hAnsi="Tahoma" w:cs="Tahoma"/>
          <w:sz w:val="18"/>
          <w:szCs w:val="18"/>
        </w:rPr>
      </w:pPr>
      <w:r w:rsidRPr="00A76730">
        <w:rPr>
          <w:rFonts w:ascii="Tahoma" w:hAnsi="Tahoma" w:cs="Tahoma"/>
          <w:sz w:val="18"/>
          <w:szCs w:val="18"/>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w:t>
      </w:r>
      <w:r w:rsidR="00F73784" w:rsidRPr="008D38F6">
        <w:rPr>
          <w:rFonts w:ascii="Tahoma" w:hAnsi="Tahoma" w:cs="Tahoma"/>
          <w:sz w:val="18"/>
          <w:szCs w:val="18"/>
          <w:lang w:val="pt-BR"/>
        </w:rPr>
        <w:t> </w:t>
      </w:r>
      <w:r w:rsidRPr="00A76730">
        <w:rPr>
          <w:rFonts w:ascii="Tahoma" w:hAnsi="Tahoma" w:cs="Tahoma"/>
          <w:sz w:val="18"/>
          <w:szCs w:val="18"/>
        </w:rPr>
        <w:t>2010, as seguintes licenças sem custos adicionais, exceto pelos custos da mídia (se aplicável)</w:t>
      </w:r>
      <w:r w:rsidRPr="00A76730">
        <w:rPr>
          <w:rFonts w:ascii="Tahoma" w:hAnsi="Tahoma" w:cs="Tahoma"/>
          <w:color w:val="000000"/>
          <w:sz w:val="18"/>
          <w:szCs w:val="18"/>
        </w:rPr>
        <w:t>:</w:t>
      </w:r>
    </w:p>
    <w:p w:rsidR="00ED5504" w:rsidRPr="00A76730" w:rsidRDefault="00ED5504" w:rsidP="00D511CC">
      <w:pPr>
        <w:pStyle w:val="EndnoteText"/>
        <w:rPr>
          <w:rFonts w:ascii="Tahoma" w:hAnsi="Tahoma" w:cs="Tahoma"/>
          <w:sz w:val="18"/>
          <w:szCs w:val="18"/>
        </w:rPr>
      </w:pPr>
    </w:p>
    <w:p w:rsidR="00ED5504" w:rsidRPr="00A76730" w:rsidRDefault="00ED5504" w:rsidP="00D511CC">
      <w:pPr>
        <w:pStyle w:val="EndnoteText"/>
        <w:numPr>
          <w:ilvl w:val="0"/>
          <w:numId w:val="7"/>
        </w:numPr>
        <w:tabs>
          <w:tab w:val="left" w:pos="1440"/>
        </w:tabs>
        <w:spacing w:after="60"/>
        <w:ind w:left="1440"/>
        <w:rPr>
          <w:rFonts w:ascii="Tahoma" w:hAnsi="Tahoma" w:cs="Tahoma"/>
          <w:sz w:val="18"/>
          <w:szCs w:val="18"/>
        </w:rPr>
      </w:pPr>
      <w:r w:rsidRPr="00A76730">
        <w:rPr>
          <w:rFonts w:ascii="Tahoma" w:hAnsi="Tahoma" w:cs="Tahoma"/>
          <w:sz w:val="18"/>
          <w:szCs w:val="18"/>
        </w:rPr>
        <w:t xml:space="preserve">Uma licença de Servidor de Gerenciamento do System Center Service Manager 2010 </w:t>
      </w:r>
      <w:r w:rsidR="00F73784" w:rsidRPr="008D38F6">
        <w:rPr>
          <w:rFonts w:ascii="Tahoma" w:hAnsi="Tahoma" w:cs="Tahoma"/>
          <w:sz w:val="18"/>
          <w:szCs w:val="18"/>
          <w:lang w:val="pt-BR"/>
        </w:rPr>
        <w:br/>
      </w:r>
      <w:r w:rsidRPr="00A76730">
        <w:rPr>
          <w:rFonts w:ascii="Tahoma" w:hAnsi="Tahoma" w:cs="Tahoma"/>
          <w:sz w:val="18"/>
          <w:szCs w:val="18"/>
        </w:rPr>
        <w:t>(sem Tecnologia SQL)</w:t>
      </w:r>
    </w:p>
    <w:p w:rsidR="00ED5504" w:rsidRPr="00A76730" w:rsidRDefault="00ED5504" w:rsidP="00D511CC">
      <w:pPr>
        <w:pStyle w:val="EndnoteText"/>
        <w:numPr>
          <w:ilvl w:val="0"/>
          <w:numId w:val="7"/>
        </w:numPr>
        <w:spacing w:after="60"/>
        <w:ind w:left="1440"/>
        <w:rPr>
          <w:rFonts w:ascii="Tahoma" w:hAnsi="Tahoma" w:cs="Tahoma"/>
          <w:sz w:val="18"/>
          <w:szCs w:val="18"/>
        </w:rPr>
      </w:pPr>
      <w:r w:rsidRPr="00A76730">
        <w:rPr>
          <w:rFonts w:ascii="Tahoma" w:hAnsi="Tahoma" w:cs="Tahoma"/>
          <w:sz w:val="18"/>
          <w:szCs w:val="18"/>
        </w:rPr>
        <w:t>Cinco licenças de Gerenciamento de Servidor do System Center Service Manager 2010</w:t>
      </w:r>
    </w:p>
    <w:p w:rsidR="00ED5504" w:rsidRPr="00A76730" w:rsidRDefault="00ED5504" w:rsidP="00D511CC">
      <w:pPr>
        <w:pStyle w:val="EndnoteText"/>
        <w:numPr>
          <w:ilvl w:val="0"/>
          <w:numId w:val="7"/>
        </w:numPr>
        <w:spacing w:after="60"/>
        <w:ind w:left="1440"/>
        <w:rPr>
          <w:rFonts w:ascii="Tahoma" w:hAnsi="Tahoma" w:cs="Tahoma"/>
          <w:sz w:val="18"/>
          <w:szCs w:val="18"/>
        </w:rPr>
      </w:pPr>
      <w:r w:rsidRPr="00A76730">
        <w:rPr>
          <w:rFonts w:ascii="Tahoma" w:hAnsi="Tahoma" w:cs="Tahoma"/>
          <w:sz w:val="18"/>
          <w:szCs w:val="18"/>
        </w:rPr>
        <w:t>Trinta licenças de Gerenciamento de Cliente do System Center Service Manager 2010</w:t>
      </w:r>
    </w:p>
    <w:p w:rsidR="00ED5504" w:rsidRPr="00A76730" w:rsidRDefault="00ED5504" w:rsidP="00D511CC">
      <w:pPr>
        <w:pStyle w:val="EndnoteText"/>
        <w:ind w:left="0"/>
        <w:rPr>
          <w:rFonts w:ascii="Tahoma" w:hAnsi="Tahoma" w:cs="Tahoma"/>
          <w:sz w:val="18"/>
          <w:szCs w:val="18"/>
        </w:rPr>
      </w:pPr>
    </w:p>
    <w:p w:rsidR="00ED5504" w:rsidRPr="008D38F6" w:rsidRDefault="00ED5504" w:rsidP="00D511CC">
      <w:pPr>
        <w:pStyle w:val="EndnoteText"/>
        <w:ind w:left="720"/>
        <w:rPr>
          <w:rFonts w:ascii="Tahoma" w:hAnsi="Tahoma" w:cs="Tahoma"/>
          <w:sz w:val="18"/>
          <w:szCs w:val="18"/>
          <w:lang w:val="pt-BR"/>
        </w:rPr>
      </w:pPr>
      <w:r w:rsidRPr="00A76730">
        <w:rPr>
          <w:rFonts w:ascii="Tahoma" w:hAnsi="Tahoma" w:cs="Tahoma"/>
          <w:sz w:val="18"/>
          <w:szCs w:val="18"/>
        </w:rPr>
        <w:t>Todas as licenças concedidas sob esta oferta incluirão cobertura do Software Assurance. Essa cobertura se encerrará no término da cobertura do System Center Reporting Manager 2006 correspondente. Ao término dessa cobertura, os clientes poderão renovar o Software Assuranc</w:t>
      </w:r>
      <w:r w:rsidR="00A76730">
        <w:rPr>
          <w:rFonts w:ascii="Tahoma" w:hAnsi="Tahoma" w:cs="Tahoma"/>
          <w:sz w:val="18"/>
          <w:szCs w:val="18"/>
        </w:rPr>
        <w:t>e sobre as licenças outorgadas.</w:t>
      </w:r>
    </w:p>
    <w:p w:rsidR="00ED5504" w:rsidRPr="00A76730" w:rsidRDefault="00ED5504" w:rsidP="00D511CC">
      <w:pPr>
        <w:pStyle w:val="EndnoteText"/>
        <w:ind w:left="720"/>
        <w:rPr>
          <w:rFonts w:ascii="Tahoma" w:hAnsi="Tahoma" w:cs="Tahoma"/>
          <w:sz w:val="18"/>
          <w:szCs w:val="18"/>
        </w:rPr>
      </w:pPr>
    </w:p>
    <w:p w:rsidR="00ED5504" w:rsidRPr="00A76730" w:rsidRDefault="00ED5504" w:rsidP="00D511CC">
      <w:pPr>
        <w:pStyle w:val="EndnoteText"/>
        <w:ind w:left="720"/>
        <w:rPr>
          <w:rFonts w:ascii="Tahoma" w:hAnsi="Tahoma" w:cs="Tahoma"/>
          <w:sz w:val="18"/>
          <w:szCs w:val="18"/>
        </w:rPr>
      </w:pPr>
      <w:r w:rsidRPr="00A76730">
        <w:rPr>
          <w:rFonts w:ascii="Tahoma" w:hAnsi="Tahoma" w:cs="Tahoma"/>
          <w:sz w:val="18"/>
          <w:szCs w:val="18"/>
        </w:rPr>
        <w:t>O uso que um cliente faz do software outorgado sob esta oferta está sujeito aos termos e condições de seu 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w:t>
      </w:r>
      <w:r w:rsidR="00F73784" w:rsidRPr="008D38F6">
        <w:rPr>
          <w:rFonts w:ascii="Tahoma" w:hAnsi="Tahoma" w:cs="Tahoma"/>
          <w:sz w:val="18"/>
          <w:szCs w:val="18"/>
          <w:lang w:val="pt-BR"/>
        </w:rPr>
        <w:t> </w:t>
      </w:r>
      <w:r w:rsidRPr="00A76730">
        <w:rPr>
          <w:rFonts w:ascii="Tahoma" w:hAnsi="Tahoma" w:cs="Tahoma"/>
          <w:sz w:val="18"/>
          <w:szCs w:val="18"/>
        </w:rPr>
        <w:t>das licenças qualificadas correspondentes.</w:t>
      </w:r>
    </w:p>
    <w:p w:rsidR="00ED5504" w:rsidRPr="006A16CA" w:rsidRDefault="00ED5504" w:rsidP="00D511CC">
      <w:pPr>
        <w:pStyle w:val="EndnoteText"/>
        <w:ind w:left="720"/>
        <w:rPr>
          <w:rFonts w:ascii="Tahoma" w:hAnsi="Tahoma" w:cs="Tahoma"/>
          <w:sz w:val="18"/>
          <w:szCs w:val="18"/>
          <w:lang w:val="pt-BR"/>
        </w:rPr>
      </w:pPr>
    </w:p>
    <w:p w:rsidR="007A52B3" w:rsidRPr="006A16CA" w:rsidRDefault="007A52B3" w:rsidP="00D511CC">
      <w:pPr>
        <w:pStyle w:val="EndnoteText"/>
        <w:ind w:left="720"/>
        <w:rPr>
          <w:rFonts w:ascii="Tahoma" w:hAnsi="Tahoma" w:cs="Tahoma"/>
          <w:sz w:val="18"/>
          <w:szCs w:val="18"/>
          <w:lang w:val="pt-BR"/>
        </w:rPr>
      </w:pPr>
    </w:p>
    <w:p w:rsidR="007A52B3" w:rsidRPr="006A16CA" w:rsidRDefault="007A52B3" w:rsidP="00D511CC">
      <w:pPr>
        <w:pStyle w:val="EndnoteText"/>
        <w:ind w:left="720"/>
        <w:rPr>
          <w:rFonts w:ascii="Tahoma" w:hAnsi="Tahoma" w:cs="Tahoma"/>
          <w:sz w:val="18"/>
          <w:szCs w:val="18"/>
          <w:lang w:val="pt-BR"/>
        </w:rPr>
      </w:pPr>
    </w:p>
    <w:p w:rsidR="007A52B3" w:rsidRPr="006A16CA" w:rsidRDefault="007A52B3" w:rsidP="00D511CC">
      <w:pPr>
        <w:pStyle w:val="EndnoteText"/>
        <w:ind w:left="720"/>
        <w:rPr>
          <w:rFonts w:ascii="Tahoma" w:hAnsi="Tahoma" w:cs="Tahoma"/>
          <w:sz w:val="18"/>
          <w:szCs w:val="18"/>
          <w:lang w:val="pt-BR"/>
        </w:rPr>
      </w:pPr>
    </w:p>
    <w:p w:rsidR="00ED5504" w:rsidRPr="008D38F6" w:rsidRDefault="00ED5504" w:rsidP="00A76730">
      <w:pPr>
        <w:ind w:left="720"/>
        <w:rPr>
          <w:rFonts w:cs="Tahoma"/>
          <w:szCs w:val="18"/>
          <w:lang w:val="pt-BR"/>
        </w:rPr>
      </w:pPr>
      <w:r w:rsidRPr="008D38F6">
        <w:rPr>
          <w:rFonts w:eastAsia="Calibri" w:cs="Tahoma"/>
          <w:color w:val="000000"/>
          <w:szCs w:val="18"/>
          <w:lang w:val="pt-BR"/>
        </w:rPr>
        <w:t>As licenças do System Center Reporting Manager 2006</w:t>
      </w:r>
      <w:r w:rsidRPr="008D38F6">
        <w:rPr>
          <w:rFonts w:cs="Tahoma"/>
          <w:bCs/>
          <w:szCs w:val="18"/>
          <w:lang w:val="pt-BR"/>
        </w:rPr>
        <w:t xml:space="preserve"> adquiridas após 31 de maio de 2010 como parte do</w:t>
      </w:r>
      <w:r w:rsidR="00F73784" w:rsidRPr="008D38F6">
        <w:rPr>
          <w:rFonts w:cs="Tahoma"/>
          <w:bCs/>
          <w:szCs w:val="18"/>
          <w:lang w:val="pt-BR"/>
        </w:rPr>
        <w:t> </w:t>
      </w:r>
      <w:r w:rsidRPr="008D38F6">
        <w:rPr>
          <w:rFonts w:cs="Tahoma"/>
          <w:bCs/>
          <w:szCs w:val="18"/>
          <w:lang w:val="pt-BR"/>
        </w:rPr>
        <w:t xml:space="preserve">processo anual de adequação (“true-up”) de um cliente para Registros Enterprise sob os quais as licenças do </w:t>
      </w:r>
      <w:r w:rsidRPr="008D38F6">
        <w:rPr>
          <w:rFonts w:eastAsia="Calibri" w:cs="Tahoma"/>
          <w:color w:val="000000"/>
          <w:szCs w:val="18"/>
          <w:lang w:val="pt-BR"/>
        </w:rPr>
        <w:t>System Center Reporting Manager 2006</w:t>
      </w:r>
      <w:r w:rsidRPr="008D38F6">
        <w:rPr>
          <w:rFonts w:cs="Tahoma"/>
          <w:bCs/>
          <w:szCs w:val="18"/>
          <w:lang w:val="pt-BR"/>
        </w:rPr>
        <w:t xml:space="preserve"> foram adquiridas pela primeira vez antes de 31 de maio</w:t>
      </w:r>
      <w:r w:rsidR="00A76730" w:rsidRPr="008D38F6">
        <w:rPr>
          <w:rFonts w:cs="Tahoma"/>
          <w:bCs/>
          <w:szCs w:val="18"/>
          <w:lang w:val="pt-BR"/>
        </w:rPr>
        <w:t> </w:t>
      </w:r>
      <w:r w:rsidRPr="008D38F6">
        <w:rPr>
          <w:rFonts w:cs="Tahoma"/>
          <w:bCs/>
          <w:szCs w:val="18"/>
          <w:lang w:val="pt-BR"/>
        </w:rPr>
        <w:t>de 2010 também estarão qualificadas para licenças de Servidor de Gerenciamento do System Center Service Manager 2010 e licenças de Gerenciamento de Servidor/Cliente de acordo com esta oferta.</w:t>
      </w:r>
    </w:p>
    <w:p w:rsidR="00ED5504" w:rsidRPr="008D38F6" w:rsidRDefault="00ED5504" w:rsidP="00D511CC">
      <w:pPr>
        <w:ind w:left="720"/>
        <w:rPr>
          <w:rFonts w:cs="Tahoma"/>
          <w:szCs w:val="18"/>
          <w:lang w:val="pt-BR"/>
        </w:rPr>
      </w:pPr>
    </w:p>
    <w:p w:rsidR="00ED5504" w:rsidRPr="00A76730" w:rsidRDefault="00ED5504" w:rsidP="00D511CC">
      <w:pPr>
        <w:pStyle w:val="EndnoteText"/>
        <w:ind w:left="720"/>
        <w:rPr>
          <w:rFonts w:ascii="Tahoma" w:hAnsi="Tahoma" w:cs="Tahoma"/>
          <w:sz w:val="18"/>
          <w:szCs w:val="18"/>
        </w:rPr>
      </w:pPr>
      <w:r w:rsidRPr="00A76730">
        <w:rPr>
          <w:rFonts w:ascii="Tahoma" w:hAnsi="Tahoma" w:cs="Tahoma"/>
          <w:bCs/>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FB5496" w:rsidRPr="00A76730">
        <w:rPr>
          <w:rFonts w:ascii="Tahoma" w:hAnsi="Tahoma" w:cs="Tahoma"/>
          <w:bCs/>
          <w:sz w:val="18"/>
          <w:szCs w:val="18"/>
        </w:rPr>
        <w:t xml:space="preserve"> </w:t>
      </w:r>
      <w:r w:rsidRPr="00A76730">
        <w:rPr>
          <w:rFonts w:ascii="Tahoma" w:hAnsi="Tahoma" w:cs="Tahoma"/>
          <w:bCs/>
          <w:sz w:val="18"/>
          <w:szCs w:val="18"/>
        </w:rPr>
        <w:t>Esses direitos só se tornarão permanentes se a opção de compra (“buy-out”) for exercida e continuarão sujeitos a todos os termos e condições do contrato de licença do cliente.</w:t>
      </w:r>
    </w:p>
    <w:p w:rsidR="00023FE7" w:rsidRPr="00416070" w:rsidRDefault="00023FE7" w:rsidP="00D511CC">
      <w:pPr>
        <w:pStyle w:val="EndnoteText"/>
      </w:pPr>
    </w:p>
    <w:p w:rsidR="00ED5504" w:rsidRPr="00416070" w:rsidRDefault="00ED5504">
      <w:pPr>
        <w:pStyle w:val="EndnoteText"/>
      </w:pPr>
    </w:p>
    <w:p w:rsidR="00023FE7" w:rsidRPr="00416070" w:rsidRDefault="0099402E">
      <w:pPr>
        <w:pStyle w:val="Heading3"/>
      </w:pPr>
      <w:bookmarkStart w:id="1448" w:name="Srv_85SysCtrSvrMgmtSuiteEnterprise"/>
      <w:bookmarkStart w:id="1449" w:name="_85_System_Center"/>
      <w:bookmarkStart w:id="1450" w:name="_98_System_Center"/>
      <w:bookmarkStart w:id="1451" w:name="_Toc336338354"/>
      <w:bookmarkStart w:id="1452" w:name="_Toc352234412"/>
      <w:bookmarkEnd w:id="1448"/>
      <w:bookmarkEnd w:id="1449"/>
      <w:bookmarkEnd w:id="1450"/>
      <w:r w:rsidRPr="00416070">
        <w:rPr>
          <w:rFonts w:ascii="Tahoma" w:hAnsi="Tahoma"/>
          <w:caps/>
          <w:color w:val="F66400"/>
          <w:sz w:val="22"/>
          <w:vertAlign w:val="superscript"/>
        </w:rPr>
        <w:t>86</w:t>
      </w:r>
      <w:r w:rsidRPr="00615CB9">
        <w:rPr>
          <w:rFonts w:ascii="Tahoma" w:hAnsi="Tahoma"/>
          <w:caps/>
          <w:color w:val="F66400"/>
          <w:sz w:val="22"/>
        </w:rPr>
        <w:t xml:space="preserve"> </w:t>
      </w:r>
      <w:r w:rsidRPr="00416070">
        <w:rPr>
          <w:rFonts w:ascii="Tahoma" w:hAnsi="Tahoma"/>
          <w:color w:val="F66400"/>
          <w:sz w:val="22"/>
        </w:rPr>
        <w:t>System Center Server Management Suite Enterprise</w:t>
      </w:r>
      <w:bookmarkEnd w:id="1451"/>
      <w:bookmarkEnd w:id="1452"/>
    </w:p>
    <w:bookmarkEnd w:id="1447"/>
    <w:p w:rsidR="00023FE7" w:rsidRPr="00416070" w:rsidRDefault="00023FE7" w:rsidP="00D511CC">
      <w:pPr>
        <w:pStyle w:val="EndnoteText"/>
        <w:ind w:left="720"/>
      </w:pPr>
    </w:p>
    <w:p w:rsidR="00FF4CAB" w:rsidRPr="00416070" w:rsidRDefault="00FF4CAB" w:rsidP="00D511CC">
      <w:pPr>
        <w:pStyle w:val="EndnoteText"/>
        <w:ind w:left="720"/>
      </w:pPr>
      <w:r w:rsidRPr="00416070">
        <w:rPr>
          <w:rFonts w:ascii="Tahoma" w:hAnsi="Tahoma" w:cs="Tahoma"/>
          <w:color w:val="000000"/>
          <w:sz w:val="18"/>
        </w:rPr>
        <w:t>Este produto encontra-se no status EOL (Fim da Vida Útil) e não será mais oferecido.</w:t>
      </w:r>
    </w:p>
    <w:p w:rsidR="00D511CC" w:rsidRPr="00416070" w:rsidRDefault="00D511CC" w:rsidP="00D511CC">
      <w:pPr>
        <w:pStyle w:val="EndnoteText"/>
        <w:ind w:left="720"/>
      </w:pPr>
    </w:p>
    <w:p w:rsidR="00FF4CAB" w:rsidRPr="008D38F6" w:rsidRDefault="00FF4CAB" w:rsidP="00D511CC">
      <w:pPr>
        <w:pStyle w:val="FootnoteBulletLevel1"/>
        <w:tabs>
          <w:tab w:val="clear" w:pos="900"/>
        </w:tabs>
        <w:spacing w:before="0" w:after="60"/>
        <w:ind w:left="720" w:firstLine="0"/>
        <w:rPr>
          <w:lang w:val="pt-BR"/>
        </w:rPr>
      </w:pPr>
      <w:r w:rsidRPr="008D38F6">
        <w:rPr>
          <w:rFonts w:ascii="Tahoma" w:hAnsi="Tahoma" w:cs="Tahoma"/>
          <w:b/>
          <w:sz w:val="18"/>
          <w:lang w:val="pt-BR"/>
        </w:rPr>
        <w:t>Detalhes da Outorga de Licença Transicional Única do System Center 2012</w:t>
      </w:r>
    </w:p>
    <w:p w:rsidR="00FF4CAB" w:rsidRPr="008D38F6" w:rsidRDefault="00FF4CAB" w:rsidP="00D511CC">
      <w:pPr>
        <w:ind w:left="720"/>
        <w:rPr>
          <w:lang w:val="pt-BR"/>
        </w:rPr>
      </w:pPr>
      <w:r w:rsidRPr="008D38F6">
        <w:rPr>
          <w:lang w:val="pt-BR"/>
        </w:rPr>
        <w:t>Consulte a nota do produto nas ofertas do System Center 2012 para obter detalhes sobre as outorgas de</w:t>
      </w:r>
      <w:r w:rsidR="00F73784" w:rsidRPr="008D38F6">
        <w:rPr>
          <w:lang w:val="pt-BR"/>
        </w:rPr>
        <w:t> </w:t>
      </w:r>
      <w:r w:rsidRPr="008D38F6">
        <w:rPr>
          <w:lang w:val="pt-BR"/>
        </w:rPr>
        <w:t>licença transicionais.</w:t>
      </w:r>
    </w:p>
    <w:p w:rsidR="00FF4CAB" w:rsidRPr="008D38F6" w:rsidRDefault="00FF4CAB" w:rsidP="00D511CC">
      <w:pPr>
        <w:ind w:left="720"/>
        <w:rPr>
          <w:lang w:val="pt-BR"/>
        </w:rPr>
      </w:pPr>
    </w:p>
    <w:p w:rsidR="00023FE7" w:rsidRPr="008D38F6" w:rsidRDefault="00023FE7" w:rsidP="00D511CC">
      <w:pPr>
        <w:ind w:left="720"/>
        <w:rPr>
          <w:lang w:val="pt-BR"/>
        </w:rPr>
      </w:pPr>
      <w:r w:rsidRPr="008D38F6">
        <w:rPr>
          <w:rFonts w:cs="Tahoma"/>
          <w:szCs w:val="20"/>
          <w:lang w:val="pt-BR"/>
        </w:rPr>
        <w:t xml:space="preserve">O System Center Server Management Suite Enterprise é </w:t>
      </w:r>
      <w:r w:rsidRPr="008D38F6">
        <w:rPr>
          <w:rFonts w:cs="Tahoma"/>
          <w:color w:val="000000"/>
          <w:szCs w:val="20"/>
          <w:lang w:val="pt-BR"/>
        </w:rPr>
        <w:t>independente da versão e os direitos de uso de produto são determinados pelo status da cobertura do Software Assurance para o System Center Server Management Suite Enterprise.</w:t>
      </w:r>
      <w:r w:rsidR="00FB5496" w:rsidRPr="008D38F6">
        <w:rPr>
          <w:rFonts w:cs="Tahoma"/>
          <w:color w:val="000000"/>
          <w:szCs w:val="20"/>
          <w:lang w:val="pt-BR"/>
        </w:rPr>
        <w:t xml:space="preserve"> </w:t>
      </w:r>
      <w:r w:rsidRPr="008D38F6">
        <w:rPr>
          <w:rFonts w:cs="Tahoma"/>
          <w:color w:val="000000"/>
          <w:szCs w:val="20"/>
          <w:lang w:val="pt-BR"/>
        </w:rPr>
        <w:t>Se a cobertura for interrompida, os direitos de acesso sob as licenças perpétuas serão determinados com base nos direitos de uso de produto em vigor antes da interrupção.</w:t>
      </w:r>
    </w:p>
    <w:p w:rsidR="00E72B93" w:rsidRPr="008D38F6" w:rsidRDefault="00E72B93" w:rsidP="00D511CC">
      <w:pPr>
        <w:ind w:left="720"/>
        <w:rPr>
          <w:lang w:val="pt-BR"/>
        </w:rPr>
      </w:pPr>
    </w:p>
    <w:p w:rsidR="005C164D" w:rsidRPr="008D38F6" w:rsidRDefault="005C164D" w:rsidP="00D511CC">
      <w:pPr>
        <w:ind w:left="720"/>
        <w:jc w:val="both"/>
        <w:rPr>
          <w:spacing w:val="-1"/>
          <w:lang w:val="pt-BR"/>
        </w:rPr>
      </w:pPr>
      <w:r w:rsidRPr="008D38F6">
        <w:rPr>
          <w:rFonts w:cs="Tahoma"/>
          <w:color w:val="000000"/>
          <w:spacing w:val="-1"/>
          <w:szCs w:val="18"/>
          <w:lang w:val="pt-BR"/>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p>
    <w:p w:rsidR="00023FE7" w:rsidRPr="008D38F6" w:rsidRDefault="00023FE7" w:rsidP="00D511CC">
      <w:pPr>
        <w:ind w:left="720"/>
        <w:rPr>
          <w:rFonts w:cs="Tahoma"/>
          <w:szCs w:val="18"/>
          <w:lang w:val="pt-BR"/>
        </w:rPr>
      </w:pPr>
    </w:p>
    <w:p w:rsidR="004323B9" w:rsidRPr="008D38F6" w:rsidRDefault="00D511CC" w:rsidP="00D511CC">
      <w:pPr>
        <w:spacing w:after="60"/>
        <w:ind w:left="720"/>
        <w:rPr>
          <w:rFonts w:cs="Tahoma"/>
          <w:szCs w:val="18"/>
          <w:lang w:val="pt-BR"/>
        </w:rPr>
      </w:pPr>
      <w:r w:rsidRPr="008D38F6">
        <w:rPr>
          <w:rFonts w:cs="Tahoma"/>
          <w:b/>
          <w:szCs w:val="18"/>
          <w:lang w:val="pt-BR"/>
        </w:rPr>
        <w:t>Outorga de Licença</w:t>
      </w:r>
    </w:p>
    <w:p w:rsidR="004323B9" w:rsidRPr="008D38F6" w:rsidRDefault="004323B9" w:rsidP="00D511CC">
      <w:pPr>
        <w:pStyle w:val="FootnoteBulletLevel1"/>
        <w:tabs>
          <w:tab w:val="left" w:pos="900"/>
        </w:tabs>
        <w:spacing w:before="0" w:after="0"/>
        <w:ind w:left="720" w:firstLine="0"/>
        <w:rPr>
          <w:rFonts w:ascii="Tahoma" w:hAnsi="Tahoma" w:cs="Tahoma"/>
          <w:sz w:val="18"/>
          <w:szCs w:val="18"/>
          <w:lang w:val="pt-BR"/>
        </w:rPr>
      </w:pPr>
      <w:r w:rsidRPr="008D38F6">
        <w:rPr>
          <w:rFonts w:ascii="Tahoma" w:hAnsi="Tahoma" w:cs="Tahoma"/>
          <w:sz w:val="18"/>
          <w:szCs w:val="18"/>
          <w:lang w:val="pt-BR"/>
        </w:rPr>
        <w:t>Outorga de Licença Única do System Center Server Management Suite Datacenter (SMSD) para Titulares de</w:t>
      </w:r>
      <w:r w:rsidR="00F73784" w:rsidRPr="008D38F6">
        <w:rPr>
          <w:rFonts w:ascii="Tahoma" w:hAnsi="Tahoma" w:cs="Tahoma"/>
          <w:sz w:val="18"/>
          <w:szCs w:val="18"/>
          <w:lang w:val="pt-BR"/>
        </w:rPr>
        <w:t> </w:t>
      </w:r>
      <w:r w:rsidRPr="008D38F6">
        <w:rPr>
          <w:rFonts w:ascii="Tahoma" w:hAnsi="Tahoma" w:cs="Tahoma"/>
          <w:sz w:val="18"/>
          <w:szCs w:val="18"/>
          <w:lang w:val="pt-BR"/>
        </w:rPr>
        <w:t>Licenças do System Center Server Management Suite Enterprise (SMSE).</w:t>
      </w:r>
    </w:p>
    <w:p w:rsidR="000A18AA" w:rsidRPr="008D38F6" w:rsidRDefault="000A18AA" w:rsidP="00D511CC">
      <w:pPr>
        <w:pStyle w:val="FootnoteBulletLevel1"/>
        <w:tabs>
          <w:tab w:val="left" w:pos="900"/>
        </w:tabs>
        <w:spacing w:before="0" w:after="0"/>
        <w:ind w:left="720" w:firstLine="0"/>
        <w:rPr>
          <w:rFonts w:ascii="Tahoma" w:hAnsi="Tahoma" w:cs="Tahoma"/>
          <w:sz w:val="18"/>
          <w:szCs w:val="18"/>
          <w:lang w:val="pt-BR"/>
        </w:rPr>
      </w:pPr>
    </w:p>
    <w:p w:rsidR="004323B9" w:rsidRPr="008D38F6" w:rsidRDefault="004323B9" w:rsidP="00D511CC">
      <w:pPr>
        <w:pStyle w:val="FootnoteBulletLevel1"/>
        <w:tabs>
          <w:tab w:val="clear" w:pos="900"/>
          <w:tab w:val="left" w:pos="720"/>
        </w:tabs>
        <w:spacing w:before="0" w:after="0"/>
        <w:ind w:left="720" w:firstLine="0"/>
        <w:rPr>
          <w:rFonts w:ascii="Tahoma" w:hAnsi="Tahoma" w:cs="Tahoma"/>
          <w:sz w:val="18"/>
          <w:szCs w:val="18"/>
          <w:lang w:val="pt-BR"/>
        </w:rPr>
      </w:pPr>
      <w:r w:rsidRPr="008D38F6">
        <w:rPr>
          <w:rFonts w:ascii="Tahoma" w:hAnsi="Tahoma" w:cs="Tahoma"/>
          <w:sz w:val="18"/>
          <w:szCs w:val="18"/>
          <w:lang w:val="pt-BR"/>
        </w:rPr>
        <w:t xml:space="preserve">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w:t>
      </w:r>
      <w:r w:rsidR="00F73784" w:rsidRPr="008D38F6">
        <w:rPr>
          <w:rFonts w:ascii="Tahoma" w:hAnsi="Tahoma" w:cs="Tahoma"/>
          <w:sz w:val="18"/>
          <w:szCs w:val="18"/>
          <w:lang w:val="pt-BR"/>
        </w:rPr>
        <w:br/>
      </w:r>
      <w:r w:rsidRPr="008D38F6">
        <w:rPr>
          <w:rFonts w:ascii="Tahoma" w:hAnsi="Tahoma" w:cs="Tahoma"/>
          <w:sz w:val="18"/>
          <w:szCs w:val="18"/>
          <w:lang w:val="pt-BR"/>
        </w:rPr>
        <w:t>1° de julho de 2009 os seguintes itens</w:t>
      </w:r>
      <w:r w:rsidRPr="008D38F6">
        <w:rPr>
          <w:rFonts w:ascii="Tahoma" w:hAnsi="Tahoma" w:cs="Tahoma"/>
          <w:color w:val="000000"/>
          <w:sz w:val="18"/>
          <w:szCs w:val="18"/>
          <w:lang w:val="pt-BR"/>
        </w:rPr>
        <w:t>:</w:t>
      </w:r>
    </w:p>
    <w:p w:rsidR="000A18AA" w:rsidRPr="008D38F6" w:rsidRDefault="000A18AA" w:rsidP="00D511CC">
      <w:pPr>
        <w:pStyle w:val="FootnoteBulletLevel1"/>
        <w:tabs>
          <w:tab w:val="clear" w:pos="900"/>
          <w:tab w:val="left" w:pos="720"/>
        </w:tabs>
        <w:spacing w:before="0" w:after="0"/>
        <w:ind w:left="720" w:firstLine="0"/>
        <w:rPr>
          <w:rFonts w:ascii="Tahoma" w:hAnsi="Tahoma" w:cs="Tahoma"/>
          <w:sz w:val="18"/>
          <w:szCs w:val="18"/>
          <w:lang w:val="pt-BR"/>
        </w:rPr>
      </w:pPr>
    </w:p>
    <w:p w:rsidR="004323B9" w:rsidRPr="008D38F6" w:rsidRDefault="004323B9" w:rsidP="00A76730">
      <w:pPr>
        <w:numPr>
          <w:ilvl w:val="0"/>
          <w:numId w:val="3"/>
        </w:numPr>
        <w:ind w:left="1440"/>
        <w:rPr>
          <w:rFonts w:cs="Tahoma"/>
          <w:szCs w:val="18"/>
          <w:lang w:val="pt-BR"/>
        </w:rPr>
      </w:pPr>
      <w:r w:rsidRPr="008D38F6">
        <w:rPr>
          <w:rFonts w:cs="Tahoma"/>
          <w:color w:val="000000"/>
          <w:szCs w:val="18"/>
          <w:lang w:val="pt-BR"/>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w:t>
      </w:r>
      <w:r w:rsidR="00A76730" w:rsidRPr="008D38F6">
        <w:rPr>
          <w:rFonts w:cs="Tahoma"/>
          <w:color w:val="000000"/>
          <w:szCs w:val="18"/>
          <w:lang w:val="pt-BR"/>
        </w:rPr>
        <w:t> </w:t>
      </w:r>
      <w:r w:rsidRPr="008D38F6">
        <w:rPr>
          <w:rFonts w:cs="Tahoma"/>
          <w:color w:val="000000"/>
          <w:szCs w:val="18"/>
          <w:lang w:val="pt-BR"/>
        </w:rPr>
        <w:t>em dois em mais dispositivos.</w:t>
      </w:r>
    </w:p>
    <w:p w:rsidR="000A18AA" w:rsidRPr="008D38F6" w:rsidRDefault="000A18AA" w:rsidP="000A18AA">
      <w:pPr>
        <w:rPr>
          <w:rFonts w:cs="Tahoma"/>
          <w:szCs w:val="18"/>
          <w:lang w:val="pt-BR"/>
        </w:rPr>
      </w:pPr>
    </w:p>
    <w:p w:rsidR="004323B9" w:rsidRPr="008D38F6" w:rsidRDefault="004323B9" w:rsidP="00D511CC">
      <w:pPr>
        <w:pStyle w:val="FootnoteBulletLevel1"/>
        <w:tabs>
          <w:tab w:val="clear" w:pos="900"/>
        </w:tabs>
        <w:spacing w:before="0" w:after="0"/>
        <w:ind w:left="720" w:firstLine="0"/>
        <w:rPr>
          <w:rFonts w:ascii="Tahoma" w:hAnsi="Tahoma" w:cs="Tahoma"/>
          <w:sz w:val="18"/>
          <w:szCs w:val="18"/>
          <w:lang w:val="pt-BR"/>
        </w:rPr>
      </w:pPr>
      <w:r w:rsidRPr="008D38F6">
        <w:rPr>
          <w:rFonts w:ascii="Tahoma" w:hAnsi="Tahoma" w:cs="Tahoma"/>
          <w:sz w:val="18"/>
          <w:szCs w:val="18"/>
          <w:lang w:val="pt-BR"/>
        </w:rPr>
        <w:t>Os direitos de gerenciamento associados às licenças gratuitas do SMSD serão outorgados no lugar dos direitos de gerenciamento associados às licenças do SMSE qualificadas.</w:t>
      </w:r>
      <w:r w:rsidR="00FB5496" w:rsidRPr="008D38F6">
        <w:rPr>
          <w:rFonts w:ascii="Tahoma" w:hAnsi="Tahoma" w:cs="Tahoma"/>
          <w:sz w:val="18"/>
          <w:szCs w:val="18"/>
          <w:lang w:val="pt-BR"/>
        </w:rPr>
        <w:t xml:space="preserve"> </w:t>
      </w:r>
      <w:r w:rsidRPr="008D38F6">
        <w:rPr>
          <w:rFonts w:ascii="Tahoma" w:hAnsi="Tahoma" w:cs="Tahoma"/>
          <w:sz w:val="18"/>
          <w:szCs w:val="18"/>
          <w:lang w:val="pt-BR"/>
        </w:rPr>
        <w:t>Com a cessão das licenças do SMSD</w:t>
      </w:r>
      <w:r w:rsidR="00F73784" w:rsidRPr="008D38F6">
        <w:rPr>
          <w:rFonts w:ascii="Tahoma" w:hAnsi="Tahoma" w:cs="Tahoma"/>
          <w:sz w:val="18"/>
          <w:szCs w:val="18"/>
          <w:lang w:val="pt-BR"/>
        </w:rPr>
        <w:t> </w:t>
      </w:r>
      <w:r w:rsidRPr="008D38F6">
        <w:rPr>
          <w:rFonts w:ascii="Tahoma" w:hAnsi="Tahoma" w:cs="Tahoma"/>
          <w:sz w:val="18"/>
          <w:szCs w:val="18"/>
          <w:lang w:val="pt-BR"/>
        </w:rPr>
        <w:t>outorgadas, o cliente perderá os direitos de gerenciamento sob a licença do SMSE correspondente.</w:t>
      </w:r>
    </w:p>
    <w:p w:rsidR="004323B9" w:rsidRPr="008D38F6" w:rsidRDefault="004323B9" w:rsidP="00D511CC">
      <w:pPr>
        <w:pStyle w:val="FootnoteBulletLevel1"/>
        <w:tabs>
          <w:tab w:val="clear" w:pos="900"/>
        </w:tabs>
        <w:spacing w:before="0" w:after="0"/>
        <w:ind w:left="720" w:firstLine="0"/>
        <w:rPr>
          <w:rFonts w:ascii="Tahoma" w:hAnsi="Tahoma" w:cs="Tahoma"/>
          <w:sz w:val="18"/>
          <w:szCs w:val="18"/>
          <w:lang w:val="pt-BR"/>
        </w:rPr>
      </w:pPr>
      <w:r w:rsidRPr="008D38F6">
        <w:rPr>
          <w:rFonts w:ascii="Tahoma" w:hAnsi="Tahoma" w:cs="Tahoma"/>
          <w:sz w:val="18"/>
          <w:szCs w:val="18"/>
          <w:lang w:val="pt-BR"/>
        </w:rPr>
        <w:t>Quaisquer licenças outorgadas sob esta oferta estarão sujeitas à seguinte limitação:</w:t>
      </w:r>
      <w:r w:rsidRPr="008D38F6">
        <w:rPr>
          <w:rFonts w:ascii="Tahoma" w:hAnsi="Tahoma" w:cs="Tahoma"/>
          <w:color w:val="000000"/>
          <w:sz w:val="18"/>
          <w:szCs w:val="18"/>
          <w:lang w:val="pt-BR"/>
        </w:rPr>
        <w:t xml:space="preserve"> cada conjunto de licenças do SMSD outorgadas deverá ser cedido a um único dispositivo</w:t>
      </w:r>
      <w:r w:rsidRPr="008D38F6">
        <w:rPr>
          <w:rFonts w:ascii="Tahoma" w:hAnsi="Tahoma" w:cs="Tahoma"/>
          <w:sz w:val="18"/>
          <w:szCs w:val="18"/>
          <w:lang w:val="pt-BR"/>
        </w:rPr>
        <w:t>.</w:t>
      </w:r>
    </w:p>
    <w:p w:rsidR="000A18AA" w:rsidRPr="008D38F6" w:rsidRDefault="000A18AA" w:rsidP="00A76730">
      <w:pPr>
        <w:pStyle w:val="FootnoteBulletLevel1"/>
        <w:tabs>
          <w:tab w:val="clear" w:pos="900"/>
          <w:tab w:val="left" w:pos="2216"/>
        </w:tabs>
        <w:spacing w:before="0" w:after="0"/>
        <w:ind w:left="720" w:firstLine="0"/>
        <w:rPr>
          <w:rFonts w:ascii="Tahoma" w:hAnsi="Tahoma" w:cs="Tahoma"/>
          <w:sz w:val="18"/>
          <w:szCs w:val="18"/>
          <w:lang w:val="pt-BR"/>
        </w:rPr>
      </w:pPr>
    </w:p>
    <w:p w:rsidR="0020393F" w:rsidRDefault="0020393F" w:rsidP="00A76730">
      <w:pPr>
        <w:pStyle w:val="FootnoteBulletLevel1"/>
        <w:tabs>
          <w:tab w:val="clear" w:pos="900"/>
          <w:tab w:val="left" w:pos="2216"/>
        </w:tabs>
        <w:spacing w:before="0" w:after="0"/>
        <w:ind w:left="720" w:firstLine="0"/>
        <w:rPr>
          <w:rFonts w:ascii="Tahoma" w:hAnsi="Tahoma" w:cs="Tahoma"/>
          <w:sz w:val="18"/>
          <w:szCs w:val="18"/>
          <w:lang w:val="pt-BR"/>
        </w:rPr>
      </w:pPr>
    </w:p>
    <w:p w:rsidR="007A52B3" w:rsidRDefault="007A52B3" w:rsidP="00A76730">
      <w:pPr>
        <w:pStyle w:val="FootnoteBulletLevel1"/>
        <w:tabs>
          <w:tab w:val="clear" w:pos="900"/>
          <w:tab w:val="left" w:pos="2216"/>
        </w:tabs>
        <w:spacing w:before="0" w:after="0"/>
        <w:ind w:left="720" w:firstLine="0"/>
        <w:rPr>
          <w:rFonts w:ascii="Tahoma" w:hAnsi="Tahoma" w:cs="Tahoma"/>
          <w:sz w:val="18"/>
          <w:szCs w:val="18"/>
          <w:lang w:val="pt-BR"/>
        </w:rPr>
      </w:pPr>
    </w:p>
    <w:p w:rsidR="007A52B3" w:rsidRDefault="007A52B3" w:rsidP="00A76730">
      <w:pPr>
        <w:pStyle w:val="FootnoteBulletLevel1"/>
        <w:tabs>
          <w:tab w:val="clear" w:pos="900"/>
          <w:tab w:val="left" w:pos="2216"/>
        </w:tabs>
        <w:spacing w:before="0" w:after="0"/>
        <w:ind w:left="720" w:firstLine="0"/>
        <w:rPr>
          <w:rFonts w:ascii="Tahoma" w:hAnsi="Tahoma" w:cs="Tahoma"/>
          <w:sz w:val="18"/>
          <w:szCs w:val="18"/>
          <w:lang w:val="pt-BR"/>
        </w:rPr>
      </w:pPr>
    </w:p>
    <w:p w:rsidR="007A52B3" w:rsidRPr="008D38F6" w:rsidRDefault="007A52B3" w:rsidP="00A76730">
      <w:pPr>
        <w:pStyle w:val="FootnoteBulletLevel1"/>
        <w:tabs>
          <w:tab w:val="clear" w:pos="900"/>
          <w:tab w:val="left" w:pos="2216"/>
        </w:tabs>
        <w:spacing w:before="0" w:after="0"/>
        <w:ind w:left="720" w:firstLine="0"/>
        <w:rPr>
          <w:rFonts w:ascii="Tahoma" w:hAnsi="Tahoma" w:cs="Tahoma"/>
          <w:sz w:val="18"/>
          <w:szCs w:val="18"/>
          <w:lang w:val="pt-BR"/>
        </w:rPr>
      </w:pPr>
    </w:p>
    <w:p w:rsidR="00CF7343" w:rsidRPr="008D38F6" w:rsidRDefault="004323B9" w:rsidP="000A18AA">
      <w:pPr>
        <w:pStyle w:val="FootnoteBulletLevel1"/>
        <w:tabs>
          <w:tab w:val="clear" w:pos="900"/>
        </w:tabs>
        <w:spacing w:before="0" w:after="60"/>
        <w:ind w:left="720" w:firstLine="0"/>
        <w:rPr>
          <w:rFonts w:ascii="Tahoma" w:hAnsi="Tahoma" w:cs="Tahoma"/>
          <w:sz w:val="18"/>
          <w:szCs w:val="18"/>
          <w:lang w:val="pt-BR"/>
        </w:rPr>
      </w:pPr>
      <w:r w:rsidRPr="008D38F6">
        <w:rPr>
          <w:rFonts w:ascii="Tahoma" w:hAnsi="Tahoma" w:cs="Tahoma"/>
          <w:b/>
          <w:color w:val="000000"/>
          <w:sz w:val="18"/>
          <w:szCs w:val="18"/>
          <w:lang w:val="pt-BR"/>
        </w:rPr>
        <w:t>Opções na renovação do Software Assurance</w:t>
      </w:r>
      <w:r w:rsidR="00FB5496" w:rsidRPr="008D38F6">
        <w:rPr>
          <w:rFonts w:ascii="Tahoma" w:hAnsi="Tahoma" w:cs="Tahoma"/>
          <w:b/>
          <w:color w:val="000000"/>
          <w:sz w:val="18"/>
          <w:szCs w:val="18"/>
          <w:lang w:val="pt-BR"/>
        </w:rPr>
        <w:t xml:space="preserve"> </w:t>
      </w:r>
    </w:p>
    <w:p w:rsidR="004323B9" w:rsidRPr="008D38F6" w:rsidRDefault="004323B9" w:rsidP="00D511CC">
      <w:pPr>
        <w:pStyle w:val="FootnoteBulletLevel1"/>
        <w:tabs>
          <w:tab w:val="clear" w:pos="900"/>
        </w:tabs>
        <w:spacing w:before="0" w:after="0"/>
        <w:ind w:left="720" w:firstLine="0"/>
        <w:rPr>
          <w:rFonts w:ascii="Tahoma" w:hAnsi="Tahoma" w:cs="Tahoma"/>
          <w:sz w:val="18"/>
          <w:szCs w:val="18"/>
          <w:lang w:val="pt-BR"/>
        </w:rPr>
      </w:pPr>
      <w:r w:rsidRPr="008D38F6">
        <w:rPr>
          <w:rFonts w:ascii="Tahoma" w:hAnsi="Tahoma" w:cs="Tahoma"/>
          <w:color w:val="000000"/>
          <w:sz w:val="18"/>
          <w:szCs w:val="18"/>
          <w:lang w:val="pt-BR"/>
        </w:rPr>
        <w:t xml:space="preserve">Quaisquer licenças outorgadas sob esta oferta incluirão uma cobertura do Software Assurance que se encerrará quando a cobertura sobre as licenças qualificadas correspondentes se encerrar. </w:t>
      </w:r>
      <w:r w:rsidRPr="008D38F6">
        <w:rPr>
          <w:rFonts w:ascii="Tahoma" w:hAnsi="Tahoma" w:cs="Tahoma"/>
          <w:sz w:val="18"/>
          <w:szCs w:val="18"/>
          <w:lang w:val="pt-BR"/>
        </w:rPr>
        <w:t>Ao término da cobertura do Software Assurance, os clientes poderão renovar o Software Assurance de acordo com uma das seguintes opções:</w:t>
      </w:r>
    </w:p>
    <w:p w:rsidR="000A18AA" w:rsidRPr="008D38F6" w:rsidRDefault="000A18AA" w:rsidP="00D511CC">
      <w:pPr>
        <w:pStyle w:val="FootnoteBulletLevel1"/>
        <w:tabs>
          <w:tab w:val="clear" w:pos="900"/>
        </w:tabs>
        <w:spacing w:before="0" w:after="0"/>
        <w:ind w:left="720" w:firstLine="0"/>
        <w:rPr>
          <w:rFonts w:ascii="Tahoma" w:hAnsi="Tahoma" w:cs="Tahoma"/>
          <w:sz w:val="18"/>
          <w:szCs w:val="18"/>
          <w:lang w:val="pt-BR"/>
        </w:rPr>
      </w:pPr>
    </w:p>
    <w:p w:rsidR="004323B9" w:rsidRPr="008D38F6" w:rsidRDefault="004323B9" w:rsidP="000A18AA">
      <w:pPr>
        <w:pStyle w:val="FootnoteBulletLevel1"/>
        <w:numPr>
          <w:ilvl w:val="0"/>
          <w:numId w:val="13"/>
        </w:numPr>
        <w:tabs>
          <w:tab w:val="left" w:pos="720"/>
        </w:tabs>
        <w:spacing w:before="0" w:after="60"/>
        <w:ind w:left="1440"/>
        <w:rPr>
          <w:rFonts w:ascii="Tahoma" w:hAnsi="Tahoma" w:cs="Tahoma"/>
          <w:sz w:val="18"/>
          <w:szCs w:val="18"/>
          <w:lang w:val="pt-BR"/>
        </w:rPr>
      </w:pPr>
      <w:r w:rsidRPr="008D38F6">
        <w:rPr>
          <w:rFonts w:ascii="Tahoma" w:hAnsi="Tahoma" w:cs="Tahoma"/>
          <w:sz w:val="18"/>
          <w:szCs w:val="18"/>
          <w:lang w:val="pt-BR"/>
        </w:rPr>
        <w:t xml:space="preserve">Os clientes poderão renovar a cobertura para a licença original do SMSE. Os direitos de gerenciamento sob a cobertura do Software Assurance para o SMSE serão determinados pelos direitos aplicáveis ao SMSE na ocasião da renovação. Na renovação da licença original do SMSE, </w:t>
      </w:r>
      <w:r w:rsidR="00F73784" w:rsidRPr="008D38F6">
        <w:rPr>
          <w:rFonts w:ascii="Tahoma" w:hAnsi="Tahoma" w:cs="Tahoma"/>
          <w:sz w:val="18"/>
          <w:szCs w:val="18"/>
          <w:lang w:val="pt-BR"/>
        </w:rPr>
        <w:br/>
      </w:r>
      <w:r w:rsidRPr="008D38F6">
        <w:rPr>
          <w:rFonts w:ascii="Tahoma" w:hAnsi="Tahoma" w:cs="Tahoma"/>
          <w:sz w:val="18"/>
          <w:szCs w:val="18"/>
          <w:lang w:val="pt-BR"/>
        </w:rPr>
        <w:t>o cliente perderá os direitos às quatro licenças gratuitas do SMSD.</w:t>
      </w:r>
    </w:p>
    <w:p w:rsidR="004323B9" w:rsidRPr="008D38F6" w:rsidRDefault="004323B9" w:rsidP="000A18AA">
      <w:pPr>
        <w:pStyle w:val="FootnoteBulletLevel1"/>
        <w:numPr>
          <w:ilvl w:val="0"/>
          <w:numId w:val="14"/>
        </w:numPr>
        <w:tabs>
          <w:tab w:val="left" w:pos="720"/>
        </w:tabs>
        <w:spacing w:before="0" w:after="60"/>
        <w:ind w:left="1440"/>
        <w:rPr>
          <w:rFonts w:ascii="Tahoma" w:hAnsi="Tahoma" w:cs="Tahoma"/>
          <w:sz w:val="18"/>
          <w:szCs w:val="18"/>
          <w:lang w:val="pt-BR"/>
        </w:rPr>
      </w:pPr>
      <w:r w:rsidRPr="008D38F6">
        <w:rPr>
          <w:rFonts w:ascii="Tahoma" w:hAnsi="Tahoma" w:cs="Tahoma"/>
          <w:sz w:val="18"/>
          <w:szCs w:val="18"/>
          <w:lang w:val="pt-BR"/>
        </w:rPr>
        <w:t>Os clientes poderão renovar a cobertura para as licenças gratuitas do SMSD:</w:t>
      </w:r>
    </w:p>
    <w:p w:rsidR="004323B9" w:rsidRPr="008D38F6" w:rsidRDefault="004323B9" w:rsidP="000A18AA">
      <w:pPr>
        <w:pStyle w:val="FootnoteBulletLevel1"/>
        <w:numPr>
          <w:ilvl w:val="2"/>
          <w:numId w:val="15"/>
        </w:numPr>
        <w:tabs>
          <w:tab w:val="left" w:pos="720"/>
        </w:tabs>
        <w:spacing w:before="0" w:after="60"/>
        <w:ind w:left="1980"/>
        <w:rPr>
          <w:rFonts w:ascii="Tahoma" w:hAnsi="Tahoma" w:cs="Tahoma"/>
          <w:sz w:val="18"/>
          <w:szCs w:val="18"/>
          <w:lang w:val="pt-BR"/>
        </w:rPr>
      </w:pPr>
      <w:r w:rsidRPr="008D38F6">
        <w:rPr>
          <w:rFonts w:ascii="Tahoma" w:hAnsi="Tahoma" w:cs="Tahoma"/>
          <w:sz w:val="18"/>
          <w:szCs w:val="18"/>
          <w:lang w:val="pt-BR"/>
        </w:rPr>
        <w:t>Os clientes poderão renovar a cobertura para todas as licenças do SMSD do conjunto de</w:t>
      </w:r>
      <w:r w:rsidR="00F73784" w:rsidRPr="008D38F6">
        <w:rPr>
          <w:rFonts w:ascii="Tahoma" w:hAnsi="Tahoma" w:cs="Tahoma"/>
          <w:sz w:val="18"/>
          <w:szCs w:val="18"/>
          <w:lang w:val="pt-BR"/>
        </w:rPr>
        <w:t> </w:t>
      </w:r>
      <w:r w:rsidRPr="008D38F6">
        <w:rPr>
          <w:rFonts w:ascii="Tahoma" w:hAnsi="Tahoma" w:cs="Tahoma"/>
          <w:sz w:val="18"/>
          <w:szCs w:val="18"/>
          <w:lang w:val="pt-BR"/>
        </w:rPr>
        <w:t>quatro licenças gratuitas do SMSD outorgadas sob esta oferta. Nesta opção, o requisito para alocar o conjunto de quatro licenças a um único dispositivo será dispensado.</w:t>
      </w:r>
    </w:p>
    <w:p w:rsidR="004323B9" w:rsidRPr="008D38F6" w:rsidRDefault="004323B9" w:rsidP="00A76730">
      <w:pPr>
        <w:pStyle w:val="FootnoteBulletLevel1"/>
        <w:numPr>
          <w:ilvl w:val="2"/>
          <w:numId w:val="15"/>
        </w:numPr>
        <w:tabs>
          <w:tab w:val="left" w:pos="720"/>
        </w:tabs>
        <w:spacing w:before="0" w:after="60"/>
        <w:ind w:left="1980"/>
        <w:rPr>
          <w:rFonts w:ascii="Tahoma" w:hAnsi="Tahoma" w:cs="Tahoma"/>
          <w:sz w:val="18"/>
          <w:szCs w:val="18"/>
          <w:lang w:val="pt-BR"/>
        </w:rPr>
      </w:pPr>
      <w:r w:rsidRPr="008D38F6">
        <w:rPr>
          <w:rFonts w:ascii="Tahoma" w:hAnsi="Tahoma" w:cs="Tahoma"/>
          <w:sz w:val="18"/>
          <w:szCs w:val="18"/>
          <w:lang w:val="pt-BR"/>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w:t>
      </w:r>
      <w:r w:rsidR="00FB5496" w:rsidRPr="008D38F6">
        <w:rPr>
          <w:rFonts w:ascii="Tahoma" w:hAnsi="Tahoma" w:cs="Tahoma"/>
          <w:sz w:val="18"/>
          <w:szCs w:val="18"/>
          <w:lang w:val="pt-BR"/>
        </w:rPr>
        <w:t xml:space="preserve"> </w:t>
      </w:r>
      <w:r w:rsidRPr="008D38F6">
        <w:rPr>
          <w:rFonts w:ascii="Tahoma" w:hAnsi="Tahoma" w:cs="Tahoma"/>
          <w:sz w:val="18"/>
          <w:szCs w:val="18"/>
          <w:lang w:val="pt-BR"/>
        </w:rPr>
        <w:t>Nesta opção, o requisito para alocar o</w:t>
      </w:r>
      <w:r w:rsidR="00A76730" w:rsidRPr="008D38F6">
        <w:rPr>
          <w:rFonts w:ascii="Tahoma" w:hAnsi="Tahoma" w:cs="Tahoma"/>
          <w:sz w:val="18"/>
          <w:szCs w:val="18"/>
          <w:lang w:val="pt-BR"/>
        </w:rPr>
        <w:t> </w:t>
      </w:r>
      <w:r w:rsidRPr="008D38F6">
        <w:rPr>
          <w:rFonts w:ascii="Tahoma" w:hAnsi="Tahoma" w:cs="Tahoma"/>
          <w:sz w:val="18"/>
          <w:szCs w:val="18"/>
          <w:lang w:val="pt-BR"/>
        </w:rPr>
        <w:t>conjunto de quatro licenças a um único dispositivo continuará a ser aplicável na ocasião da renovação.</w:t>
      </w:r>
      <w:r w:rsidR="00FB5496" w:rsidRPr="008D38F6">
        <w:rPr>
          <w:rFonts w:ascii="Tahoma" w:hAnsi="Tahoma" w:cs="Tahoma"/>
          <w:sz w:val="18"/>
          <w:szCs w:val="18"/>
          <w:lang w:val="pt-BR"/>
        </w:rPr>
        <w:t xml:space="preserve"> </w:t>
      </w:r>
      <w:r w:rsidRPr="008D38F6">
        <w:rPr>
          <w:rFonts w:ascii="Tahoma" w:hAnsi="Tahoma" w:cs="Tahoma"/>
          <w:sz w:val="18"/>
          <w:szCs w:val="18"/>
          <w:lang w:val="pt-BR"/>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w:t>
      </w:r>
      <w:r w:rsidR="00A76730" w:rsidRPr="008D38F6">
        <w:rPr>
          <w:rFonts w:ascii="Tahoma" w:hAnsi="Tahoma" w:cs="Tahoma"/>
          <w:sz w:val="18"/>
          <w:szCs w:val="18"/>
          <w:lang w:val="pt-BR"/>
        </w:rPr>
        <w:t> </w:t>
      </w:r>
      <w:r w:rsidRPr="008D38F6">
        <w:rPr>
          <w:rFonts w:ascii="Tahoma" w:hAnsi="Tahoma" w:cs="Tahoma"/>
          <w:sz w:val="18"/>
          <w:szCs w:val="18"/>
          <w:lang w:val="pt-BR"/>
        </w:rPr>
        <w:t>cobertura do Software Assurance. O requisito para alocar um conjunto de quatro licenças gratuitas do SMSD a um único dispositivo só será dispensado nessa renovação subsequente se a cobertura para todas as quatro licenças do SMSD for renovada.</w:t>
      </w:r>
    </w:p>
    <w:p w:rsidR="00F73784" w:rsidRPr="008D38F6" w:rsidRDefault="00F73784" w:rsidP="00D511CC">
      <w:pPr>
        <w:pStyle w:val="FootnoteBulletLevel1"/>
        <w:tabs>
          <w:tab w:val="clear" w:pos="900"/>
          <w:tab w:val="left" w:pos="720"/>
        </w:tabs>
        <w:spacing w:before="0" w:after="0"/>
        <w:ind w:firstLine="0"/>
        <w:rPr>
          <w:lang w:val="pt-BR"/>
        </w:rPr>
      </w:pPr>
    </w:p>
    <w:p w:rsidR="00CF7343" w:rsidRPr="008D38F6" w:rsidRDefault="004323B9" w:rsidP="000A18AA">
      <w:pPr>
        <w:pStyle w:val="FootnoteBulletLevel1"/>
        <w:tabs>
          <w:tab w:val="clear" w:pos="900"/>
          <w:tab w:val="left" w:pos="720"/>
        </w:tabs>
        <w:spacing w:before="0" w:after="60"/>
        <w:ind w:left="720" w:firstLine="0"/>
        <w:rPr>
          <w:lang w:val="pt-BR"/>
        </w:rPr>
      </w:pPr>
      <w:r w:rsidRPr="008D38F6">
        <w:rPr>
          <w:rFonts w:ascii="Tahoma" w:hAnsi="Tahoma" w:cs="Tahoma"/>
          <w:b/>
          <w:sz w:val="18"/>
          <w:lang w:val="pt-BR"/>
        </w:rPr>
        <w:t>Remoção da limitação de que c</w:t>
      </w:r>
      <w:r w:rsidRPr="008D38F6">
        <w:rPr>
          <w:rFonts w:ascii="Tahoma" w:hAnsi="Tahoma" w:cs="Tahoma"/>
          <w:b/>
          <w:color w:val="000000"/>
          <w:sz w:val="18"/>
          <w:lang w:val="pt-BR"/>
        </w:rPr>
        <w:t>ada conjunto de licenças do SMSD outorgadas deverá ser alocado a um único dispositivo</w:t>
      </w:r>
    </w:p>
    <w:p w:rsidR="004323B9" w:rsidRPr="008D38F6" w:rsidRDefault="004323B9" w:rsidP="00A76730">
      <w:pPr>
        <w:pStyle w:val="FootnoteBulletLevel1"/>
        <w:tabs>
          <w:tab w:val="clear" w:pos="900"/>
          <w:tab w:val="left" w:pos="720"/>
        </w:tabs>
        <w:spacing w:before="0" w:after="0"/>
        <w:ind w:left="720" w:firstLine="0"/>
        <w:rPr>
          <w:lang w:val="pt-BR"/>
        </w:rPr>
      </w:pPr>
      <w:r w:rsidRPr="008D38F6">
        <w:rPr>
          <w:rFonts w:ascii="Tahoma" w:hAnsi="Tahoma" w:cs="Tahoma"/>
          <w:sz w:val="18"/>
          <w:lang w:val="pt-BR"/>
        </w:rPr>
        <w:t xml:space="preserve">A qualquer momento antes da primeira renovação do Software Assurance após esta outorga, os clientes poderão remover o requisito de que </w:t>
      </w:r>
      <w:r w:rsidRPr="008D38F6">
        <w:rPr>
          <w:rFonts w:ascii="Tahoma" w:hAnsi="Tahoma" w:cs="Tahoma"/>
          <w:color w:val="000000"/>
          <w:sz w:val="18"/>
          <w:lang w:val="pt-BR"/>
        </w:rPr>
        <w:t>cada conjunto de licenças do SMSD outorgadas deverá ser alocado a</w:t>
      </w:r>
      <w:r w:rsidR="00A76730" w:rsidRPr="008D38F6">
        <w:rPr>
          <w:rFonts w:ascii="Tahoma" w:hAnsi="Tahoma" w:cs="Tahoma"/>
          <w:color w:val="000000"/>
          <w:sz w:val="18"/>
          <w:lang w:val="pt-BR"/>
        </w:rPr>
        <w:t> </w:t>
      </w:r>
      <w:r w:rsidRPr="008D38F6">
        <w:rPr>
          <w:rFonts w:ascii="Tahoma" w:hAnsi="Tahoma" w:cs="Tahoma"/>
          <w:color w:val="000000"/>
          <w:sz w:val="18"/>
          <w:lang w:val="pt-BR"/>
        </w:rPr>
        <w:t>um único dispositivo. Para isso, deverão</w:t>
      </w:r>
      <w:r w:rsidRPr="008D38F6">
        <w:rPr>
          <w:rFonts w:ascii="Tahoma" w:hAnsi="Tahoma" w:cs="Tahoma"/>
          <w:sz w:val="18"/>
          <w:lang w:val="pt-BR"/>
        </w:rPr>
        <w:t xml:space="preserve"> comprar a cobertura do Software Assurance para duas licenças do SMSD de um dado conjunto de quatro licenças gratuitas do SMSD.</w:t>
      </w:r>
    </w:p>
    <w:p w:rsidR="000A18AA" w:rsidRPr="008D38F6" w:rsidRDefault="000A18AA" w:rsidP="00D511CC">
      <w:pPr>
        <w:pStyle w:val="FootnoteBulletLevel1"/>
        <w:tabs>
          <w:tab w:val="clear" w:pos="900"/>
          <w:tab w:val="left" w:pos="720"/>
        </w:tabs>
        <w:spacing w:before="0" w:after="0"/>
        <w:ind w:left="720" w:firstLine="0"/>
        <w:rPr>
          <w:rFonts w:ascii="Tahoma" w:hAnsi="Tahoma" w:cs="Tahoma"/>
          <w:sz w:val="18"/>
          <w:szCs w:val="18"/>
          <w:lang w:val="pt-BR"/>
        </w:rPr>
      </w:pPr>
    </w:p>
    <w:p w:rsidR="004323B9" w:rsidRPr="008D38F6" w:rsidRDefault="004323B9" w:rsidP="00D511CC">
      <w:pPr>
        <w:pStyle w:val="FootnoteBulletLevel1"/>
        <w:tabs>
          <w:tab w:val="clear" w:pos="900"/>
          <w:tab w:val="left" w:pos="720"/>
        </w:tabs>
        <w:spacing w:before="0" w:after="0"/>
        <w:ind w:left="720" w:firstLine="0"/>
        <w:rPr>
          <w:rFonts w:ascii="Tahoma" w:hAnsi="Tahoma" w:cs="Tahoma"/>
          <w:sz w:val="18"/>
          <w:szCs w:val="18"/>
          <w:lang w:val="pt-BR"/>
        </w:rPr>
      </w:pPr>
      <w:r w:rsidRPr="008D38F6">
        <w:rPr>
          <w:rFonts w:ascii="Tahoma" w:hAnsi="Tahoma" w:cs="Tahoma"/>
          <w:sz w:val="18"/>
          <w:szCs w:val="18"/>
          <w:lang w:val="pt-BR"/>
        </w:rPr>
        <w:t>O direito de uso do software pelos clientes sob as licenças gratuitas do SMSD é comprovado por esta nota de condição do produto e por evidências das licenças qualificadas correspondentes.</w:t>
      </w:r>
      <w:r w:rsidR="00FB5496" w:rsidRPr="008D38F6">
        <w:rPr>
          <w:rFonts w:ascii="Tahoma" w:hAnsi="Tahoma" w:cs="Tahoma"/>
          <w:sz w:val="18"/>
          <w:szCs w:val="18"/>
          <w:lang w:val="pt-BR"/>
        </w:rPr>
        <w:t xml:space="preserve"> </w:t>
      </w:r>
      <w:r w:rsidRPr="008D38F6">
        <w:rPr>
          <w:rFonts w:ascii="Tahoma" w:hAnsi="Tahoma" w:cs="Tahoma"/>
          <w:sz w:val="18"/>
          <w:szCs w:val="18"/>
          <w:lang w:val="pt-BR"/>
        </w:rPr>
        <w:t>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qualificadas expirar. Os clientes não poderão transferir as licenças outorgadas sob esta oferta separadamente das licenças qualificadas correspondentes.</w:t>
      </w:r>
    </w:p>
    <w:p w:rsidR="000A18AA" w:rsidRPr="008D38F6" w:rsidRDefault="000A18AA" w:rsidP="00D511CC">
      <w:pPr>
        <w:pStyle w:val="FootnoteBulletLevel1"/>
        <w:tabs>
          <w:tab w:val="clear" w:pos="900"/>
          <w:tab w:val="left" w:pos="720"/>
        </w:tabs>
        <w:spacing w:before="0" w:after="0"/>
        <w:ind w:left="720" w:firstLine="0"/>
        <w:rPr>
          <w:rFonts w:ascii="Tahoma" w:hAnsi="Tahoma" w:cs="Tahoma"/>
          <w:sz w:val="18"/>
          <w:szCs w:val="18"/>
          <w:lang w:val="pt-BR"/>
        </w:rPr>
      </w:pPr>
    </w:p>
    <w:p w:rsidR="00F23A1B" w:rsidRPr="008D38F6" w:rsidRDefault="004323B9" w:rsidP="000A18AA">
      <w:pPr>
        <w:pStyle w:val="FootnoteBulletLevel1"/>
        <w:tabs>
          <w:tab w:val="clear" w:pos="900"/>
          <w:tab w:val="left" w:pos="720"/>
        </w:tabs>
        <w:spacing w:before="0" w:after="0"/>
        <w:ind w:left="720" w:firstLine="0"/>
        <w:rPr>
          <w:rFonts w:ascii="Tahoma" w:hAnsi="Tahoma" w:cs="Tahoma"/>
          <w:sz w:val="18"/>
          <w:szCs w:val="18"/>
          <w:lang w:val="pt-BR"/>
        </w:rPr>
      </w:pPr>
      <w:r w:rsidRPr="008D38F6">
        <w:rPr>
          <w:rFonts w:ascii="Tahoma" w:hAnsi="Tahoma" w:cs="Tahoma"/>
          <w:sz w:val="18"/>
          <w:szCs w:val="18"/>
          <w:lang w:val="pt-BR"/>
        </w:rPr>
        <w:t>*As alterações no licenciamento do SMSE são efetivas para o System Center Operations Manager 2007 R2 e</w:t>
      </w:r>
      <w:r w:rsidR="00F73784" w:rsidRPr="008D38F6">
        <w:rPr>
          <w:rFonts w:ascii="Tahoma" w:hAnsi="Tahoma" w:cs="Tahoma"/>
          <w:sz w:val="18"/>
          <w:szCs w:val="18"/>
          <w:lang w:val="pt-BR"/>
        </w:rPr>
        <w:t> </w:t>
      </w:r>
      <w:r w:rsidRPr="008D38F6">
        <w:rPr>
          <w:rFonts w:ascii="Tahoma" w:hAnsi="Tahoma" w:cs="Tahoma"/>
          <w:sz w:val="18"/>
          <w:szCs w:val="18"/>
          <w:lang w:val="pt-BR"/>
        </w:rPr>
        <w:t>para novos lançamentos dos outros produtos incluídos no System Center Server Management Suite Enterprise (por exemplo, o System Center Virtual Machine Manager 2008 R2).</w:t>
      </w:r>
    </w:p>
    <w:p w:rsidR="000A18AA" w:rsidRPr="008D38F6" w:rsidRDefault="000A18AA" w:rsidP="000A18AA">
      <w:pPr>
        <w:pStyle w:val="FootnoteBulletLevel1"/>
        <w:tabs>
          <w:tab w:val="clear" w:pos="900"/>
          <w:tab w:val="left" w:pos="720"/>
        </w:tabs>
        <w:spacing w:before="0" w:after="0"/>
        <w:rPr>
          <w:rFonts w:ascii="Tahoma" w:hAnsi="Tahoma" w:cs="Tahoma"/>
          <w:sz w:val="18"/>
          <w:szCs w:val="18"/>
          <w:lang w:val="pt-BR"/>
        </w:rPr>
      </w:pPr>
    </w:p>
    <w:p w:rsidR="000A18AA" w:rsidRPr="008D38F6" w:rsidRDefault="000A18AA" w:rsidP="000A18AA">
      <w:pPr>
        <w:pStyle w:val="FootnoteBulletLevel1"/>
        <w:tabs>
          <w:tab w:val="clear" w:pos="900"/>
          <w:tab w:val="left" w:pos="720"/>
        </w:tabs>
        <w:spacing w:before="0" w:after="0"/>
        <w:rPr>
          <w:rFonts w:ascii="Tahoma" w:hAnsi="Tahoma" w:cs="Tahoma"/>
          <w:sz w:val="18"/>
          <w:szCs w:val="18"/>
          <w:lang w:val="pt-BR"/>
        </w:rPr>
      </w:pPr>
    </w:p>
    <w:p w:rsidR="00F411FE" w:rsidRPr="00416070" w:rsidRDefault="0099402E" w:rsidP="0097015A">
      <w:pPr>
        <w:pStyle w:val="Heading3"/>
      </w:pPr>
      <w:bookmarkStart w:id="1453" w:name="_86_System_Center"/>
      <w:bookmarkStart w:id="1454" w:name="_Toc336338355"/>
      <w:bookmarkStart w:id="1455" w:name="_Toc352234413"/>
      <w:bookmarkStart w:id="1456" w:name="Srv_90SysCtrSvrMgmtSuiteDatacenter"/>
      <w:bookmarkEnd w:id="1453"/>
      <w:r w:rsidRPr="00416070">
        <w:rPr>
          <w:rFonts w:ascii="Tahoma" w:hAnsi="Tahoma" w:cs="Tahoma"/>
          <w:caps/>
          <w:color w:val="FF7415"/>
          <w:sz w:val="22"/>
          <w:szCs w:val="22"/>
          <w:vertAlign w:val="superscript"/>
        </w:rPr>
        <w:t>87</w:t>
      </w:r>
      <w:r w:rsidRPr="00615CB9">
        <w:rPr>
          <w:rFonts w:ascii="Tahoma" w:hAnsi="Tahoma" w:cs="Tahoma"/>
          <w:caps/>
          <w:color w:val="FF7415"/>
          <w:sz w:val="22"/>
          <w:szCs w:val="22"/>
        </w:rPr>
        <w:t xml:space="preserve"> </w:t>
      </w:r>
      <w:r w:rsidRPr="00416070">
        <w:rPr>
          <w:rFonts w:ascii="Tahoma" w:hAnsi="Tahoma" w:cs="Tahoma"/>
          <w:color w:val="FF7415"/>
          <w:sz w:val="22"/>
          <w:szCs w:val="22"/>
        </w:rPr>
        <w:t>System Center Server Management Suite Datacenter</w:t>
      </w:r>
      <w:bookmarkEnd w:id="1454"/>
      <w:bookmarkEnd w:id="1455"/>
    </w:p>
    <w:bookmarkEnd w:id="1456"/>
    <w:p w:rsidR="00F411FE" w:rsidRPr="008D38F6" w:rsidRDefault="00F411FE" w:rsidP="00F411FE">
      <w:pPr>
        <w:ind w:left="360"/>
        <w:rPr>
          <w:rFonts w:cs="Tahoma"/>
          <w:szCs w:val="18"/>
          <w:lang w:val="pt-BR"/>
        </w:rPr>
      </w:pPr>
    </w:p>
    <w:p w:rsidR="00FF4CAB" w:rsidRPr="008D38F6" w:rsidRDefault="00FF4CAB" w:rsidP="000A18AA">
      <w:pPr>
        <w:pStyle w:val="EndnoteText"/>
        <w:ind w:left="720"/>
        <w:rPr>
          <w:rFonts w:ascii="Tahoma" w:hAnsi="Tahoma" w:cs="Tahoma"/>
          <w:sz w:val="18"/>
          <w:szCs w:val="18"/>
          <w:lang w:val="pt-BR"/>
        </w:rPr>
      </w:pPr>
      <w:r w:rsidRPr="00A76730">
        <w:rPr>
          <w:rFonts w:ascii="Tahoma" w:hAnsi="Tahoma" w:cs="Tahoma"/>
          <w:color w:val="000000"/>
          <w:sz w:val="18"/>
          <w:szCs w:val="18"/>
        </w:rPr>
        <w:t>Este produto encontra-se no status EOL (Fim da Vida Útil) e não s</w:t>
      </w:r>
      <w:r w:rsidR="00A76730" w:rsidRPr="00A76730">
        <w:rPr>
          <w:rFonts w:ascii="Tahoma" w:hAnsi="Tahoma" w:cs="Tahoma"/>
          <w:color w:val="000000"/>
          <w:sz w:val="18"/>
          <w:szCs w:val="18"/>
        </w:rPr>
        <w:t>erá mais oferecido.</w:t>
      </w:r>
    </w:p>
    <w:p w:rsidR="004F0CAE" w:rsidRPr="00A76730" w:rsidRDefault="004F0CAE" w:rsidP="000A18AA">
      <w:pPr>
        <w:pStyle w:val="EndnoteText"/>
        <w:ind w:left="720"/>
        <w:rPr>
          <w:rFonts w:ascii="Tahoma" w:hAnsi="Tahoma" w:cs="Tahoma"/>
          <w:sz w:val="18"/>
          <w:szCs w:val="18"/>
        </w:rPr>
      </w:pPr>
    </w:p>
    <w:p w:rsidR="00FF4CAB" w:rsidRPr="008D38F6" w:rsidRDefault="00FF4CAB" w:rsidP="004F0CAE">
      <w:pPr>
        <w:pStyle w:val="FootnoteBulletLevel1"/>
        <w:tabs>
          <w:tab w:val="clear" w:pos="900"/>
        </w:tabs>
        <w:spacing w:before="0" w:after="60"/>
        <w:ind w:left="720" w:firstLine="0"/>
        <w:rPr>
          <w:rFonts w:ascii="Tahoma" w:hAnsi="Tahoma" w:cs="Tahoma"/>
          <w:sz w:val="18"/>
          <w:szCs w:val="18"/>
          <w:lang w:val="pt-BR"/>
        </w:rPr>
      </w:pPr>
      <w:r w:rsidRPr="008D38F6">
        <w:rPr>
          <w:rFonts w:ascii="Tahoma" w:hAnsi="Tahoma" w:cs="Tahoma"/>
          <w:b/>
          <w:sz w:val="18"/>
          <w:szCs w:val="18"/>
          <w:lang w:val="pt-BR"/>
        </w:rPr>
        <w:t>Detalhes da Outorga de Licença Transicional Única do System Center 2012</w:t>
      </w:r>
    </w:p>
    <w:p w:rsidR="00FF4CAB" w:rsidRPr="008D38F6" w:rsidRDefault="00FF4CAB" w:rsidP="000A18AA">
      <w:pPr>
        <w:ind w:left="720"/>
        <w:rPr>
          <w:rFonts w:cs="Tahoma"/>
          <w:szCs w:val="18"/>
          <w:lang w:val="pt-BR"/>
        </w:rPr>
      </w:pPr>
      <w:r w:rsidRPr="008D38F6">
        <w:rPr>
          <w:rFonts w:cs="Tahoma"/>
          <w:szCs w:val="18"/>
          <w:lang w:val="pt-BR"/>
        </w:rPr>
        <w:t>Consulte a nota do produto nas ofertas do System Center 2012 para obter detalhes sobre as outorgas de</w:t>
      </w:r>
      <w:r w:rsidR="00F73784" w:rsidRPr="008D38F6">
        <w:rPr>
          <w:rFonts w:cs="Tahoma"/>
          <w:szCs w:val="18"/>
          <w:lang w:val="pt-BR"/>
        </w:rPr>
        <w:t> </w:t>
      </w:r>
      <w:r w:rsidRPr="008D38F6">
        <w:rPr>
          <w:rFonts w:cs="Tahoma"/>
          <w:szCs w:val="18"/>
          <w:lang w:val="pt-BR"/>
        </w:rPr>
        <w:t>licença transicionais.</w:t>
      </w:r>
    </w:p>
    <w:p w:rsidR="00FF4CAB" w:rsidRPr="008D38F6" w:rsidRDefault="00FF4CAB" w:rsidP="000A18AA">
      <w:pPr>
        <w:ind w:left="720"/>
        <w:rPr>
          <w:rFonts w:cs="Tahoma"/>
          <w:szCs w:val="18"/>
          <w:lang w:val="pt-BR"/>
        </w:rPr>
      </w:pPr>
    </w:p>
    <w:p w:rsidR="0020393F" w:rsidRPr="008D38F6" w:rsidRDefault="0020393F" w:rsidP="000A18AA">
      <w:pPr>
        <w:ind w:left="720"/>
        <w:rPr>
          <w:rFonts w:cs="Tahoma"/>
          <w:szCs w:val="18"/>
          <w:lang w:val="pt-BR"/>
        </w:rPr>
      </w:pPr>
    </w:p>
    <w:p w:rsidR="0020393F" w:rsidRPr="008D38F6" w:rsidRDefault="0020393F" w:rsidP="000A18AA">
      <w:pPr>
        <w:ind w:left="720"/>
        <w:rPr>
          <w:rFonts w:cs="Tahoma"/>
          <w:szCs w:val="18"/>
          <w:lang w:val="pt-BR"/>
        </w:rPr>
      </w:pPr>
    </w:p>
    <w:p w:rsidR="00F411FE" w:rsidRPr="008D38F6" w:rsidRDefault="00F411FE" w:rsidP="000A18AA">
      <w:pPr>
        <w:ind w:left="720"/>
        <w:rPr>
          <w:rFonts w:cs="Tahoma"/>
          <w:szCs w:val="18"/>
          <w:lang w:val="pt-BR"/>
        </w:rPr>
      </w:pPr>
      <w:r w:rsidRPr="008D38F6">
        <w:rPr>
          <w:rFonts w:cs="Tahoma"/>
          <w:szCs w:val="18"/>
          <w:lang w:val="pt-BR"/>
        </w:rPr>
        <w:t>O System Center Server Management Suite Datacenter é independente da versão e os direitos de uso de produto são determinados pelo status da cobertura do Software Assurance para o System Center Server Management Suite Datacenter.</w:t>
      </w:r>
      <w:r w:rsidR="00FB5496" w:rsidRPr="008D38F6">
        <w:rPr>
          <w:rFonts w:cs="Tahoma"/>
          <w:szCs w:val="18"/>
          <w:lang w:val="pt-BR"/>
        </w:rPr>
        <w:t xml:space="preserve"> </w:t>
      </w:r>
      <w:r w:rsidRPr="008D38F6">
        <w:rPr>
          <w:rFonts w:cs="Tahoma"/>
          <w:szCs w:val="18"/>
          <w:lang w:val="pt-BR"/>
        </w:rPr>
        <w:t>Se a cobertura for interrompida, os direitos de acesso sob as licenças perpétuas serão determinados com base nos direitos de uso de produto em vigor antes da interrupção.</w:t>
      </w:r>
    </w:p>
    <w:p w:rsidR="00E72B93" w:rsidRPr="008D38F6" w:rsidRDefault="00E72B93" w:rsidP="000A18AA">
      <w:pPr>
        <w:ind w:left="720"/>
        <w:rPr>
          <w:rFonts w:cs="Tahoma"/>
          <w:szCs w:val="18"/>
          <w:lang w:val="pt-BR"/>
        </w:rPr>
      </w:pPr>
    </w:p>
    <w:p w:rsidR="00143CF6" w:rsidRPr="008D38F6" w:rsidRDefault="005C164D" w:rsidP="003165D6">
      <w:pPr>
        <w:ind w:left="720"/>
        <w:rPr>
          <w:rFonts w:cs="Tahoma"/>
          <w:spacing w:val="-1"/>
          <w:szCs w:val="18"/>
          <w:lang w:val="pt-BR"/>
        </w:rPr>
      </w:pPr>
      <w:r w:rsidRPr="008D38F6">
        <w:rPr>
          <w:rFonts w:cs="Tahoma"/>
          <w:color w:val="000000"/>
          <w:spacing w:val="-1"/>
          <w:szCs w:val="18"/>
          <w:lang w:val="pt-BR"/>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bookmarkStart w:id="1457" w:name="_90_System_Center"/>
      <w:bookmarkEnd w:id="1457"/>
    </w:p>
    <w:p w:rsidR="00FF4CAB" w:rsidRPr="008D38F6" w:rsidRDefault="00FF4CAB" w:rsidP="004F0CAE">
      <w:pPr>
        <w:rPr>
          <w:lang w:val="pt-BR"/>
        </w:rPr>
      </w:pPr>
      <w:bookmarkStart w:id="1458" w:name="Srv_92TechNetPlusSingleUser"/>
    </w:p>
    <w:p w:rsidR="00FF4CAB" w:rsidRPr="008D38F6" w:rsidRDefault="00FF4CAB" w:rsidP="004F0CAE">
      <w:pPr>
        <w:rPr>
          <w:lang w:val="pt-BR"/>
        </w:rPr>
      </w:pPr>
    </w:p>
    <w:p w:rsidR="00FF4CAB" w:rsidRPr="00416070" w:rsidRDefault="0099402E" w:rsidP="00F73784">
      <w:pPr>
        <w:pStyle w:val="Heading3"/>
        <w:ind w:left="245" w:hanging="245"/>
      </w:pPr>
      <w:bookmarkStart w:id="1459" w:name="_87_System_Center"/>
      <w:bookmarkStart w:id="1460" w:name="_88_System_Center"/>
      <w:bookmarkStart w:id="1461" w:name="_Toc336338357"/>
      <w:bookmarkStart w:id="1462" w:name="_Toc352234414"/>
      <w:bookmarkStart w:id="1463" w:name="Srv_100SysCenterVMM2008R2"/>
      <w:bookmarkEnd w:id="1459"/>
      <w:bookmarkEnd w:id="1460"/>
      <w:r w:rsidRPr="00416070">
        <w:rPr>
          <w:rFonts w:ascii="Tahoma" w:hAnsi="Tahoma" w:cs="Tahoma"/>
          <w:caps/>
          <w:color w:val="FF6F0D"/>
          <w:sz w:val="22"/>
          <w:szCs w:val="22"/>
          <w:vertAlign w:val="superscript"/>
        </w:rPr>
        <w:t>88</w:t>
      </w:r>
      <w:r w:rsidRPr="00416070">
        <w:rPr>
          <w:rFonts w:ascii="Tahoma" w:hAnsi="Tahoma" w:cs="Tahoma"/>
          <w:color w:val="FF6F0D"/>
          <w:sz w:val="22"/>
          <w:szCs w:val="22"/>
        </w:rPr>
        <w:t xml:space="preserve"> System Center Virtual Machine Manager 2008 R2 – Licenças de Gerenciamento de</w:t>
      </w:r>
      <w:r w:rsidR="00F73784" w:rsidRPr="008D38F6">
        <w:rPr>
          <w:rFonts w:ascii="Tahoma" w:hAnsi="Tahoma" w:cs="Tahoma"/>
          <w:color w:val="FF6F0D"/>
          <w:sz w:val="22"/>
          <w:szCs w:val="22"/>
          <w:lang w:val="pt-BR"/>
        </w:rPr>
        <w:t> </w:t>
      </w:r>
      <w:r w:rsidRPr="00416070">
        <w:rPr>
          <w:rFonts w:ascii="Tahoma" w:hAnsi="Tahoma" w:cs="Tahoma"/>
          <w:color w:val="FF6F0D"/>
          <w:sz w:val="22"/>
          <w:szCs w:val="22"/>
        </w:rPr>
        <w:t>Cliente e Servidor</w:t>
      </w:r>
      <w:bookmarkEnd w:id="1461"/>
      <w:bookmarkEnd w:id="1462"/>
    </w:p>
    <w:bookmarkEnd w:id="1463"/>
    <w:p w:rsidR="00FF4CAB" w:rsidRPr="008D38F6" w:rsidRDefault="00FF4CAB" w:rsidP="004F0CAE">
      <w:pPr>
        <w:rPr>
          <w:rFonts w:cs="Tahoma"/>
          <w:szCs w:val="18"/>
          <w:lang w:val="pt-BR"/>
        </w:rPr>
      </w:pPr>
    </w:p>
    <w:p w:rsidR="00FF4CAB" w:rsidRPr="008D38F6" w:rsidRDefault="00FF4CAB" w:rsidP="004F0CAE">
      <w:pPr>
        <w:ind w:left="720"/>
        <w:rPr>
          <w:rFonts w:cs="Tahoma"/>
          <w:szCs w:val="18"/>
          <w:lang w:val="pt-BR"/>
        </w:rPr>
      </w:pPr>
      <w:r w:rsidRPr="008D38F6">
        <w:rPr>
          <w:rFonts w:cs="Tahoma"/>
          <w:szCs w:val="18"/>
          <w:lang w:val="pt-BR"/>
        </w:rPr>
        <w:t>Estes produtos encontram-se no status EOL (Fim da Vida Útil) e não serão mais oferecidos.</w:t>
      </w:r>
    </w:p>
    <w:p w:rsidR="004F0CAE" w:rsidRPr="008D38F6" w:rsidRDefault="004F0CAE" w:rsidP="004F0CAE">
      <w:pPr>
        <w:ind w:left="720"/>
        <w:rPr>
          <w:rFonts w:cs="Tahoma"/>
          <w:szCs w:val="18"/>
          <w:lang w:val="pt-BR"/>
        </w:rPr>
      </w:pPr>
    </w:p>
    <w:p w:rsidR="00FF4CAB" w:rsidRPr="008D38F6" w:rsidRDefault="00FF4CAB" w:rsidP="004F0CAE">
      <w:pPr>
        <w:adjustRightInd w:val="0"/>
        <w:spacing w:after="60"/>
        <w:ind w:left="720"/>
        <w:textAlignment w:val="baseline"/>
        <w:rPr>
          <w:rFonts w:cs="Tahoma"/>
          <w:szCs w:val="18"/>
          <w:lang w:val="pt-BR"/>
        </w:rPr>
      </w:pPr>
      <w:r w:rsidRPr="008D38F6">
        <w:rPr>
          <w:rFonts w:cs="Tahoma"/>
          <w:b/>
          <w:szCs w:val="18"/>
          <w:lang w:val="pt-BR"/>
        </w:rPr>
        <w:t>Detalhes da Outorga de Licença Transicional Única do System Center 2012</w:t>
      </w:r>
    </w:p>
    <w:p w:rsidR="00586FCE" w:rsidRPr="008D38F6" w:rsidRDefault="00FF4CAB" w:rsidP="004F0CAE">
      <w:pPr>
        <w:ind w:left="720"/>
        <w:rPr>
          <w:rFonts w:cs="Tahoma"/>
          <w:szCs w:val="18"/>
          <w:lang w:val="pt-BR"/>
        </w:rPr>
      </w:pPr>
      <w:r w:rsidRPr="008D38F6">
        <w:rPr>
          <w:rFonts w:cs="Tahoma"/>
          <w:szCs w:val="18"/>
          <w:lang w:val="pt-BR"/>
        </w:rPr>
        <w:t>Consulte a nota do produto nas ofertas do System Center 2012 para obter detalhes sobre as outorgas de</w:t>
      </w:r>
      <w:r w:rsidR="00F73784" w:rsidRPr="008D38F6">
        <w:rPr>
          <w:rFonts w:cs="Tahoma"/>
          <w:szCs w:val="18"/>
          <w:lang w:val="pt-BR"/>
        </w:rPr>
        <w:t> </w:t>
      </w:r>
      <w:r w:rsidRPr="008D38F6">
        <w:rPr>
          <w:rFonts w:cs="Tahoma"/>
          <w:szCs w:val="18"/>
          <w:lang w:val="pt-BR"/>
        </w:rPr>
        <w:t>licença</w:t>
      </w:r>
      <w:bookmarkStart w:id="1464" w:name="_Toc336338358"/>
      <w:bookmarkStart w:id="1465" w:name="Srv_101SystemCenter2012"/>
      <w:r w:rsidRPr="008D38F6">
        <w:rPr>
          <w:rFonts w:cs="Tahoma"/>
          <w:szCs w:val="18"/>
          <w:lang w:val="pt-BR"/>
        </w:rPr>
        <w:t xml:space="preserve"> transicionais.</w:t>
      </w:r>
    </w:p>
    <w:p w:rsidR="00F73784" w:rsidRPr="008D38F6" w:rsidRDefault="00F73784" w:rsidP="004F0CAE">
      <w:pPr>
        <w:rPr>
          <w:lang w:val="pt-BR"/>
        </w:rPr>
      </w:pPr>
    </w:p>
    <w:p w:rsidR="00A76730" w:rsidRPr="008D38F6" w:rsidRDefault="00A76730" w:rsidP="004F0CAE">
      <w:pPr>
        <w:rPr>
          <w:lang w:val="pt-BR"/>
        </w:rPr>
      </w:pPr>
    </w:p>
    <w:p w:rsidR="00FF4CAB" w:rsidRPr="00416070" w:rsidRDefault="0099402E" w:rsidP="00FF4CAB">
      <w:pPr>
        <w:pStyle w:val="Heading3"/>
      </w:pPr>
      <w:bookmarkStart w:id="1466" w:name="_91_89_System"/>
      <w:bookmarkStart w:id="1467" w:name="_Toc352234415"/>
      <w:bookmarkEnd w:id="1466"/>
      <w:r w:rsidRPr="00416070">
        <w:rPr>
          <w:rFonts w:ascii="Tahoma" w:hAnsi="Tahoma" w:cs="Tahoma"/>
          <w:caps/>
          <w:color w:val="FF6F0D"/>
          <w:sz w:val="22"/>
          <w:szCs w:val="22"/>
          <w:vertAlign w:val="superscript"/>
        </w:rPr>
        <w:t>89</w:t>
      </w:r>
      <w:r w:rsidRPr="00416070">
        <w:rPr>
          <w:rFonts w:ascii="Tahoma" w:hAnsi="Tahoma" w:cs="Tahoma"/>
          <w:color w:val="FF6F0D"/>
          <w:sz w:val="22"/>
          <w:szCs w:val="22"/>
        </w:rPr>
        <w:t xml:space="preserve"> System Center 2012</w:t>
      </w:r>
      <w:bookmarkEnd w:id="1464"/>
      <w:bookmarkEnd w:id="1467"/>
    </w:p>
    <w:bookmarkEnd w:id="1465"/>
    <w:p w:rsidR="00FF4CAB" w:rsidRPr="008D38F6" w:rsidRDefault="00FF4CAB" w:rsidP="004F0CAE">
      <w:pPr>
        <w:rPr>
          <w:lang w:val="pt-BR"/>
        </w:rPr>
      </w:pPr>
    </w:p>
    <w:p w:rsidR="00FF4CAB" w:rsidRPr="008D38F6" w:rsidRDefault="00FF4CAB" w:rsidP="004F0CAE">
      <w:pPr>
        <w:ind w:left="720"/>
        <w:rPr>
          <w:rFonts w:cs="Tahoma"/>
          <w:color w:val="000000"/>
          <w:szCs w:val="24"/>
          <w:lang w:val="pt-BR"/>
        </w:rPr>
      </w:pPr>
      <w:r w:rsidRPr="008D38F6">
        <w:rPr>
          <w:rFonts w:cs="Tahoma"/>
          <w:color w:val="000000"/>
          <w:szCs w:val="24"/>
          <w:lang w:val="pt-BR"/>
        </w:rPr>
        <w:t>As versões posteriores do System Center Data Protection Manager 2010, System Center Operations Manager 2008 R2, System Center Service Manager 2010 e System Center Virtual Machine Manager 2008 R2 não serão disponíveis.</w:t>
      </w:r>
      <w:r w:rsidR="00FB5496" w:rsidRPr="008D38F6">
        <w:rPr>
          <w:rFonts w:cs="Tahoma"/>
          <w:color w:val="000000"/>
          <w:szCs w:val="24"/>
          <w:lang w:val="pt-BR"/>
        </w:rPr>
        <w:t xml:space="preserve"> </w:t>
      </w:r>
      <w:r w:rsidRPr="008D38F6">
        <w:rPr>
          <w:rFonts w:cs="Tahoma"/>
          <w:color w:val="000000"/>
          <w:szCs w:val="24"/>
          <w:lang w:val="pt-BR"/>
        </w:rPr>
        <w:t xml:space="preserve">Da mesma forma, versões posteriores do System Center Configuration Manager 2007 R3 não estarão disponíveis sob licenças de software separadas ou licenças de gerenciamento de servidores. Como uma exceção, mediante a disponibilidade do System Center 2012, aos clientes do Software Assurance ativo que tiveram cobertura nas licenças de gerenciamento e de software correspondendo a esses produtos em </w:t>
      </w:r>
      <w:r w:rsidR="00EB0F1B" w:rsidRPr="008D38F6">
        <w:rPr>
          <w:rFonts w:cs="Tahoma"/>
          <w:color w:val="000000"/>
          <w:szCs w:val="24"/>
          <w:lang w:val="pt-BR"/>
        </w:rPr>
        <w:t>1</w:t>
      </w:r>
      <w:r w:rsidR="00EB0F1B" w:rsidRPr="008D38F6">
        <w:rPr>
          <w:rFonts w:cs="Tahoma"/>
          <w:color w:val="000000"/>
          <w:szCs w:val="24"/>
          <w:vertAlign w:val="superscript"/>
          <w:lang w:val="pt-BR"/>
        </w:rPr>
        <w:t>º</w:t>
      </w:r>
      <w:r w:rsidRPr="008D38F6">
        <w:rPr>
          <w:rFonts w:cs="Tahoma"/>
          <w:color w:val="000000"/>
          <w:szCs w:val="24"/>
          <w:lang w:val="pt-BR"/>
        </w:rPr>
        <w:t xml:space="preserve"> de abril de 2012 serão fornecidas licenças para atualizar e usar o software Systems Center 2012 em vez desses produtos como pode ser visto a seguir.</w:t>
      </w:r>
    </w:p>
    <w:p w:rsidR="00A76730" w:rsidRPr="008D38F6" w:rsidRDefault="00A76730" w:rsidP="004F0CAE">
      <w:pPr>
        <w:ind w:left="720"/>
        <w:rPr>
          <w:rFonts w:cs="Tahoma"/>
          <w:color w:val="000000"/>
          <w:szCs w:val="24"/>
          <w:lang w:val="pt-BR"/>
        </w:rPr>
      </w:pPr>
    </w:p>
    <w:p w:rsidR="00A76730" w:rsidRPr="008D38F6" w:rsidRDefault="00A76730" w:rsidP="004F0CAE">
      <w:pPr>
        <w:ind w:left="720"/>
        <w:rPr>
          <w:lang w:val="pt-BR"/>
        </w:rPr>
      </w:pPr>
    </w:p>
    <w:p w:rsidR="00FF4CAB" w:rsidRPr="008D38F6" w:rsidRDefault="00FF4CAB" w:rsidP="004F0CAE">
      <w:pPr>
        <w:ind w:left="900"/>
        <w:rPr>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4140"/>
      </w:tblGrid>
      <w:tr w:rsidR="00FF4CAB" w:rsidRPr="00416070" w:rsidTr="003E651C">
        <w:trPr>
          <w:tblHeader/>
        </w:trPr>
        <w:tc>
          <w:tcPr>
            <w:tcW w:w="4180" w:type="dxa"/>
            <w:tcBorders>
              <w:top w:val="single" w:sz="4" w:space="0" w:color="000000"/>
              <w:bottom w:val="single" w:sz="6" w:space="0" w:color="000000"/>
            </w:tcBorders>
            <w:shd w:val="clear" w:color="auto" w:fill="FABF8F"/>
          </w:tcPr>
          <w:p w:rsidR="00FF4CAB" w:rsidRPr="00416070" w:rsidRDefault="00FF4CAB" w:rsidP="00FF4CAB">
            <w:pPr>
              <w:jc w:val="center"/>
              <w:rPr>
                <w:rFonts w:cs="Tahoma"/>
                <w:b/>
                <w:color w:val="000000"/>
                <w:szCs w:val="20"/>
              </w:rPr>
            </w:pPr>
            <w:r w:rsidRPr="00416070">
              <w:rPr>
                <w:rFonts w:cs="Tahoma"/>
                <w:b/>
                <w:color w:val="000000"/>
                <w:szCs w:val="20"/>
              </w:rPr>
              <w:t>Licenças Qualificadas</w:t>
            </w:r>
          </w:p>
        </w:tc>
        <w:tc>
          <w:tcPr>
            <w:tcW w:w="4140" w:type="dxa"/>
            <w:tcBorders>
              <w:top w:val="single" w:sz="4" w:space="0" w:color="000000"/>
              <w:bottom w:val="single" w:sz="6" w:space="0" w:color="000000"/>
            </w:tcBorders>
            <w:shd w:val="clear" w:color="auto" w:fill="FABF8F"/>
          </w:tcPr>
          <w:p w:rsidR="00FF4CAB" w:rsidRPr="00416070" w:rsidRDefault="00FF4CAB" w:rsidP="00FF4CAB">
            <w:pPr>
              <w:jc w:val="center"/>
              <w:rPr>
                <w:rFonts w:cs="Tahoma"/>
                <w:b/>
                <w:color w:val="000000"/>
                <w:szCs w:val="20"/>
              </w:rPr>
            </w:pPr>
            <w:r w:rsidRPr="00416070">
              <w:rPr>
                <w:rFonts w:cs="Tahoma"/>
                <w:b/>
                <w:color w:val="000000"/>
                <w:szCs w:val="20"/>
              </w:rPr>
              <w:t>Licenças do System Center 2012:</w:t>
            </w:r>
          </w:p>
        </w:tc>
      </w:tr>
      <w:tr w:rsidR="00FF4CAB" w:rsidRPr="002B5F9E" w:rsidTr="00F73784">
        <w:tc>
          <w:tcPr>
            <w:tcW w:w="4180" w:type="dxa"/>
            <w:tcBorders>
              <w:top w:val="single" w:sz="6" w:space="0" w:color="000000"/>
            </w:tcBorders>
            <w:shd w:val="clear" w:color="auto" w:fill="FFFFFF"/>
          </w:tcPr>
          <w:p w:rsidR="00FF4CAB" w:rsidRPr="008D38F6" w:rsidRDefault="00FF4CAB" w:rsidP="00FF4CAB">
            <w:pPr>
              <w:rPr>
                <w:rFonts w:cs="Tahoma"/>
                <w:color w:val="000000"/>
                <w:szCs w:val="20"/>
                <w:lang w:val="fr-FR"/>
              </w:rPr>
            </w:pPr>
            <w:r w:rsidRPr="008D38F6">
              <w:rPr>
                <w:rFonts w:cs="Tahoma"/>
                <w:color w:val="000000"/>
                <w:szCs w:val="20"/>
                <w:lang w:val="fr-FR"/>
              </w:rPr>
              <w:t xml:space="preserve">System Center Client Management Suite </w:t>
            </w:r>
            <w:r w:rsidR="003B577A" w:rsidRPr="008D38F6">
              <w:rPr>
                <w:rFonts w:cs="Tahoma"/>
                <w:szCs w:val="20"/>
                <w:lang w:val="fr-FR"/>
              </w:rPr>
              <w:br/>
            </w:r>
            <w:r w:rsidRPr="008D38F6">
              <w:rPr>
                <w:rFonts w:cs="Tahoma"/>
                <w:color w:val="000000"/>
                <w:szCs w:val="20"/>
                <w:lang w:val="fr-FR"/>
              </w:rPr>
              <w:t>(ML de Cliente) por OSE</w:t>
            </w:r>
          </w:p>
        </w:tc>
        <w:tc>
          <w:tcPr>
            <w:tcW w:w="4140" w:type="dxa"/>
            <w:tcBorders>
              <w:top w:val="single" w:sz="6" w:space="0" w:color="000000"/>
            </w:tcBorders>
            <w:shd w:val="clear" w:color="auto" w:fill="FFFFFF"/>
          </w:tcPr>
          <w:p w:rsidR="00FF4CAB" w:rsidRPr="008D38F6" w:rsidRDefault="00FF4CAB" w:rsidP="00FF4CAB">
            <w:pPr>
              <w:rPr>
                <w:rFonts w:cs="Tahoma"/>
                <w:color w:val="000000"/>
                <w:szCs w:val="20"/>
                <w:lang w:val="fr-FR"/>
              </w:rPr>
            </w:pPr>
            <w:r w:rsidRPr="008D38F6">
              <w:rPr>
                <w:rFonts w:cs="Tahoma"/>
                <w:color w:val="000000"/>
                <w:szCs w:val="20"/>
                <w:lang w:val="fr-FR"/>
              </w:rPr>
              <w:t>1 System Center 2012 Client Management Suite (ML de Cliente) por OSE</w:t>
            </w:r>
          </w:p>
        </w:tc>
      </w:tr>
      <w:tr w:rsidR="00FF4CAB" w:rsidRPr="00416070" w:rsidTr="00F73784">
        <w:tc>
          <w:tcPr>
            <w:tcW w:w="4180" w:type="dxa"/>
            <w:shd w:val="clear" w:color="auto" w:fill="FFFFFF"/>
          </w:tcPr>
          <w:p w:rsidR="00FF4CAB" w:rsidRPr="00416070" w:rsidRDefault="00FF4CAB" w:rsidP="00FF4CAB">
            <w:pPr>
              <w:rPr>
                <w:rFonts w:cs="Tahoma"/>
                <w:color w:val="000000"/>
                <w:szCs w:val="20"/>
              </w:rPr>
            </w:pPr>
            <w:r w:rsidRPr="00416070">
              <w:rPr>
                <w:rFonts w:cs="Tahoma"/>
                <w:color w:val="000000"/>
                <w:szCs w:val="20"/>
              </w:rPr>
              <w:t xml:space="preserve">System Center Client Management Suite </w:t>
            </w:r>
            <w:r w:rsidR="003B577A">
              <w:rPr>
                <w:rFonts w:cs="Tahoma"/>
                <w:szCs w:val="20"/>
              </w:rPr>
              <w:br/>
            </w:r>
            <w:r w:rsidRPr="00416070">
              <w:rPr>
                <w:rFonts w:cs="Tahoma"/>
                <w:color w:val="000000"/>
                <w:szCs w:val="20"/>
              </w:rPr>
              <w:t>(ML de Cliente) por Usuário</w:t>
            </w:r>
          </w:p>
        </w:tc>
        <w:tc>
          <w:tcPr>
            <w:tcW w:w="4140" w:type="dxa"/>
            <w:shd w:val="clear" w:color="auto" w:fill="FFFFFF"/>
          </w:tcPr>
          <w:p w:rsidR="00FF4CAB" w:rsidRPr="00416070" w:rsidRDefault="00FF4CAB" w:rsidP="00FF4CAB">
            <w:pPr>
              <w:rPr>
                <w:rFonts w:cs="Tahoma"/>
                <w:color w:val="000000"/>
                <w:szCs w:val="20"/>
              </w:rPr>
            </w:pPr>
            <w:r w:rsidRPr="00416070">
              <w:rPr>
                <w:rFonts w:cs="Tahoma"/>
                <w:color w:val="000000"/>
                <w:szCs w:val="20"/>
              </w:rPr>
              <w:t>1 System Center 2012 Client Management Suite (ML de Cliente) por Usuário</w:t>
            </w:r>
          </w:p>
        </w:tc>
      </w:tr>
      <w:tr w:rsidR="00FF4CAB" w:rsidRPr="002B5F9E" w:rsidTr="00F73784">
        <w:tc>
          <w:tcPr>
            <w:tcW w:w="4180" w:type="dxa"/>
            <w:shd w:val="clear" w:color="auto" w:fill="FFFFFF"/>
          </w:tcPr>
          <w:p w:rsidR="00FF4CAB" w:rsidRPr="00416070" w:rsidRDefault="00FF4CAB" w:rsidP="00FF4CAB">
            <w:pPr>
              <w:rPr>
                <w:rFonts w:cs="Tahoma"/>
                <w:color w:val="000000"/>
                <w:szCs w:val="20"/>
              </w:rPr>
            </w:pPr>
            <w:r w:rsidRPr="00416070">
              <w:rPr>
                <w:rFonts w:cs="Tahoma"/>
                <w:color w:val="000000"/>
                <w:szCs w:val="20"/>
              </w:rPr>
              <w:t>System Center Configuration Manager 2007 R3</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 xml:space="preserve">Licença de Gerenciamento de Cliente do System Center Configuration Manager 2007 R3 </w:t>
            </w:r>
            <w:r w:rsidR="003B577A" w:rsidRPr="008D38F6">
              <w:rPr>
                <w:rFonts w:cs="Tahoma"/>
                <w:szCs w:val="20"/>
                <w:lang w:val="pt-BR"/>
              </w:rPr>
              <w:br/>
            </w:r>
            <w:r w:rsidRPr="008D38F6">
              <w:rPr>
                <w:rFonts w:cs="Tahoma"/>
                <w:color w:val="000000"/>
                <w:szCs w:val="20"/>
                <w:lang w:val="pt-BR"/>
              </w:rPr>
              <w:t>(ML do Cliente) por OSE</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szCs w:val="20"/>
                <w:lang w:val="pt-BR"/>
              </w:rPr>
              <w:t xml:space="preserve">1 Licença de Gerenciamento de Cliente do System Center 2012 Configuration Manager </w:t>
            </w:r>
            <w:r w:rsidR="003B577A" w:rsidRPr="008D38F6">
              <w:rPr>
                <w:rFonts w:cs="Tahoma"/>
                <w:szCs w:val="20"/>
                <w:lang w:val="pt-BR"/>
              </w:rPr>
              <w:br/>
            </w:r>
            <w:r w:rsidRPr="008D38F6">
              <w:rPr>
                <w:rFonts w:cs="Tahoma"/>
                <w:szCs w:val="20"/>
                <w:lang w:val="pt-BR"/>
              </w:rPr>
              <w:t>(ML do Cliente) por OSE</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 xml:space="preserve">Licença de Gerenciamento de Cliente do System Center Configuration Manager 2007 R3 </w:t>
            </w:r>
            <w:r w:rsidR="003B577A" w:rsidRPr="008D38F6">
              <w:rPr>
                <w:rFonts w:cs="Tahoma"/>
                <w:color w:val="000000"/>
                <w:szCs w:val="20"/>
                <w:lang w:val="pt-BR"/>
              </w:rPr>
              <w:br/>
            </w:r>
            <w:r w:rsidRPr="008D38F6">
              <w:rPr>
                <w:rFonts w:cs="Tahoma"/>
                <w:color w:val="000000"/>
                <w:szCs w:val="20"/>
                <w:lang w:val="pt-BR"/>
              </w:rPr>
              <w:t>(ML de Cliente) por Usuário</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szCs w:val="20"/>
                <w:lang w:val="pt-BR"/>
              </w:rPr>
              <w:t xml:space="preserve">1 Licença de Gerenciamento de Cliente do System Center 2012 Configuration Manager </w:t>
            </w:r>
            <w:r w:rsidR="003B577A" w:rsidRPr="008D38F6">
              <w:rPr>
                <w:rFonts w:cs="Tahoma"/>
                <w:szCs w:val="20"/>
                <w:lang w:val="pt-BR"/>
              </w:rPr>
              <w:br/>
            </w:r>
            <w:r w:rsidRPr="008D38F6">
              <w:rPr>
                <w:rFonts w:cs="Tahoma"/>
                <w:szCs w:val="20"/>
                <w:lang w:val="pt-BR"/>
              </w:rPr>
              <w:t>(ML de Cliente) por Usuário</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Licença de Gerenciamento de Cliente (ML de Cliente) do System Center Configuration Manager 2007 R3 (Somente para Aluno)</w:t>
            </w:r>
            <w:r w:rsidRPr="008D38F6">
              <w:rPr>
                <w:rFonts w:cs="Tahoma"/>
                <w:color w:val="000000"/>
                <w:szCs w:val="20"/>
                <w:vertAlign w:val="superscript"/>
                <w:lang w:val="pt-BR"/>
              </w:rPr>
              <w:t>*</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szCs w:val="20"/>
                <w:lang w:val="pt-BR"/>
              </w:rPr>
              <w:t>1 Licença de Gerenciamento de Cliente (ML de Cliente) do System Center 2012 Configuration Manager (Somente para Aluno)</w:t>
            </w:r>
            <w:r w:rsidRPr="008D38F6">
              <w:rPr>
                <w:rFonts w:cs="Tahoma"/>
                <w:szCs w:val="20"/>
                <w:vertAlign w:val="superscript"/>
                <w:lang w:val="pt-BR"/>
              </w:rPr>
              <w:t>*</w:t>
            </w:r>
          </w:p>
        </w:tc>
      </w:tr>
      <w:tr w:rsidR="00FF4CAB" w:rsidRPr="002B5F9E" w:rsidTr="00F73784">
        <w:tc>
          <w:tcPr>
            <w:tcW w:w="4180" w:type="dxa"/>
            <w:shd w:val="clear" w:color="auto" w:fill="FFFFFF"/>
          </w:tcPr>
          <w:p w:rsidR="00FF4CAB" w:rsidRPr="008D38F6" w:rsidRDefault="00FF4CAB" w:rsidP="003B577A">
            <w:pPr>
              <w:rPr>
                <w:rFonts w:cs="Tahoma"/>
                <w:color w:val="000000"/>
                <w:szCs w:val="20"/>
                <w:lang w:val="pt-BR"/>
              </w:rPr>
            </w:pPr>
            <w:r w:rsidRPr="008D38F6">
              <w:rPr>
                <w:rFonts w:cs="Tahoma"/>
                <w:color w:val="000000"/>
                <w:szCs w:val="20"/>
                <w:lang w:val="pt-BR"/>
              </w:rPr>
              <w:t>Licença de Gerenciamento de Servidor Enterprise</w:t>
            </w:r>
            <w:r w:rsidR="003B577A" w:rsidRPr="008D38F6">
              <w:rPr>
                <w:rFonts w:cs="Tahoma"/>
                <w:color w:val="000000"/>
                <w:szCs w:val="20"/>
                <w:lang w:val="pt-BR"/>
              </w:rPr>
              <w:t> </w:t>
            </w:r>
            <w:r w:rsidRPr="008D38F6">
              <w:rPr>
                <w:rFonts w:cs="Tahoma"/>
                <w:color w:val="000000"/>
                <w:szCs w:val="20"/>
                <w:lang w:val="pt-BR"/>
              </w:rPr>
              <w:t>do System Center Configuration Manager 2007 R3</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 xml:space="preserve">Licença de Gerenciamento de Servidor Padrão do System Center Configuration Manager 2007 R3 </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System Center Configuration Manager 2007 R3 com Tecnologia SQL Server 2008</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416070" w:rsidTr="00F73784">
        <w:tc>
          <w:tcPr>
            <w:tcW w:w="4180" w:type="dxa"/>
            <w:shd w:val="clear" w:color="auto" w:fill="FFFFFF"/>
          </w:tcPr>
          <w:p w:rsidR="00FF4CAB" w:rsidRPr="008D38F6" w:rsidRDefault="00FF4CAB" w:rsidP="003B577A">
            <w:pPr>
              <w:rPr>
                <w:rFonts w:cs="Tahoma"/>
                <w:color w:val="000000"/>
                <w:szCs w:val="20"/>
                <w:lang w:val="pt-BR"/>
              </w:rPr>
            </w:pPr>
            <w:r w:rsidRPr="008D38F6">
              <w:rPr>
                <w:rFonts w:cs="Tahoma"/>
                <w:color w:val="000000"/>
                <w:szCs w:val="20"/>
                <w:lang w:val="pt-BR"/>
              </w:rPr>
              <w:t>Licença de Gerenciamento de Cliente do System</w:t>
            </w:r>
            <w:r w:rsidR="003B577A" w:rsidRPr="008D38F6">
              <w:rPr>
                <w:rFonts w:cs="Tahoma"/>
                <w:color w:val="000000"/>
                <w:szCs w:val="20"/>
                <w:lang w:val="pt-BR"/>
              </w:rPr>
              <w:t> </w:t>
            </w:r>
            <w:r w:rsidRPr="008D38F6">
              <w:rPr>
                <w:rFonts w:cs="Tahoma"/>
                <w:color w:val="000000"/>
                <w:szCs w:val="20"/>
                <w:lang w:val="pt-BR"/>
              </w:rPr>
              <w:t>Center Data Protection Manager 2010 por</w:t>
            </w:r>
            <w:r w:rsidR="003B577A" w:rsidRPr="008D38F6">
              <w:rPr>
                <w:rFonts w:cs="Tahoma"/>
                <w:color w:val="000000"/>
                <w:szCs w:val="20"/>
                <w:lang w:val="pt-BR"/>
              </w:rPr>
              <w:t> </w:t>
            </w:r>
            <w:r w:rsidRPr="008D38F6">
              <w:rPr>
                <w:rFonts w:cs="Tahoma"/>
                <w:color w:val="000000"/>
                <w:szCs w:val="20"/>
                <w:lang w:val="pt-BR"/>
              </w:rPr>
              <w:t>Usuário</w:t>
            </w:r>
          </w:p>
        </w:tc>
        <w:tc>
          <w:tcPr>
            <w:tcW w:w="4140" w:type="dxa"/>
            <w:shd w:val="clear" w:color="auto" w:fill="FFFFFF"/>
          </w:tcPr>
          <w:p w:rsidR="00FF4CAB" w:rsidRPr="00416070" w:rsidRDefault="00FF4CAB" w:rsidP="00FF4CAB">
            <w:pPr>
              <w:rPr>
                <w:rFonts w:cs="Tahoma"/>
                <w:color w:val="000000"/>
                <w:szCs w:val="20"/>
              </w:rPr>
            </w:pPr>
            <w:r w:rsidRPr="00416070">
              <w:rPr>
                <w:rFonts w:cs="Tahoma"/>
                <w:color w:val="000000"/>
                <w:szCs w:val="20"/>
              </w:rPr>
              <w:t>1 System Center 2012 Client Management Suite (ML de Cliente) por Usuário</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Licença de Gerenciamento de Cliente do System Center Data Protection Manager 2010 por OSE</w:t>
            </w:r>
          </w:p>
        </w:tc>
        <w:tc>
          <w:tcPr>
            <w:tcW w:w="4140" w:type="dxa"/>
            <w:shd w:val="clear" w:color="auto" w:fill="FFFFFF"/>
          </w:tcPr>
          <w:p w:rsidR="00FF4CAB" w:rsidRPr="008D38F6" w:rsidRDefault="00FF4CAB" w:rsidP="00FF4CAB">
            <w:pPr>
              <w:rPr>
                <w:rFonts w:cs="Tahoma"/>
                <w:color w:val="000000"/>
                <w:szCs w:val="20"/>
                <w:lang w:val="fr-FR"/>
              </w:rPr>
            </w:pPr>
            <w:r w:rsidRPr="008D38F6">
              <w:rPr>
                <w:rFonts w:cs="Tahoma"/>
                <w:color w:val="000000"/>
                <w:szCs w:val="20"/>
                <w:lang w:val="fr-FR"/>
              </w:rPr>
              <w:t>1 System Center 2012 Client Management Suite (ML de Cliente) por OSE</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Licença de Gerenciamento de Servidor Enterprise do System Center Data Protection Manager 2010</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Licença de Gerenciamento de Servidor Standard do System Center Data Protection Manager 2010</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da-DK"/>
              </w:rPr>
            </w:pPr>
            <w:r w:rsidRPr="008D38F6">
              <w:rPr>
                <w:rFonts w:cs="Tahoma"/>
                <w:color w:val="000000"/>
                <w:szCs w:val="20"/>
                <w:lang w:val="da-DK"/>
              </w:rPr>
              <w:t>System Center Operations Manager 2007 R2</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System Center Operations Manager 2007 R2 com Tecnologia SQL Server 2008</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Licença de Gerenciamento de Servidor Standard do System Center Operations Manager 2007 R2</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Licença de Gerenciamento de Servidor Enterprise do System Center Operations Manager 2007 R2</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Licença de Gerenciamento de Cliente do System Center Operations Manager 2007 R2 por OSE</w:t>
            </w:r>
          </w:p>
        </w:tc>
        <w:tc>
          <w:tcPr>
            <w:tcW w:w="4140" w:type="dxa"/>
            <w:shd w:val="clear" w:color="auto" w:fill="FFFFFF"/>
          </w:tcPr>
          <w:p w:rsidR="00FF4CAB" w:rsidRPr="008D38F6" w:rsidRDefault="00FF4CAB" w:rsidP="00FF4CAB">
            <w:pPr>
              <w:rPr>
                <w:rFonts w:cs="Tahoma"/>
                <w:color w:val="000000"/>
                <w:szCs w:val="20"/>
                <w:lang w:val="fr-FR"/>
              </w:rPr>
            </w:pPr>
            <w:r w:rsidRPr="008D38F6">
              <w:rPr>
                <w:rFonts w:cs="Tahoma"/>
                <w:color w:val="000000"/>
                <w:szCs w:val="20"/>
                <w:lang w:val="fr-FR"/>
              </w:rPr>
              <w:t>1 System Center 2012 Client Management Suite (ML de Cliente) por OSE</w:t>
            </w:r>
          </w:p>
        </w:tc>
      </w:tr>
      <w:tr w:rsidR="00FF4CAB" w:rsidRPr="00416070"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Licença de Gerenciamento de Cliente do System Center Operations Manager 2007 R2 por Usuário</w:t>
            </w:r>
          </w:p>
        </w:tc>
        <w:tc>
          <w:tcPr>
            <w:tcW w:w="4140" w:type="dxa"/>
            <w:shd w:val="clear" w:color="auto" w:fill="FFFFFF"/>
          </w:tcPr>
          <w:p w:rsidR="00FF4CAB" w:rsidRPr="00416070" w:rsidRDefault="00FF4CAB" w:rsidP="00FF4CAB">
            <w:pPr>
              <w:rPr>
                <w:rFonts w:cs="Tahoma"/>
                <w:color w:val="000000"/>
                <w:szCs w:val="20"/>
              </w:rPr>
            </w:pPr>
            <w:r w:rsidRPr="00416070">
              <w:rPr>
                <w:rFonts w:cs="Tahoma"/>
                <w:color w:val="000000"/>
                <w:szCs w:val="20"/>
              </w:rPr>
              <w:t>1 System Center 2012 Client Management Suite (ML de Cliente) por Usuário</w:t>
            </w:r>
          </w:p>
        </w:tc>
      </w:tr>
      <w:tr w:rsidR="00FF4CAB" w:rsidRPr="002B5F9E" w:rsidTr="00F73784">
        <w:tc>
          <w:tcPr>
            <w:tcW w:w="4180" w:type="dxa"/>
            <w:shd w:val="clear" w:color="auto" w:fill="FFFFFF"/>
          </w:tcPr>
          <w:p w:rsidR="00FF4CAB" w:rsidRPr="00416070" w:rsidRDefault="00FF4CAB" w:rsidP="00FF4CAB">
            <w:pPr>
              <w:rPr>
                <w:rFonts w:cs="Tahoma"/>
                <w:color w:val="000000"/>
                <w:szCs w:val="20"/>
              </w:rPr>
            </w:pPr>
            <w:r w:rsidRPr="00416070">
              <w:rPr>
                <w:rFonts w:cs="Tahoma"/>
                <w:color w:val="000000"/>
                <w:szCs w:val="20"/>
              </w:rPr>
              <w:t>System Center Server Management Suite Enterprise</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2 Licenças de Gerenciamento do System Center 2012 Standard Server (MLs de Servidor)</w:t>
            </w:r>
          </w:p>
        </w:tc>
      </w:tr>
      <w:tr w:rsidR="00FF4CAB" w:rsidRPr="002B5F9E" w:rsidTr="00F73784">
        <w:tc>
          <w:tcPr>
            <w:tcW w:w="4180" w:type="dxa"/>
            <w:shd w:val="clear" w:color="auto" w:fill="FFFFFF"/>
          </w:tcPr>
          <w:p w:rsidR="00FF4CAB" w:rsidRPr="00416070" w:rsidRDefault="00FF4CAB" w:rsidP="00FF4CAB">
            <w:pPr>
              <w:rPr>
                <w:rFonts w:cs="Tahoma"/>
                <w:color w:val="000000"/>
                <w:szCs w:val="20"/>
              </w:rPr>
            </w:pPr>
            <w:r w:rsidRPr="00416070">
              <w:rPr>
                <w:rFonts w:cs="Tahoma"/>
                <w:color w:val="000000"/>
                <w:szCs w:val="20"/>
              </w:rPr>
              <w:t>System Center Server Management Suite Datacenter</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Datacenter Server (ML de Servidor) para cada 2 licenças qualificadas do System Center Server Management Suite Datacenter</w:t>
            </w:r>
          </w:p>
        </w:tc>
      </w:tr>
      <w:tr w:rsidR="00FF4CAB" w:rsidRPr="002B5F9E" w:rsidTr="00F73784">
        <w:tc>
          <w:tcPr>
            <w:tcW w:w="4180" w:type="dxa"/>
            <w:shd w:val="clear" w:color="auto" w:fill="FFFFFF"/>
          </w:tcPr>
          <w:p w:rsidR="00FF4CAB" w:rsidRPr="00416070" w:rsidRDefault="00FF4CAB" w:rsidP="00FF4CAB">
            <w:pPr>
              <w:rPr>
                <w:rFonts w:cs="Tahoma"/>
                <w:color w:val="000000"/>
                <w:szCs w:val="20"/>
              </w:rPr>
            </w:pPr>
            <w:r w:rsidRPr="00416070">
              <w:rPr>
                <w:rFonts w:cs="Tahoma"/>
                <w:color w:val="000000"/>
                <w:szCs w:val="20"/>
              </w:rPr>
              <w:t>System Center Service Manager 2010</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System Center Service Manager 2010 com Tecnologia SQL Server 2008</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 xml:space="preserve">Licença de Gerenciamento de Cliente </w:t>
            </w:r>
            <w:r w:rsidR="003B577A" w:rsidRPr="008D38F6">
              <w:rPr>
                <w:rFonts w:cs="Tahoma"/>
                <w:color w:val="000000"/>
                <w:szCs w:val="20"/>
                <w:lang w:val="pt-BR"/>
              </w:rPr>
              <w:br/>
            </w:r>
            <w:r w:rsidRPr="008D38F6">
              <w:rPr>
                <w:rFonts w:cs="Tahoma"/>
                <w:color w:val="000000"/>
                <w:szCs w:val="20"/>
                <w:lang w:val="pt-BR"/>
              </w:rPr>
              <w:t>(ML de Cliente) do System Center Service Manager 2010 por OSE</w:t>
            </w:r>
          </w:p>
        </w:tc>
        <w:tc>
          <w:tcPr>
            <w:tcW w:w="4140" w:type="dxa"/>
            <w:shd w:val="clear" w:color="auto" w:fill="FFFFFF"/>
          </w:tcPr>
          <w:p w:rsidR="00FF4CAB" w:rsidRPr="008D38F6" w:rsidRDefault="00FF4CAB" w:rsidP="00FF4CAB">
            <w:pPr>
              <w:rPr>
                <w:rFonts w:cs="Tahoma"/>
                <w:color w:val="000000"/>
                <w:szCs w:val="20"/>
                <w:lang w:val="fr-FR"/>
              </w:rPr>
            </w:pPr>
            <w:r w:rsidRPr="008D38F6">
              <w:rPr>
                <w:rFonts w:cs="Tahoma"/>
                <w:color w:val="000000"/>
                <w:szCs w:val="20"/>
                <w:lang w:val="fr-FR"/>
              </w:rPr>
              <w:t>1 System Center 2012 Client Management Suite (ML de Cliente) por OSE</w:t>
            </w:r>
          </w:p>
        </w:tc>
      </w:tr>
      <w:tr w:rsidR="00FF4CAB" w:rsidRPr="00416070"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 xml:space="preserve">Licença de Gerenciamento de Cliente </w:t>
            </w:r>
            <w:r w:rsidR="003B577A" w:rsidRPr="008D38F6">
              <w:rPr>
                <w:rFonts w:cs="Tahoma"/>
                <w:color w:val="000000"/>
                <w:szCs w:val="20"/>
                <w:lang w:val="pt-BR"/>
              </w:rPr>
              <w:br/>
            </w:r>
            <w:r w:rsidRPr="008D38F6">
              <w:rPr>
                <w:rFonts w:cs="Tahoma"/>
                <w:color w:val="000000"/>
                <w:szCs w:val="20"/>
                <w:lang w:val="pt-BR"/>
              </w:rPr>
              <w:t>(ML de Cliente) do System Center Service Manager 2010 por Usuário</w:t>
            </w:r>
          </w:p>
        </w:tc>
        <w:tc>
          <w:tcPr>
            <w:tcW w:w="4140" w:type="dxa"/>
            <w:shd w:val="clear" w:color="auto" w:fill="FFFFFF"/>
          </w:tcPr>
          <w:p w:rsidR="00FF4CAB" w:rsidRPr="00416070" w:rsidRDefault="00FF4CAB" w:rsidP="00FF4CAB">
            <w:pPr>
              <w:rPr>
                <w:rFonts w:cs="Tahoma"/>
                <w:color w:val="000000"/>
                <w:szCs w:val="20"/>
              </w:rPr>
            </w:pPr>
            <w:r w:rsidRPr="00416070">
              <w:rPr>
                <w:rFonts w:cs="Tahoma"/>
                <w:color w:val="000000"/>
                <w:szCs w:val="20"/>
              </w:rPr>
              <w:t>1 System Center 2012 Client Management Suite (ML de Cliente) por Usuário</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 xml:space="preserve">Licença de Gerenciamento de Servidor do System Center Service Manager 2010 (ML do Servidor) </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Standard Server (ML de Servidor)</w:t>
            </w:r>
          </w:p>
        </w:tc>
      </w:tr>
      <w:tr w:rsidR="00FF4CAB" w:rsidRPr="002B5F9E" w:rsidTr="00F73784">
        <w:tc>
          <w:tcPr>
            <w:tcW w:w="4180" w:type="dxa"/>
            <w:shd w:val="clear" w:color="auto" w:fill="FFFFFF"/>
          </w:tcPr>
          <w:p w:rsidR="00FF4CAB" w:rsidRPr="008D38F6" w:rsidRDefault="00FF4CAB" w:rsidP="003B577A">
            <w:pPr>
              <w:rPr>
                <w:rFonts w:cs="Tahoma"/>
                <w:color w:val="000000"/>
                <w:szCs w:val="20"/>
                <w:lang w:val="pt-BR"/>
              </w:rPr>
            </w:pPr>
            <w:r w:rsidRPr="008D38F6">
              <w:rPr>
                <w:rFonts w:cs="Tahoma"/>
                <w:color w:val="000000"/>
                <w:szCs w:val="20"/>
                <w:lang w:val="pt-BR"/>
              </w:rPr>
              <w:t>Licença de Gerenciamento de Cliente do System</w:t>
            </w:r>
            <w:r w:rsidR="003B577A" w:rsidRPr="008D38F6">
              <w:rPr>
                <w:rFonts w:cs="Tahoma"/>
                <w:color w:val="000000"/>
                <w:szCs w:val="20"/>
                <w:lang w:val="pt-BR"/>
              </w:rPr>
              <w:t> </w:t>
            </w:r>
            <w:r w:rsidRPr="008D38F6">
              <w:rPr>
                <w:rFonts w:cs="Tahoma"/>
                <w:color w:val="000000"/>
                <w:szCs w:val="20"/>
                <w:lang w:val="pt-BR"/>
              </w:rPr>
              <w:t>Center Virtual Machine Manager 2008 R2 por OSE</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 xml:space="preserve">1 Licença de Gerenciamento de Cliente do System Center Configuration Manager </w:t>
            </w:r>
            <w:r w:rsidR="003B577A" w:rsidRPr="008D38F6">
              <w:rPr>
                <w:rFonts w:cs="Tahoma"/>
                <w:color w:val="000000"/>
                <w:szCs w:val="20"/>
                <w:lang w:val="pt-BR"/>
              </w:rPr>
              <w:br/>
            </w:r>
            <w:r w:rsidRPr="008D38F6">
              <w:rPr>
                <w:rFonts w:cs="Tahoma"/>
                <w:color w:val="000000"/>
                <w:szCs w:val="20"/>
                <w:lang w:val="pt-BR"/>
              </w:rPr>
              <w:t>(ML do Cliente) por OSE</w:t>
            </w:r>
          </w:p>
        </w:tc>
      </w:tr>
      <w:tr w:rsidR="00FF4CAB" w:rsidRPr="002B5F9E" w:rsidTr="00F73784">
        <w:tc>
          <w:tcPr>
            <w:tcW w:w="418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Licença de Gerenciamento de Cliente do System Center Virtual Machine Manager 2008 R2 por Usuário</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 xml:space="preserve">1 Licença de Gerenciamento de Cliente do System Center Configuration Manager </w:t>
            </w:r>
            <w:r w:rsidR="003B577A" w:rsidRPr="008D38F6">
              <w:rPr>
                <w:rFonts w:cs="Tahoma"/>
                <w:color w:val="000000"/>
                <w:szCs w:val="20"/>
                <w:lang w:val="pt-BR"/>
              </w:rPr>
              <w:br/>
            </w:r>
            <w:r w:rsidRPr="008D38F6">
              <w:rPr>
                <w:rFonts w:cs="Tahoma"/>
                <w:color w:val="000000"/>
                <w:szCs w:val="20"/>
                <w:lang w:val="pt-BR"/>
              </w:rPr>
              <w:t>(ML de Cliente) por Usuário</w:t>
            </w:r>
          </w:p>
        </w:tc>
      </w:tr>
      <w:tr w:rsidR="00FF4CAB" w:rsidRPr="002B5F9E" w:rsidTr="00F73784">
        <w:tc>
          <w:tcPr>
            <w:tcW w:w="4180" w:type="dxa"/>
            <w:shd w:val="clear" w:color="auto" w:fill="FFFFFF"/>
          </w:tcPr>
          <w:p w:rsidR="00FF4CAB" w:rsidRPr="008D38F6" w:rsidRDefault="00FF4CAB" w:rsidP="003B577A">
            <w:pPr>
              <w:rPr>
                <w:rFonts w:cs="Tahoma"/>
                <w:color w:val="000000"/>
                <w:szCs w:val="20"/>
                <w:lang w:val="pt-BR"/>
              </w:rPr>
            </w:pPr>
            <w:r w:rsidRPr="008D38F6">
              <w:rPr>
                <w:rFonts w:cs="Tahoma"/>
                <w:color w:val="000000"/>
                <w:szCs w:val="20"/>
                <w:lang w:val="pt-BR"/>
              </w:rPr>
              <w:t>Licença de Gerenciamento de Servidor Enterprise</w:t>
            </w:r>
            <w:r w:rsidR="003B577A" w:rsidRPr="008D38F6">
              <w:rPr>
                <w:rFonts w:cs="Tahoma"/>
                <w:color w:val="000000"/>
                <w:szCs w:val="20"/>
                <w:lang w:val="pt-BR"/>
              </w:rPr>
              <w:t> </w:t>
            </w:r>
            <w:r w:rsidRPr="008D38F6">
              <w:rPr>
                <w:rFonts w:cs="Tahoma"/>
                <w:color w:val="000000"/>
                <w:szCs w:val="20"/>
                <w:lang w:val="pt-BR"/>
              </w:rPr>
              <w:t>do System Center Virtual Machine Manager 2008 R2</w:t>
            </w:r>
          </w:p>
        </w:tc>
        <w:tc>
          <w:tcPr>
            <w:tcW w:w="4140" w:type="dxa"/>
            <w:shd w:val="clear" w:color="auto" w:fill="FFFFFF"/>
          </w:tcPr>
          <w:p w:rsidR="00FF4CAB" w:rsidRPr="008D38F6" w:rsidRDefault="00FF4CAB" w:rsidP="00FF4CAB">
            <w:pPr>
              <w:rPr>
                <w:rFonts w:cs="Tahoma"/>
                <w:color w:val="000000"/>
                <w:szCs w:val="20"/>
                <w:lang w:val="pt-BR"/>
              </w:rPr>
            </w:pPr>
            <w:r w:rsidRPr="008D38F6">
              <w:rPr>
                <w:rFonts w:cs="Tahoma"/>
                <w:color w:val="000000"/>
                <w:szCs w:val="20"/>
                <w:lang w:val="pt-BR"/>
              </w:rPr>
              <w:t>1 Licença de Gerenciamento do System Center 2012 Datacenter Server (ML de Servidor)</w:t>
            </w:r>
          </w:p>
        </w:tc>
      </w:tr>
    </w:tbl>
    <w:p w:rsidR="00FF4CAB" w:rsidRPr="008D38F6" w:rsidRDefault="00FF4CAB" w:rsidP="00376D4B">
      <w:pPr>
        <w:ind w:left="720"/>
        <w:rPr>
          <w:rFonts w:cs="Tahoma"/>
          <w:sz w:val="16"/>
          <w:szCs w:val="16"/>
          <w:lang w:val="pt-BR"/>
        </w:rPr>
      </w:pPr>
      <w:r w:rsidRPr="008D38F6">
        <w:rPr>
          <w:rFonts w:cs="Tahoma"/>
          <w:i/>
          <w:color w:val="000000"/>
          <w:sz w:val="16"/>
          <w:szCs w:val="16"/>
          <w:vertAlign w:val="superscript"/>
          <w:lang w:val="pt-BR"/>
        </w:rPr>
        <w:t>*</w:t>
      </w:r>
      <w:r w:rsidRPr="008D38F6">
        <w:rPr>
          <w:rFonts w:cs="Tahoma"/>
          <w:i/>
          <w:sz w:val="16"/>
          <w:szCs w:val="16"/>
          <w:lang w:val="pt-BR"/>
        </w:rPr>
        <w:t xml:space="preserve"> </w:t>
      </w:r>
      <w:r w:rsidRPr="008D38F6">
        <w:rPr>
          <w:rFonts w:cs="Tahoma"/>
          <w:i/>
          <w:color w:val="000000"/>
          <w:sz w:val="16"/>
          <w:szCs w:val="16"/>
          <w:lang w:val="pt-BR"/>
        </w:rPr>
        <w:t>As MLs de Cliente Somente para Aluno estão disponíveis a PCs de propriedade de um aluno ou de uma instituição licenciados dedicados a um aluno individual somente e não se destinam ao uso em laboratórios ou salas de aula</w:t>
      </w:r>
    </w:p>
    <w:p w:rsidR="00FF4CAB" w:rsidRPr="008D38F6" w:rsidRDefault="00FF4CAB" w:rsidP="00376D4B">
      <w:pPr>
        <w:ind w:left="720"/>
        <w:rPr>
          <w:szCs w:val="18"/>
          <w:lang w:val="pt-BR"/>
        </w:rPr>
      </w:pPr>
    </w:p>
    <w:p w:rsidR="00FF4CAB" w:rsidRPr="008D38F6" w:rsidRDefault="00FF4CAB" w:rsidP="00376D4B">
      <w:pPr>
        <w:ind w:left="720"/>
        <w:rPr>
          <w:szCs w:val="18"/>
          <w:lang w:val="pt-BR"/>
        </w:rPr>
      </w:pPr>
      <w:r w:rsidRPr="008D38F6">
        <w:rPr>
          <w:rFonts w:cs="Tahoma"/>
          <w:color w:val="000000"/>
          <w:szCs w:val="18"/>
          <w:lang w:val="pt-BR"/>
        </w:rPr>
        <w:t>Todas as licenças concedidas sob esta oferta incluirão cobertura do Software Assurance. Essa cobertura se</w:t>
      </w:r>
      <w:r w:rsidR="003B577A" w:rsidRPr="008D38F6">
        <w:rPr>
          <w:rFonts w:cs="Tahoma"/>
          <w:color w:val="000000"/>
          <w:szCs w:val="18"/>
          <w:lang w:val="pt-BR"/>
        </w:rPr>
        <w:t> </w:t>
      </w:r>
      <w:r w:rsidRPr="008D38F6">
        <w:rPr>
          <w:rFonts w:cs="Tahoma"/>
          <w:color w:val="000000"/>
          <w:szCs w:val="18"/>
          <w:lang w:val="pt-BR"/>
        </w:rPr>
        <w:t>encerrará no término da cobertura de qualificação de Software Assurance correspondente. Ao término dessa cobertura, os clientes poderão renovar o Software Assuranc</w:t>
      </w:r>
      <w:r w:rsidR="00A76730" w:rsidRPr="008D38F6">
        <w:rPr>
          <w:rFonts w:cs="Tahoma"/>
          <w:color w:val="000000"/>
          <w:szCs w:val="18"/>
          <w:lang w:val="pt-BR"/>
        </w:rPr>
        <w:t>e sobre as licenças outorgadas.</w:t>
      </w:r>
    </w:p>
    <w:p w:rsidR="00FF4CAB" w:rsidRPr="008D38F6" w:rsidRDefault="00FF4CAB" w:rsidP="00376D4B">
      <w:pPr>
        <w:ind w:left="720"/>
        <w:rPr>
          <w:szCs w:val="18"/>
          <w:lang w:val="pt-BR"/>
        </w:rPr>
      </w:pPr>
    </w:p>
    <w:p w:rsidR="00FF4CAB" w:rsidRPr="008D38F6" w:rsidRDefault="00FF4CAB" w:rsidP="00A76730">
      <w:pPr>
        <w:ind w:left="720"/>
        <w:rPr>
          <w:szCs w:val="18"/>
          <w:lang w:val="pt-BR"/>
        </w:rPr>
      </w:pPr>
      <w:r w:rsidRPr="008D38F6">
        <w:rPr>
          <w:rFonts w:cs="Tahoma"/>
          <w:color w:val="000000"/>
          <w:szCs w:val="18"/>
          <w:lang w:val="pt-BR"/>
        </w:rPr>
        <w:t>O uso do software por um cliente sob esta oferta está sujeito aos termos e condições de seu contrato de</w:t>
      </w:r>
      <w:r w:rsidR="00A76730" w:rsidRPr="008D38F6">
        <w:rPr>
          <w:rFonts w:cs="Tahoma"/>
          <w:color w:val="000000"/>
          <w:szCs w:val="18"/>
          <w:lang w:val="pt-BR"/>
        </w:rPr>
        <w:t> </w:t>
      </w:r>
      <w:r w:rsidRPr="008D38F6">
        <w:rPr>
          <w:rFonts w:cs="Tahoma"/>
          <w:color w:val="000000"/>
          <w:szCs w:val="18"/>
          <w:lang w:val="pt-BR"/>
        </w:rPr>
        <w:t>licença e aos direitos de uso de produto relacionados ao software. O direito de usar o software expira</w:t>
      </w:r>
      <w:r w:rsidR="00A76730" w:rsidRPr="008D38F6">
        <w:rPr>
          <w:rFonts w:cs="Tahoma"/>
          <w:color w:val="000000"/>
          <w:szCs w:val="18"/>
          <w:lang w:val="pt-BR"/>
        </w:rPr>
        <w:t> </w:t>
      </w:r>
      <w:r w:rsidRPr="008D38F6">
        <w:rPr>
          <w:rFonts w:cs="Tahoma"/>
          <w:color w:val="000000"/>
          <w:szCs w:val="18"/>
          <w:lang w:val="pt-BR"/>
        </w:rPr>
        <w:t>quando o direito de usar o software sob a licença qualificada expirar. A evidência de suas licenças qualificadas e esta Nota do Produto evidenciarão o direito do cliente de usar o System Center 2012 sob os termos desta oferta. O cliente não terá mais o direito de usar o software sob licenças qualificadas atribuídas ao servidor mediante sua atualização para o System Center 2012. Os clientes não poderão transferir as licenças concedidas sob esta oferta separadamente das licenças qualificadas correspondentes.</w:t>
      </w:r>
    </w:p>
    <w:p w:rsidR="00FF4CAB" w:rsidRPr="008D38F6" w:rsidRDefault="00FF4CAB" w:rsidP="00376D4B">
      <w:pPr>
        <w:ind w:left="720"/>
        <w:rPr>
          <w:szCs w:val="18"/>
          <w:lang w:val="pt-BR"/>
        </w:rPr>
      </w:pPr>
    </w:p>
    <w:p w:rsidR="00924690" w:rsidRPr="008D38F6" w:rsidRDefault="00924690" w:rsidP="00924690">
      <w:pPr>
        <w:spacing w:after="60"/>
        <w:ind w:left="720"/>
        <w:rPr>
          <w:szCs w:val="18"/>
          <w:lang w:val="pt-BR"/>
        </w:rPr>
      </w:pPr>
      <w:r w:rsidRPr="008D38F6">
        <w:rPr>
          <w:rFonts w:eastAsia="Calibri" w:cs="Tahoma"/>
          <w:b/>
          <w:color w:val="000000"/>
          <w:szCs w:val="18"/>
          <w:lang w:val="pt-BR"/>
        </w:rPr>
        <w:t>Para Clientes Enterprise</w:t>
      </w:r>
    </w:p>
    <w:p w:rsidR="00A3706D" w:rsidRPr="008D38F6" w:rsidRDefault="00A3706D" w:rsidP="00A76730">
      <w:pPr>
        <w:ind w:left="720"/>
        <w:rPr>
          <w:szCs w:val="18"/>
          <w:lang w:val="pt-BR"/>
        </w:rPr>
      </w:pPr>
      <w:r w:rsidRPr="008D38F6">
        <w:rPr>
          <w:rFonts w:eastAsia="Calibri" w:cs="Tahoma"/>
          <w:color w:val="000000"/>
          <w:szCs w:val="18"/>
          <w:lang w:val="pt-BR"/>
        </w:rPr>
        <w:t>As licenças</w:t>
      </w:r>
      <w:r w:rsidRPr="008D38F6">
        <w:rPr>
          <w:rFonts w:eastAsia="Calibri" w:cs="Tahoma"/>
          <w:b/>
          <w:bCs/>
          <w:color w:val="000000"/>
          <w:szCs w:val="18"/>
          <w:vertAlign w:val="superscript"/>
          <w:lang w:val="pt-BR"/>
        </w:rPr>
        <w:t xml:space="preserve">* </w:t>
      </w:r>
      <w:r w:rsidRPr="008D38F6">
        <w:rPr>
          <w:rFonts w:eastAsia="Calibri" w:cs="Tahoma"/>
          <w:color w:val="000000"/>
          <w:szCs w:val="18"/>
          <w:lang w:val="pt-BR"/>
        </w:rPr>
        <w:t>adquiridas em ou antes do primeiro aniversário de uma data de início de vigência do registro do</w:t>
      </w:r>
      <w:r w:rsidR="003B577A" w:rsidRPr="008D38F6">
        <w:rPr>
          <w:rFonts w:eastAsia="Calibri" w:cs="Tahoma"/>
          <w:color w:val="000000"/>
          <w:szCs w:val="18"/>
          <w:lang w:val="pt-BR"/>
        </w:rPr>
        <w:t> </w:t>
      </w:r>
      <w:r w:rsidRPr="008D38F6">
        <w:rPr>
          <w:rFonts w:eastAsia="Calibri" w:cs="Tahoma"/>
          <w:color w:val="000000"/>
          <w:szCs w:val="18"/>
          <w:lang w:val="pt-BR"/>
        </w:rPr>
        <w:t>cliente depois de 17 de janeiro de 2012 como parta qualificação de um processo anual de adequação (“true-up”) de um cliente para a outorga de licença descrita acima.</w:t>
      </w:r>
      <w:r w:rsidR="00FB5496" w:rsidRPr="008D38F6">
        <w:rPr>
          <w:rFonts w:eastAsia="Calibri" w:cs="Tahoma"/>
          <w:color w:val="000000"/>
          <w:szCs w:val="18"/>
          <w:lang w:val="pt-BR"/>
        </w:rPr>
        <w:t xml:space="preserve"> </w:t>
      </w:r>
      <w:r w:rsidRPr="008D38F6">
        <w:rPr>
          <w:rFonts w:eastAsia="Calibri" w:cs="Tahoma"/>
          <w:color w:val="000000"/>
          <w:szCs w:val="18"/>
          <w:lang w:val="pt-BR"/>
        </w:rPr>
        <w:t>As Licenças adquiridas após esta data</w:t>
      </w:r>
      <w:r w:rsidR="00A76730" w:rsidRPr="008D38F6">
        <w:rPr>
          <w:rFonts w:eastAsia="Calibri" w:cs="Tahoma"/>
          <w:color w:val="000000"/>
          <w:szCs w:val="18"/>
          <w:lang w:val="pt-BR"/>
        </w:rPr>
        <w:t> </w:t>
      </w:r>
      <w:r w:rsidRPr="008D38F6">
        <w:rPr>
          <w:rFonts w:eastAsia="Calibri" w:cs="Tahoma"/>
          <w:color w:val="000000"/>
          <w:szCs w:val="18"/>
          <w:lang w:val="pt-BR"/>
        </w:rPr>
        <w:t>não estão qualificadas para uma outorga de licenças do Syste</w:t>
      </w:r>
      <w:r w:rsidR="00A76730" w:rsidRPr="008D38F6">
        <w:rPr>
          <w:rFonts w:eastAsia="Calibri" w:cs="Tahoma"/>
          <w:color w:val="000000"/>
          <w:szCs w:val="18"/>
          <w:lang w:val="pt-BR"/>
        </w:rPr>
        <w:t>m Center 2012 para essa oferta.</w:t>
      </w:r>
    </w:p>
    <w:p w:rsidR="00924690" w:rsidRPr="008D38F6" w:rsidRDefault="00924690" w:rsidP="00376D4B">
      <w:pPr>
        <w:ind w:left="720"/>
        <w:rPr>
          <w:szCs w:val="18"/>
          <w:lang w:val="pt-BR"/>
        </w:rPr>
      </w:pPr>
    </w:p>
    <w:p w:rsidR="00A3706D" w:rsidRPr="008D38F6" w:rsidRDefault="00A3706D" w:rsidP="00376D4B">
      <w:pPr>
        <w:ind w:left="720"/>
        <w:rPr>
          <w:szCs w:val="18"/>
          <w:lang w:val="pt-BR"/>
        </w:rPr>
      </w:pPr>
      <w:r w:rsidRPr="008D38F6">
        <w:rPr>
          <w:rFonts w:eastAsia="Calibri" w:cs="Tahoma"/>
          <w:b/>
          <w:bCs/>
          <w:color w:val="000000"/>
          <w:szCs w:val="18"/>
          <w:vertAlign w:val="superscript"/>
          <w:lang w:val="pt-BR"/>
        </w:rPr>
        <w:t>*</w:t>
      </w:r>
      <w:r w:rsidRPr="008D38F6">
        <w:rPr>
          <w:rFonts w:eastAsia="Calibri" w:cs="Tahoma"/>
          <w:color w:val="000000"/>
          <w:szCs w:val="18"/>
          <w:lang w:val="pt-BR"/>
        </w:rPr>
        <w:t>Para o System Center Server Management Suite Enterprise, System Center Server Management Suite Datacenter, System Center Client Management Suite e System Center Configuration Manager Client Management License, todas as licenças compradas até o final da qualificação do contrato para concessão.</w:t>
      </w:r>
    </w:p>
    <w:p w:rsidR="003B577A" w:rsidRPr="008D38F6" w:rsidRDefault="003B577A" w:rsidP="00924690">
      <w:pPr>
        <w:spacing w:after="60"/>
        <w:ind w:left="720"/>
        <w:rPr>
          <w:rFonts w:eastAsia="Calibri" w:cs="Tahoma"/>
          <w:bCs/>
          <w:color w:val="000000"/>
          <w:szCs w:val="18"/>
          <w:lang w:val="pt-BR"/>
        </w:rPr>
      </w:pPr>
    </w:p>
    <w:p w:rsidR="00924690" w:rsidRPr="00A76730" w:rsidRDefault="00FF4CAB" w:rsidP="00924690">
      <w:pPr>
        <w:spacing w:after="60"/>
        <w:ind w:left="720"/>
        <w:rPr>
          <w:szCs w:val="18"/>
        </w:rPr>
      </w:pPr>
      <w:r w:rsidRPr="00A76730">
        <w:rPr>
          <w:rFonts w:eastAsia="Calibri" w:cs="Tahoma"/>
          <w:b/>
          <w:color w:val="000000"/>
          <w:szCs w:val="18"/>
        </w:rPr>
        <w:t>Para Enterprise Subscription, Campus e School (incluindo Enrollment for Education Solutions) e</w:t>
      </w:r>
      <w:r w:rsidR="003B577A" w:rsidRPr="00A76730">
        <w:rPr>
          <w:rFonts w:eastAsia="Calibri" w:cs="Tahoma"/>
          <w:b/>
          <w:color w:val="000000"/>
          <w:szCs w:val="18"/>
        </w:rPr>
        <w:t> </w:t>
      </w:r>
      <w:r w:rsidRPr="00A76730">
        <w:rPr>
          <w:rFonts w:eastAsia="Calibri" w:cs="Tahoma"/>
          <w:b/>
          <w:color w:val="000000"/>
          <w:szCs w:val="18"/>
        </w:rPr>
        <w:t>Clientes Open Value Subscription</w:t>
      </w:r>
    </w:p>
    <w:p w:rsidR="00FF4CAB" w:rsidRPr="008D38F6" w:rsidRDefault="00FF4CAB" w:rsidP="00376D4B">
      <w:pPr>
        <w:ind w:left="720"/>
        <w:rPr>
          <w:szCs w:val="18"/>
          <w:lang w:val="pt-BR"/>
        </w:rPr>
      </w:pPr>
      <w:r w:rsidRPr="008D38F6">
        <w:rPr>
          <w:rFonts w:cs="Tahoma"/>
          <w:bCs/>
          <w:color w:val="000000"/>
          <w:szCs w:val="18"/>
          <w:lang w:val="pt-BR"/>
        </w:rPr>
        <w:t>As Licenças são concedidas sob os mesmos termos, mas não em uma base temporária no final do registro Enterprise Subscription, Campus e School ou contrato Open Value Subscription ou ainda o termo Enrollment for Education Solutions, contanto que o cliente mantenha uma cobertura contínua da assinatura.</w:t>
      </w:r>
      <w:r w:rsidR="00FB5496" w:rsidRPr="008D38F6">
        <w:rPr>
          <w:rFonts w:cs="Tahoma"/>
          <w:bCs/>
          <w:color w:val="000000"/>
          <w:szCs w:val="18"/>
          <w:lang w:val="pt-BR"/>
        </w:rPr>
        <w:t xml:space="preserve"> </w:t>
      </w:r>
      <w:r w:rsidRPr="008D38F6">
        <w:rPr>
          <w:rFonts w:cs="Tahoma"/>
          <w:bCs/>
          <w:color w:val="000000"/>
          <w:szCs w:val="18"/>
          <w:lang w:val="pt-BR"/>
        </w:rPr>
        <w:t>Os clientes que optam por licenças de compra possuem duas opções.</w:t>
      </w:r>
    </w:p>
    <w:p w:rsidR="00FF4CAB" w:rsidRPr="008D38F6" w:rsidRDefault="00FF4CAB" w:rsidP="00376D4B">
      <w:pPr>
        <w:ind w:left="720"/>
        <w:rPr>
          <w:szCs w:val="18"/>
          <w:lang w:val="pt-BR"/>
        </w:rPr>
      </w:pPr>
    </w:p>
    <w:p w:rsidR="00FF4CAB" w:rsidRPr="008D38F6" w:rsidRDefault="00FF4CAB" w:rsidP="00376D4B">
      <w:pPr>
        <w:ind w:left="720"/>
        <w:rPr>
          <w:szCs w:val="18"/>
          <w:lang w:val="pt-BR"/>
        </w:rPr>
      </w:pPr>
      <w:r w:rsidRPr="008D38F6">
        <w:rPr>
          <w:rFonts w:cs="Tahoma"/>
          <w:bCs/>
          <w:color w:val="000000"/>
          <w:szCs w:val="18"/>
          <w:lang w:val="pt-BR"/>
        </w:rPr>
        <w:t>Opção 1:</w:t>
      </w:r>
      <w:r w:rsidR="00FB5496" w:rsidRPr="008D38F6">
        <w:rPr>
          <w:rFonts w:cs="Tahoma"/>
          <w:bCs/>
          <w:color w:val="000000"/>
          <w:szCs w:val="18"/>
          <w:lang w:val="pt-BR"/>
        </w:rPr>
        <w:t xml:space="preserve"> </w:t>
      </w:r>
      <w:r w:rsidRPr="008D38F6">
        <w:rPr>
          <w:rFonts w:cs="Tahoma"/>
          <w:bCs/>
          <w:color w:val="000000"/>
          <w:szCs w:val="18"/>
          <w:lang w:val="pt-BR"/>
        </w:rPr>
        <w:t>adquirir licenças para produtos do System Center correspondendo às licenças qualificadas do</w:t>
      </w:r>
      <w:r w:rsidR="003B577A" w:rsidRPr="008D38F6">
        <w:rPr>
          <w:rFonts w:cs="Tahoma"/>
          <w:bCs/>
          <w:color w:val="000000"/>
          <w:szCs w:val="18"/>
          <w:lang w:val="pt-BR"/>
        </w:rPr>
        <w:t> </w:t>
      </w:r>
      <w:r w:rsidRPr="008D38F6">
        <w:rPr>
          <w:rFonts w:cs="Tahoma"/>
          <w:bCs/>
          <w:color w:val="000000"/>
          <w:szCs w:val="18"/>
          <w:lang w:val="pt-BR"/>
        </w:rPr>
        <w:t>cliente.</w:t>
      </w:r>
      <w:r w:rsidR="00FB5496" w:rsidRPr="008D38F6">
        <w:rPr>
          <w:rFonts w:cs="Tahoma"/>
          <w:bCs/>
          <w:color w:val="000000"/>
          <w:szCs w:val="18"/>
          <w:lang w:val="pt-BR"/>
        </w:rPr>
        <w:t xml:space="preserve"> </w:t>
      </w:r>
      <w:r w:rsidRPr="008D38F6">
        <w:rPr>
          <w:rFonts w:cs="Tahoma"/>
          <w:bCs/>
          <w:color w:val="000000"/>
          <w:szCs w:val="18"/>
          <w:lang w:val="pt-BR"/>
        </w:rPr>
        <w:t>Nesta opção, o cliente não estará mais qualificado para adicionar o Software Assurance à</w:t>
      </w:r>
      <w:r w:rsidR="003B577A" w:rsidRPr="008D38F6">
        <w:rPr>
          <w:rFonts w:cs="Tahoma"/>
          <w:bCs/>
          <w:color w:val="000000"/>
          <w:szCs w:val="18"/>
          <w:lang w:val="pt-BR"/>
        </w:rPr>
        <w:t> </w:t>
      </w:r>
      <w:r w:rsidRPr="008D38F6">
        <w:rPr>
          <w:rFonts w:cs="Tahoma"/>
          <w:bCs/>
          <w:color w:val="000000"/>
          <w:szCs w:val="18"/>
          <w:lang w:val="pt-BR"/>
        </w:rPr>
        <w:t>licença</w:t>
      </w:r>
      <w:r w:rsidR="003B577A" w:rsidRPr="008D38F6">
        <w:rPr>
          <w:rFonts w:cs="Tahoma"/>
          <w:bCs/>
          <w:color w:val="000000"/>
          <w:szCs w:val="18"/>
          <w:lang w:val="pt-BR"/>
        </w:rPr>
        <w:t> </w:t>
      </w:r>
      <w:r w:rsidRPr="008D38F6">
        <w:rPr>
          <w:rFonts w:cs="Tahoma"/>
          <w:bCs/>
          <w:color w:val="000000"/>
          <w:szCs w:val="18"/>
          <w:lang w:val="pt-BR"/>
        </w:rPr>
        <w:t>ou usar o System Center 2012 ou qualquer versão posterior do software System Center.</w:t>
      </w:r>
    </w:p>
    <w:p w:rsidR="00FF4CAB" w:rsidRPr="008D38F6" w:rsidRDefault="00FF4CAB" w:rsidP="00376D4B">
      <w:pPr>
        <w:ind w:left="720"/>
        <w:rPr>
          <w:szCs w:val="18"/>
          <w:lang w:val="pt-BR"/>
        </w:rPr>
      </w:pPr>
    </w:p>
    <w:p w:rsidR="00FF4CAB" w:rsidRPr="008D38F6" w:rsidRDefault="00FF4CAB" w:rsidP="00376D4B">
      <w:pPr>
        <w:ind w:left="720"/>
        <w:rPr>
          <w:szCs w:val="18"/>
          <w:lang w:val="pt-BR"/>
        </w:rPr>
      </w:pPr>
      <w:r w:rsidRPr="008D38F6">
        <w:rPr>
          <w:rFonts w:cs="Tahoma"/>
          <w:bCs/>
          <w:color w:val="000000"/>
          <w:szCs w:val="18"/>
          <w:lang w:val="pt-BR"/>
        </w:rPr>
        <w:t>Opção 2:</w:t>
      </w:r>
      <w:r w:rsidR="00FB5496" w:rsidRPr="008D38F6">
        <w:rPr>
          <w:rFonts w:cs="Tahoma"/>
          <w:bCs/>
          <w:color w:val="000000"/>
          <w:szCs w:val="18"/>
          <w:lang w:val="pt-BR"/>
        </w:rPr>
        <w:t xml:space="preserve"> </w:t>
      </w:r>
      <w:r w:rsidRPr="008D38F6">
        <w:rPr>
          <w:rFonts w:cs="Tahoma"/>
          <w:bCs/>
          <w:color w:val="000000"/>
          <w:szCs w:val="18"/>
          <w:lang w:val="pt-BR"/>
        </w:rPr>
        <w:t>adquirir licenças do System Center 2012 correspondendo às licenças qualificadas do cliente.</w:t>
      </w:r>
      <w:r w:rsidR="00FB5496" w:rsidRPr="008D38F6">
        <w:rPr>
          <w:rFonts w:cs="Tahoma"/>
          <w:bCs/>
          <w:color w:val="000000"/>
          <w:szCs w:val="18"/>
          <w:lang w:val="pt-BR"/>
        </w:rPr>
        <w:t xml:space="preserve"> </w:t>
      </w:r>
      <w:r w:rsidRPr="008D38F6">
        <w:rPr>
          <w:rFonts w:cs="Tahoma"/>
          <w:bCs/>
          <w:color w:val="000000"/>
          <w:szCs w:val="18"/>
          <w:lang w:val="pt-BR"/>
        </w:rPr>
        <w:t>Nesta</w:t>
      </w:r>
      <w:r w:rsidR="003B577A" w:rsidRPr="008D38F6">
        <w:rPr>
          <w:rFonts w:cs="Tahoma"/>
          <w:bCs/>
          <w:color w:val="000000"/>
          <w:szCs w:val="18"/>
          <w:lang w:val="pt-BR"/>
        </w:rPr>
        <w:t> </w:t>
      </w:r>
      <w:r w:rsidRPr="008D38F6">
        <w:rPr>
          <w:rFonts w:cs="Tahoma"/>
          <w:bCs/>
          <w:color w:val="000000"/>
          <w:szCs w:val="18"/>
          <w:lang w:val="pt-BR"/>
        </w:rPr>
        <w:t>opção, o cliente estará qualificado para adicionar Software Assurance.</w:t>
      </w:r>
    </w:p>
    <w:p w:rsidR="00FF4CAB" w:rsidRPr="008D38F6" w:rsidRDefault="00FF4CAB" w:rsidP="00376D4B">
      <w:pPr>
        <w:ind w:left="720"/>
        <w:rPr>
          <w:szCs w:val="18"/>
          <w:lang w:val="pt-BR"/>
        </w:rPr>
      </w:pPr>
    </w:p>
    <w:p w:rsidR="00924690" w:rsidRPr="008D38F6" w:rsidRDefault="00FF4CAB" w:rsidP="00924690">
      <w:pPr>
        <w:spacing w:after="60"/>
        <w:ind w:left="720"/>
        <w:rPr>
          <w:szCs w:val="18"/>
          <w:lang w:val="pt-BR"/>
        </w:rPr>
      </w:pPr>
      <w:r w:rsidRPr="008D38F6">
        <w:rPr>
          <w:rFonts w:eastAsia="Calibri" w:cs="Tahoma"/>
          <w:b/>
          <w:color w:val="000000"/>
          <w:szCs w:val="18"/>
          <w:lang w:val="pt-BR"/>
        </w:rPr>
        <w:t>Outorga de Licença Alternativa Padrão do System Center 2012 para Clientes com Servidores com Mais de Dois Processadores</w:t>
      </w:r>
    </w:p>
    <w:p w:rsidR="00FF4CAB" w:rsidRPr="008D38F6" w:rsidRDefault="00FF4CAB" w:rsidP="00A76730">
      <w:pPr>
        <w:ind w:left="720"/>
        <w:rPr>
          <w:lang w:val="pt-BR"/>
        </w:rPr>
      </w:pPr>
      <w:r w:rsidRPr="008D38F6">
        <w:rPr>
          <w:rFonts w:cs="Tahoma"/>
          <w:szCs w:val="18"/>
          <w:lang w:val="pt-BR"/>
        </w:rPr>
        <w:t>Cada ML de Servidor do System Center 2012 Standard abrange até dois processadores em um servidor físico.</w:t>
      </w:r>
      <w:r w:rsidR="00FB5496" w:rsidRPr="008D38F6">
        <w:rPr>
          <w:rFonts w:cs="Tahoma"/>
          <w:szCs w:val="18"/>
          <w:lang w:val="pt-BR"/>
        </w:rPr>
        <w:t xml:space="preserve"> </w:t>
      </w:r>
      <w:r w:rsidRPr="008D38F6">
        <w:rPr>
          <w:rFonts w:cs="Tahoma"/>
          <w:szCs w:val="18"/>
          <w:lang w:val="pt-BR"/>
        </w:rPr>
        <w:t xml:space="preserve">Os clientes com licenças qualificadas atribuídas aos servidores com mais de dois processadores a partir de </w:t>
      </w:r>
      <w:r w:rsidR="00EB0F1B" w:rsidRPr="008D38F6">
        <w:rPr>
          <w:rFonts w:cs="Tahoma"/>
          <w:szCs w:val="18"/>
          <w:lang w:val="pt-BR"/>
        </w:rPr>
        <w:t>1</w:t>
      </w:r>
      <w:r w:rsidR="00EB0F1B" w:rsidRPr="008D38F6">
        <w:rPr>
          <w:rFonts w:cs="Tahoma"/>
          <w:szCs w:val="18"/>
          <w:vertAlign w:val="superscript"/>
          <w:lang w:val="pt-BR"/>
        </w:rPr>
        <w:t>º</w:t>
      </w:r>
      <w:r w:rsidRPr="008D38F6">
        <w:rPr>
          <w:rFonts w:cs="Tahoma"/>
          <w:szCs w:val="18"/>
          <w:lang w:val="pt-BR"/>
        </w:rPr>
        <w:t xml:space="preserve"> de abril de 2012 ou o primeiro aniversário do cliente depois de 17 de janeiro de 2012 poderá optar por uma concessão alternativa de uma série de MLs de Servidor do System Center 2012 Standard igual ao número de processadores físicos do servidor gerenciado dividido por dois.</w:t>
      </w:r>
      <w:r w:rsidR="00FB5496" w:rsidRPr="008D38F6">
        <w:rPr>
          <w:rFonts w:cs="Tahoma"/>
          <w:szCs w:val="18"/>
          <w:lang w:val="pt-BR"/>
        </w:rPr>
        <w:t xml:space="preserve"> </w:t>
      </w:r>
      <w:r w:rsidRPr="008D38F6">
        <w:rPr>
          <w:rFonts w:cs="Tahoma"/>
          <w:szCs w:val="18"/>
          <w:lang w:val="pt-BR"/>
        </w:rPr>
        <w:t>O servidor deverá estar totalmente licenciado para permitir o gerenciamento de ambientes do sistema operacional naquele servidor sob os termos das licenças qualificadas no momento da concessão.</w:t>
      </w:r>
      <w:r w:rsidR="00FB5496" w:rsidRPr="008D38F6">
        <w:rPr>
          <w:rFonts w:cs="Tahoma"/>
          <w:szCs w:val="18"/>
          <w:lang w:val="pt-BR"/>
        </w:rPr>
        <w:t xml:space="preserve"> </w:t>
      </w:r>
      <w:r w:rsidRPr="008D38F6">
        <w:rPr>
          <w:rFonts w:cs="Tahoma"/>
          <w:szCs w:val="18"/>
          <w:lang w:val="pt-BR"/>
        </w:rPr>
        <w:t>Essa concessão alternativa garante que</w:t>
      </w:r>
      <w:r w:rsidR="00A76730" w:rsidRPr="008D38F6">
        <w:rPr>
          <w:rFonts w:cs="Tahoma"/>
          <w:szCs w:val="18"/>
          <w:lang w:val="pt-BR"/>
        </w:rPr>
        <w:t> </w:t>
      </w:r>
      <w:r w:rsidRPr="008D38F6">
        <w:rPr>
          <w:rFonts w:cs="Tahoma"/>
          <w:szCs w:val="18"/>
          <w:lang w:val="pt-BR"/>
        </w:rPr>
        <w:t>os servidores do cliente permaneçam totalmente qualificados por meio da transição. O cliente deverá documentar o número de processadores físicos no servidor gerenciado usando a ferramenta Microsoft MAP ou qualquer software equivalente.</w:t>
      </w:r>
      <w:r w:rsidR="00FB5496" w:rsidRPr="008D38F6">
        <w:rPr>
          <w:rFonts w:cs="Tahoma"/>
          <w:szCs w:val="18"/>
          <w:lang w:val="pt-BR"/>
        </w:rPr>
        <w:t xml:space="preserve"> </w:t>
      </w:r>
      <w:r w:rsidRPr="008D38F6">
        <w:rPr>
          <w:rFonts w:cs="Tahoma"/>
          <w:szCs w:val="18"/>
          <w:lang w:val="pt-BR"/>
        </w:rPr>
        <w:t>Esta documentação junto com a evidência de suas licenças qualificadas e esta Nota do Produto evidenciarão o direito do cliente de usar o System Center 2012 sob os termos desta oferta. O cliente não terá mais o direito de usar o software sob licenças qualificadas atribuídas ao servidor mediante sua atualização para o System Center 2012.</w:t>
      </w:r>
      <w:r w:rsidRPr="008D38F6">
        <w:rPr>
          <w:rFonts w:cs="Tahoma"/>
          <w:color w:val="000000"/>
          <w:lang w:val="pt-BR"/>
        </w:rPr>
        <w:t xml:space="preserve"> Os clientes não poderão transferir as licenças concedidas sob esta oferta separadamente das licenças qualificadas correspondentes.</w:t>
      </w:r>
    </w:p>
    <w:p w:rsidR="00FF4CAB" w:rsidRPr="008D38F6" w:rsidRDefault="00FF4CAB" w:rsidP="00376D4B">
      <w:pPr>
        <w:tabs>
          <w:tab w:val="left" w:pos="2970"/>
        </w:tabs>
        <w:ind w:left="720"/>
        <w:contextualSpacing/>
        <w:rPr>
          <w:sz w:val="15"/>
          <w:szCs w:val="15"/>
          <w:lang w:val="pt-BR"/>
        </w:rPr>
      </w:pPr>
    </w:p>
    <w:p w:rsidR="00924690" w:rsidRPr="008D38F6" w:rsidRDefault="00FF4CAB" w:rsidP="00924690">
      <w:pPr>
        <w:spacing w:after="60"/>
        <w:ind w:left="720"/>
        <w:rPr>
          <w:lang w:val="pt-BR"/>
        </w:rPr>
      </w:pPr>
      <w:r w:rsidRPr="008D38F6">
        <w:rPr>
          <w:rFonts w:eastAsia="Calibri" w:cs="Tahoma"/>
          <w:b/>
          <w:color w:val="000000"/>
          <w:szCs w:val="18"/>
          <w:lang w:val="pt-BR"/>
        </w:rPr>
        <w:t>Outorga de Licença Alternativa do System Center 2012 Datacenter para Clientes com licenças de qualificação para Virtual Machine Manager (ML do Servidor do VMM Enterprise)</w:t>
      </w:r>
    </w:p>
    <w:p w:rsidR="00FF4CAB" w:rsidRPr="008D38F6" w:rsidRDefault="00FF4CAB" w:rsidP="00A76730">
      <w:pPr>
        <w:tabs>
          <w:tab w:val="left" w:pos="2970"/>
        </w:tabs>
        <w:ind w:left="720"/>
        <w:contextualSpacing/>
        <w:rPr>
          <w:lang w:val="pt-BR"/>
        </w:rPr>
      </w:pPr>
      <w:r w:rsidRPr="008D38F6">
        <w:rPr>
          <w:rFonts w:cs="Tahoma"/>
          <w:szCs w:val="18"/>
          <w:lang w:val="pt-BR"/>
        </w:rPr>
        <w:t xml:space="preserve">Os clientes com MLs de qualificação do VMM Enterprise Server atribuídas aos servidores com mais de dois processadores a partir de </w:t>
      </w:r>
      <w:r w:rsidR="00EB0F1B" w:rsidRPr="008D38F6">
        <w:rPr>
          <w:rFonts w:cs="Tahoma"/>
          <w:szCs w:val="18"/>
          <w:lang w:val="pt-BR"/>
        </w:rPr>
        <w:t>1</w:t>
      </w:r>
      <w:r w:rsidR="00EB0F1B" w:rsidRPr="008D38F6">
        <w:rPr>
          <w:rFonts w:cs="Tahoma"/>
          <w:szCs w:val="18"/>
          <w:vertAlign w:val="superscript"/>
          <w:lang w:val="pt-BR"/>
        </w:rPr>
        <w:t>º</w:t>
      </w:r>
      <w:r w:rsidRPr="008D38F6">
        <w:rPr>
          <w:rFonts w:cs="Tahoma"/>
          <w:szCs w:val="18"/>
          <w:lang w:val="pt-BR"/>
        </w:rPr>
        <w:t xml:space="preserve"> de abril de 2012 ou o primeiro aniversário do cliente depois de 17 de janeiro de</w:t>
      </w:r>
      <w:r w:rsidR="00A76730" w:rsidRPr="008D38F6">
        <w:rPr>
          <w:rFonts w:cs="Tahoma"/>
          <w:szCs w:val="18"/>
          <w:lang w:val="pt-BR"/>
        </w:rPr>
        <w:t> </w:t>
      </w:r>
      <w:r w:rsidRPr="008D38F6">
        <w:rPr>
          <w:rFonts w:cs="Tahoma"/>
          <w:szCs w:val="18"/>
          <w:lang w:val="pt-BR"/>
        </w:rPr>
        <w:t>2012 poderá optar por uma concessão alternativa de uma série de MLs de Servidor do System Center 2012 Datacenter igual ao número de processadores físicos do servidor gerenciado dividido por dois.</w:t>
      </w:r>
      <w:r w:rsidR="00FB5496" w:rsidRPr="008D38F6">
        <w:rPr>
          <w:rFonts w:cs="Tahoma"/>
          <w:szCs w:val="18"/>
          <w:lang w:val="pt-BR"/>
        </w:rPr>
        <w:t xml:space="preserve"> </w:t>
      </w:r>
      <w:r w:rsidRPr="008D38F6">
        <w:rPr>
          <w:rFonts w:cs="Tahoma"/>
          <w:szCs w:val="18"/>
          <w:lang w:val="pt-BR"/>
        </w:rPr>
        <w:t>Essa concessão alternativa garante que os servidores do cliente permaneçam totalmente qualificados por meio da transição. O cliente deverá documentar o número de processadores físicos no servidor gerenciado usando a ferramenta Microsoft MAP ou qualquer software equivalente.</w:t>
      </w:r>
      <w:r w:rsidR="00FB5496" w:rsidRPr="008D38F6">
        <w:rPr>
          <w:rFonts w:cs="Tahoma"/>
          <w:szCs w:val="18"/>
          <w:lang w:val="pt-BR"/>
        </w:rPr>
        <w:t xml:space="preserve"> </w:t>
      </w:r>
      <w:r w:rsidRPr="008D38F6">
        <w:rPr>
          <w:rFonts w:cs="Tahoma"/>
          <w:szCs w:val="18"/>
          <w:lang w:val="pt-BR"/>
        </w:rPr>
        <w:t>Esta documentação junto com a evidência de suas licenças qualificadas e esta Nota do Produto evidenciarão o direito do cliente de usar o System Center 2012 sob os termos desta oferta. O cliente não terá mais o direito de usar o software sob licença qualificada atribuídas ao servidor mediante sua atualização para o System Center 2012.</w:t>
      </w:r>
      <w:r w:rsidRPr="008D38F6">
        <w:rPr>
          <w:rFonts w:cs="Tahoma"/>
          <w:color w:val="000000"/>
          <w:szCs w:val="24"/>
          <w:lang w:val="pt-BR"/>
        </w:rPr>
        <w:t xml:space="preserve"> Os clientes não poderão transferir as licenças concedidas sob esta oferta separadamente das licenças qualificadas correspondentes.</w:t>
      </w:r>
    </w:p>
    <w:p w:rsidR="00FF4CAB" w:rsidRPr="008D38F6" w:rsidRDefault="00FF4CAB" w:rsidP="00376D4B">
      <w:pPr>
        <w:ind w:left="720"/>
        <w:rPr>
          <w:sz w:val="14"/>
          <w:szCs w:val="14"/>
          <w:lang w:val="pt-BR"/>
        </w:rPr>
      </w:pPr>
    </w:p>
    <w:p w:rsidR="009B12B7" w:rsidRPr="008D38F6" w:rsidRDefault="00FF4CAB" w:rsidP="00924690">
      <w:pPr>
        <w:spacing w:after="60"/>
        <w:ind w:left="720"/>
        <w:rPr>
          <w:lang w:val="pt-BR"/>
        </w:rPr>
      </w:pPr>
      <w:r w:rsidRPr="008D38F6">
        <w:rPr>
          <w:rFonts w:eastAsia="Calibri" w:cs="Tahoma"/>
          <w:b/>
          <w:color w:val="000000"/>
          <w:szCs w:val="18"/>
          <w:lang w:val="pt-BR"/>
        </w:rPr>
        <w:t xml:space="preserve">Clientes Renovando Software Assurance Antes de </w:t>
      </w:r>
      <w:r w:rsidR="00EB0F1B" w:rsidRPr="008D38F6">
        <w:rPr>
          <w:rFonts w:eastAsia="Calibri" w:cs="Tahoma"/>
          <w:b/>
          <w:color w:val="000000"/>
          <w:szCs w:val="18"/>
          <w:lang w:val="pt-BR"/>
        </w:rPr>
        <w:t>1</w:t>
      </w:r>
      <w:r w:rsidR="00EB0F1B" w:rsidRPr="008D38F6">
        <w:rPr>
          <w:rFonts w:eastAsia="Calibri" w:cs="Tahoma"/>
          <w:b/>
          <w:color w:val="000000"/>
          <w:szCs w:val="18"/>
          <w:vertAlign w:val="superscript"/>
          <w:lang w:val="pt-BR"/>
        </w:rPr>
        <w:t>º</w:t>
      </w:r>
      <w:r w:rsidRPr="008D38F6">
        <w:rPr>
          <w:rFonts w:eastAsia="Calibri" w:cs="Tahoma"/>
          <w:b/>
          <w:color w:val="000000"/>
          <w:szCs w:val="18"/>
          <w:lang w:val="pt-BR"/>
        </w:rPr>
        <w:t xml:space="preserve"> de outubro de 2012</w:t>
      </w:r>
    </w:p>
    <w:p w:rsidR="009B12B7" w:rsidRPr="008D38F6" w:rsidRDefault="00DC4FEC" w:rsidP="00A76730">
      <w:pPr>
        <w:ind w:left="720"/>
        <w:rPr>
          <w:spacing w:val="-2"/>
          <w:lang w:val="pt-BR"/>
        </w:rPr>
      </w:pPr>
      <w:r w:rsidRPr="008D38F6">
        <w:rPr>
          <w:rFonts w:cs="Tahoma"/>
          <w:color w:val="000000"/>
          <w:spacing w:val="-2"/>
          <w:szCs w:val="18"/>
          <w:lang w:val="pt-BR"/>
        </w:rPr>
        <w:t xml:space="preserve">Clientes Academic, Open e Open Value </w:t>
      </w:r>
      <w:r w:rsidRPr="008D38F6">
        <w:rPr>
          <w:rFonts w:cs="Tahoma"/>
          <w:spacing w:val="-2"/>
          <w:szCs w:val="18"/>
          <w:lang w:val="pt-BR"/>
        </w:rPr>
        <w:t xml:space="preserve">que estão renovando o Software Assurance para System Center 2012 antes de </w:t>
      </w:r>
      <w:r w:rsidR="00EB0F1B" w:rsidRPr="008D38F6">
        <w:rPr>
          <w:rFonts w:cs="Tahoma"/>
          <w:spacing w:val="-2"/>
          <w:szCs w:val="18"/>
          <w:lang w:val="pt-BR"/>
        </w:rPr>
        <w:t>1</w:t>
      </w:r>
      <w:r w:rsidR="00EB0F1B" w:rsidRPr="008D38F6">
        <w:rPr>
          <w:rFonts w:cs="Tahoma"/>
          <w:spacing w:val="-2"/>
          <w:szCs w:val="18"/>
          <w:vertAlign w:val="superscript"/>
          <w:lang w:val="pt-BR"/>
        </w:rPr>
        <w:t>º</w:t>
      </w:r>
      <w:r w:rsidRPr="008D38F6">
        <w:rPr>
          <w:rFonts w:cs="Tahoma"/>
          <w:spacing w:val="-2"/>
          <w:szCs w:val="18"/>
          <w:lang w:val="pt-BR"/>
        </w:rPr>
        <w:t xml:space="preserve"> de outubro de 2012 estarão qualificados para renovar a cobertura</w:t>
      </w:r>
      <w:r w:rsidRPr="008D38F6">
        <w:rPr>
          <w:rFonts w:cs="Tahoma"/>
          <w:color w:val="000000"/>
          <w:spacing w:val="-2"/>
          <w:szCs w:val="18"/>
          <w:lang w:val="pt-BR"/>
        </w:rPr>
        <w:t xml:space="preserve"> para as licenças, ficando qualificados para a outorga de licença do System Center 2012 (para cada, uma “licença qualificada”).</w:t>
      </w:r>
      <w:r w:rsidR="00FB5496" w:rsidRPr="008D38F6">
        <w:rPr>
          <w:rFonts w:cs="Tahoma"/>
          <w:color w:val="000000"/>
          <w:spacing w:val="-2"/>
          <w:szCs w:val="18"/>
          <w:lang w:val="pt-BR"/>
        </w:rPr>
        <w:t xml:space="preserve"> </w:t>
      </w:r>
      <w:r w:rsidRPr="008D38F6">
        <w:rPr>
          <w:rFonts w:cs="Tahoma"/>
          <w:color w:val="000000"/>
          <w:spacing w:val="-2"/>
          <w:szCs w:val="18"/>
          <w:lang w:val="pt-BR"/>
        </w:rPr>
        <w:t>Renovando a cobertura para uma licença qualificada, um cliente será considerado como tendo a cobertura renovada para as licenças correspondentes do System Center 2012 fornecidas por esta concessão.</w:t>
      </w:r>
      <w:r w:rsidR="00FB5496" w:rsidRPr="008D38F6">
        <w:rPr>
          <w:rFonts w:cs="Tahoma"/>
          <w:color w:val="000000"/>
          <w:spacing w:val="-2"/>
          <w:szCs w:val="18"/>
          <w:lang w:val="pt-BR"/>
        </w:rPr>
        <w:t xml:space="preserve"> </w:t>
      </w:r>
      <w:r w:rsidRPr="008D38F6">
        <w:rPr>
          <w:rFonts w:cs="Tahoma"/>
          <w:color w:val="000000"/>
          <w:spacing w:val="-2"/>
          <w:szCs w:val="18"/>
          <w:lang w:val="pt-BR"/>
        </w:rPr>
        <w:t>Da mesma forma, o cliente estará qualificado para versões posteriores do System Center 2012 disponibilizadas durante o prazo renovado da cobertura do Software Assurance e estará qualificado para renovar a cobertura do System Center 2012 com base no preço de renovação atual do System Center 2012, até o término da cobertura solicitada nesta oferta. Apesar da renovação do Software Assurance para as licenças qualificadas, os termos e</w:t>
      </w:r>
      <w:r w:rsidR="00615CB9" w:rsidRPr="008D38F6">
        <w:rPr>
          <w:rFonts w:cs="Tahoma"/>
          <w:color w:val="000000"/>
          <w:spacing w:val="-2"/>
          <w:szCs w:val="18"/>
          <w:lang w:val="pt-BR"/>
        </w:rPr>
        <w:t> </w:t>
      </w:r>
      <w:r w:rsidRPr="008D38F6">
        <w:rPr>
          <w:rFonts w:cs="Tahoma"/>
          <w:color w:val="000000"/>
          <w:spacing w:val="-2"/>
          <w:szCs w:val="18"/>
          <w:lang w:val="pt-BR"/>
        </w:rPr>
        <w:t>as condições da outorga de licença do System Center 2012 permanecerão em vigor.</w:t>
      </w:r>
      <w:r w:rsidR="00FB5496" w:rsidRPr="008D38F6">
        <w:rPr>
          <w:rFonts w:cs="Tahoma"/>
          <w:color w:val="000000"/>
          <w:spacing w:val="-2"/>
          <w:szCs w:val="18"/>
          <w:lang w:val="pt-BR"/>
        </w:rPr>
        <w:t xml:space="preserve"> </w:t>
      </w:r>
      <w:r w:rsidRPr="008D38F6">
        <w:rPr>
          <w:rFonts w:cs="Tahoma"/>
          <w:color w:val="000000"/>
          <w:spacing w:val="-2"/>
          <w:szCs w:val="18"/>
          <w:lang w:val="pt-BR"/>
        </w:rPr>
        <w:t>Da mesma forma, os clientes não podem usar o software sob uma licença qualificada e as licenças correspondentes do System Center 2012 ao mesmo tempo.</w:t>
      </w:r>
      <w:r w:rsidR="00FB5496" w:rsidRPr="008D38F6">
        <w:rPr>
          <w:rFonts w:cs="Tahoma"/>
          <w:color w:val="000000"/>
          <w:spacing w:val="-2"/>
          <w:szCs w:val="18"/>
          <w:lang w:val="pt-BR"/>
        </w:rPr>
        <w:t xml:space="preserve"> </w:t>
      </w:r>
      <w:r w:rsidRPr="008D38F6">
        <w:rPr>
          <w:rFonts w:cs="Tahoma"/>
          <w:color w:val="000000"/>
          <w:spacing w:val="-2"/>
          <w:szCs w:val="18"/>
          <w:lang w:val="pt-BR"/>
        </w:rPr>
        <w:t>A Licença e o Software Assurance (L&amp;SA) para novas licenças adquiridas na</w:t>
      </w:r>
      <w:r w:rsidR="00A76730" w:rsidRPr="008D38F6">
        <w:rPr>
          <w:rFonts w:cs="Tahoma"/>
          <w:color w:val="000000"/>
          <w:spacing w:val="-2"/>
          <w:szCs w:val="18"/>
          <w:lang w:val="pt-BR"/>
        </w:rPr>
        <w:t> </w:t>
      </w:r>
      <w:r w:rsidRPr="008D38F6">
        <w:rPr>
          <w:rFonts w:cs="Tahoma"/>
          <w:color w:val="000000"/>
          <w:spacing w:val="-2"/>
          <w:szCs w:val="18"/>
          <w:lang w:val="pt-BR"/>
        </w:rPr>
        <w:t>renovação devem ser solicitadas usando</w:t>
      </w:r>
      <w:r w:rsidR="00A76730" w:rsidRPr="008D38F6">
        <w:rPr>
          <w:rFonts w:cs="Tahoma"/>
          <w:color w:val="000000"/>
          <w:spacing w:val="-2"/>
          <w:szCs w:val="18"/>
          <w:lang w:val="pt-BR"/>
        </w:rPr>
        <w:t xml:space="preserve"> o preço do System Center 2012.</w:t>
      </w:r>
    </w:p>
    <w:p w:rsidR="00FF4CAB" w:rsidRPr="008D38F6" w:rsidRDefault="009B12B7" w:rsidP="00376D4B">
      <w:pPr>
        <w:ind w:left="720"/>
        <w:rPr>
          <w:szCs w:val="18"/>
          <w:lang w:val="pt-BR"/>
        </w:rPr>
      </w:pPr>
      <w:r w:rsidRPr="008D38F6">
        <w:rPr>
          <w:rFonts w:cs="Tahoma"/>
          <w:szCs w:val="18"/>
          <w:lang w:val="pt-BR"/>
        </w:rPr>
        <w:t xml:space="preserve">Qualquer outro cliente que esteja renovando o Software Assurance antes de </w:t>
      </w:r>
      <w:r w:rsidR="00EB0F1B" w:rsidRPr="008D38F6">
        <w:rPr>
          <w:rFonts w:cs="Tahoma"/>
          <w:szCs w:val="18"/>
          <w:lang w:val="pt-BR"/>
        </w:rPr>
        <w:t>1</w:t>
      </w:r>
      <w:r w:rsidR="00EB0F1B" w:rsidRPr="008D38F6">
        <w:rPr>
          <w:rFonts w:cs="Tahoma"/>
          <w:szCs w:val="18"/>
          <w:vertAlign w:val="superscript"/>
          <w:lang w:val="pt-BR"/>
        </w:rPr>
        <w:t>º</w:t>
      </w:r>
      <w:r w:rsidRPr="008D38F6">
        <w:rPr>
          <w:rFonts w:cs="Tahoma"/>
          <w:szCs w:val="18"/>
          <w:lang w:val="pt-BR"/>
        </w:rPr>
        <w:t xml:space="preserve"> de outubro de 2012 para as</w:t>
      </w:r>
      <w:r w:rsidR="003B577A" w:rsidRPr="008D38F6">
        <w:rPr>
          <w:rFonts w:cs="Tahoma"/>
          <w:szCs w:val="18"/>
          <w:lang w:val="pt-BR"/>
        </w:rPr>
        <w:t> </w:t>
      </w:r>
      <w:r w:rsidRPr="008D38F6">
        <w:rPr>
          <w:rFonts w:cs="Tahoma"/>
          <w:szCs w:val="18"/>
          <w:lang w:val="pt-BR"/>
        </w:rPr>
        <w:t>licenças do System Center 2012 concedidas nesta oferta poderão estar qualificados da mesma forma para renovar a cobertura com base no preço de Software Assurance para as licenças que os qualificam para</w:t>
      </w:r>
      <w:r w:rsidR="003B577A" w:rsidRPr="008D38F6">
        <w:rPr>
          <w:rFonts w:cs="Tahoma"/>
          <w:szCs w:val="18"/>
          <w:lang w:val="pt-BR"/>
        </w:rPr>
        <w:t> </w:t>
      </w:r>
      <w:r w:rsidRPr="008D38F6">
        <w:rPr>
          <w:rFonts w:cs="Tahoma"/>
          <w:szCs w:val="18"/>
          <w:lang w:val="pt-BR"/>
        </w:rPr>
        <w:t>a outorga.</w:t>
      </w:r>
      <w:r w:rsidR="00FB5496" w:rsidRPr="008D38F6">
        <w:rPr>
          <w:rFonts w:cs="Tahoma"/>
          <w:szCs w:val="18"/>
          <w:lang w:val="pt-BR"/>
        </w:rPr>
        <w:t xml:space="preserve"> </w:t>
      </w:r>
      <w:r w:rsidRPr="008D38F6">
        <w:rPr>
          <w:rFonts w:cs="Tahoma"/>
          <w:szCs w:val="18"/>
          <w:lang w:val="pt-BR"/>
        </w:rPr>
        <w:t>Os clientes devem entrar em contato com o gerente de conta Microsoft ou com o revendedor para obter detalhes.</w:t>
      </w:r>
      <w:r w:rsidR="00FB5496" w:rsidRPr="008D38F6">
        <w:rPr>
          <w:rFonts w:cs="Tahoma"/>
          <w:szCs w:val="18"/>
          <w:lang w:val="pt-BR"/>
        </w:rPr>
        <w:t xml:space="preserve"> </w:t>
      </w:r>
      <w:r w:rsidRPr="008D38F6">
        <w:rPr>
          <w:rFonts w:cs="Tahoma"/>
          <w:szCs w:val="18"/>
          <w:lang w:val="pt-BR"/>
        </w:rPr>
        <w:t>Essa oferta não se aplica à renovação do Software Assurance para licenças</w:t>
      </w:r>
      <w:r w:rsidR="003B577A" w:rsidRPr="008D38F6">
        <w:rPr>
          <w:rFonts w:cs="Tahoma"/>
          <w:szCs w:val="18"/>
          <w:lang w:val="pt-BR"/>
        </w:rPr>
        <w:t> </w:t>
      </w:r>
      <w:r w:rsidRPr="008D38F6">
        <w:rPr>
          <w:rFonts w:cs="Tahoma"/>
          <w:szCs w:val="18"/>
          <w:lang w:val="pt-BR"/>
        </w:rPr>
        <w:t>de gerenciamento de clientes do System Center Client Management Suite e Syst</w:t>
      </w:r>
      <w:r w:rsidR="008C1816" w:rsidRPr="008D38F6">
        <w:rPr>
          <w:rFonts w:cs="Tahoma"/>
          <w:szCs w:val="18"/>
          <w:lang w:val="pt-BR"/>
        </w:rPr>
        <w:t>em Center Configuration Manager</w:t>
      </w:r>
    </w:p>
    <w:p w:rsidR="00FF4CAB" w:rsidRPr="008D38F6" w:rsidRDefault="00FF4CAB" w:rsidP="00924690">
      <w:pPr>
        <w:rPr>
          <w:lang w:val="pt-BR"/>
        </w:rPr>
      </w:pPr>
    </w:p>
    <w:p w:rsidR="00FF4CAB" w:rsidRPr="008D38F6" w:rsidRDefault="00FF4CAB" w:rsidP="00FF4CAB">
      <w:pPr>
        <w:rPr>
          <w:lang w:val="pt-BR"/>
        </w:rPr>
      </w:pPr>
    </w:p>
    <w:p w:rsidR="00916E81" w:rsidRPr="00416070" w:rsidRDefault="00AF6526" w:rsidP="002D35ED">
      <w:pPr>
        <w:pStyle w:val="Heading3"/>
      </w:pPr>
      <w:bookmarkStart w:id="1468" w:name="_103_System_Center"/>
      <w:bookmarkStart w:id="1469" w:name="_91_System_Center"/>
      <w:bookmarkStart w:id="1470" w:name="Srv_102SysCtr2012EndpointProt"/>
      <w:bookmarkStart w:id="1471" w:name="_Toc336338359"/>
      <w:bookmarkStart w:id="1472" w:name="_Toc352234416"/>
      <w:bookmarkEnd w:id="1468"/>
      <w:bookmarkEnd w:id="1469"/>
      <w:r w:rsidRPr="00416070">
        <w:rPr>
          <w:rFonts w:ascii="Tahoma" w:hAnsi="Tahoma" w:cs="Tahoma"/>
          <w:caps/>
          <w:color w:val="F66400"/>
          <w:sz w:val="22"/>
          <w:szCs w:val="22"/>
          <w:vertAlign w:val="superscript"/>
        </w:rPr>
        <w:t>90</w:t>
      </w:r>
      <w:r w:rsidRPr="00416070">
        <w:rPr>
          <w:rFonts w:ascii="Tahoma" w:hAnsi="Tahoma" w:cs="Tahoma"/>
          <w:color w:val="F66400"/>
          <w:sz w:val="22"/>
          <w:szCs w:val="22"/>
        </w:rPr>
        <w:t xml:space="preserve"> System Center 2012 Endpoint Protection</w:t>
      </w:r>
      <w:bookmarkEnd w:id="1470"/>
      <w:bookmarkEnd w:id="1471"/>
      <w:bookmarkEnd w:id="1472"/>
    </w:p>
    <w:p w:rsidR="00916E81" w:rsidRPr="008D38F6" w:rsidRDefault="00916E81" w:rsidP="00C21BCF">
      <w:pPr>
        <w:ind w:left="720"/>
        <w:rPr>
          <w:lang w:val="pt-BR"/>
        </w:rPr>
      </w:pPr>
    </w:p>
    <w:p w:rsidR="00C21BCF" w:rsidRPr="008D38F6" w:rsidRDefault="00A0581B" w:rsidP="00A0581B">
      <w:pPr>
        <w:spacing w:after="60"/>
        <w:ind w:left="720"/>
        <w:rPr>
          <w:lang w:val="pt-BR"/>
        </w:rPr>
      </w:pPr>
      <w:r w:rsidRPr="008D38F6">
        <w:rPr>
          <w:rFonts w:eastAsia="Calibri" w:cs="Tahoma"/>
          <w:b/>
          <w:szCs w:val="18"/>
          <w:lang w:val="pt-BR"/>
        </w:rPr>
        <w:t>Atualizações/Downgrade</w:t>
      </w:r>
    </w:p>
    <w:p w:rsidR="00C21BCF" w:rsidRPr="008D38F6" w:rsidRDefault="00C21BCF" w:rsidP="00C21BCF">
      <w:pPr>
        <w:ind w:left="720"/>
        <w:rPr>
          <w:lang w:val="pt-BR"/>
        </w:rPr>
      </w:pPr>
      <w:r w:rsidRPr="008D38F6">
        <w:rPr>
          <w:rFonts w:eastAsia="Calibri" w:cs="Tahoma"/>
          <w:szCs w:val="18"/>
          <w:lang w:val="pt-BR"/>
        </w:rPr>
        <w:t xml:space="preserve">A partir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2012, o Forefront Endpoint Protection se tornará o System Center 2012 Endpoint Protection. O System Center 2012 Endpoint Protection, como uma oferta independente, confere direitos de</w:t>
      </w:r>
      <w:r w:rsidR="003B577A" w:rsidRPr="008D38F6">
        <w:rPr>
          <w:rFonts w:eastAsia="Calibri" w:cs="Tahoma"/>
          <w:szCs w:val="18"/>
          <w:lang w:val="pt-BR"/>
        </w:rPr>
        <w:t> </w:t>
      </w:r>
      <w:r w:rsidRPr="008D38F6">
        <w:rPr>
          <w:rFonts w:eastAsia="Calibri" w:cs="Tahoma"/>
          <w:szCs w:val="18"/>
          <w:lang w:val="pt-BR"/>
        </w:rPr>
        <w:t>uso apenas para proteger os dispositivos do cliente. Os direitos de uso para proteger dispositivos de servidor podem ser adquiridos somente por meio da aquisição das licenças de gerenciamento do servidor do</w:t>
      </w:r>
      <w:r w:rsidR="003B577A" w:rsidRPr="008D38F6">
        <w:rPr>
          <w:rFonts w:eastAsia="Calibri" w:cs="Tahoma"/>
          <w:szCs w:val="18"/>
          <w:lang w:val="pt-BR"/>
        </w:rPr>
        <w:t> </w:t>
      </w:r>
      <w:r w:rsidRPr="008D38F6">
        <w:rPr>
          <w:rFonts w:eastAsia="Calibri" w:cs="Tahoma"/>
          <w:szCs w:val="18"/>
          <w:lang w:val="pt-BR"/>
        </w:rPr>
        <w:t>System Center 2012 Standard ou Datacenter.</w:t>
      </w:r>
    </w:p>
    <w:p w:rsidR="00C21BCF" w:rsidRPr="008D38F6" w:rsidRDefault="00C21BCF" w:rsidP="00C21BCF">
      <w:pPr>
        <w:ind w:left="720"/>
        <w:rPr>
          <w:lang w:val="pt-BR"/>
        </w:rPr>
      </w:pPr>
    </w:p>
    <w:p w:rsidR="00C21BCF" w:rsidRPr="008D38F6" w:rsidRDefault="00C21BCF" w:rsidP="00C21BCF">
      <w:pPr>
        <w:ind w:left="720"/>
        <w:rPr>
          <w:lang w:val="pt-BR"/>
        </w:rPr>
      </w:pPr>
      <w:r w:rsidRPr="008D38F6">
        <w:rPr>
          <w:rFonts w:eastAsia="Calibri" w:cs="Tahoma"/>
          <w:szCs w:val="18"/>
          <w:lang w:val="pt-BR"/>
        </w:rPr>
        <w:t>Os usuários com assinaturas do Forefront Endpoint Protection e que ajudam o serviço a proteger os dispositivos do cliente, podem fazer atualização para e usar o System Center 2012 Endpoint Protection para</w:t>
      </w:r>
      <w:r w:rsidR="003B577A" w:rsidRPr="008D38F6">
        <w:rPr>
          <w:rFonts w:eastAsia="Calibri" w:cs="Tahoma"/>
          <w:szCs w:val="18"/>
          <w:lang w:val="pt-BR"/>
        </w:rPr>
        <w:t> </w:t>
      </w:r>
      <w:r w:rsidRPr="008D38F6">
        <w:rPr>
          <w:rFonts w:eastAsia="Calibri" w:cs="Tahoma"/>
          <w:szCs w:val="18"/>
          <w:lang w:val="pt-BR"/>
        </w:rPr>
        <w:t>a mesma finalidade. Os clientes com assinaturas do System Center 2012 Endpoint Protection também</w:t>
      </w:r>
      <w:r w:rsidR="003B577A" w:rsidRPr="008D38F6">
        <w:rPr>
          <w:rFonts w:eastAsia="Calibri" w:cs="Tahoma"/>
          <w:szCs w:val="18"/>
          <w:lang w:val="pt-BR"/>
        </w:rPr>
        <w:t> </w:t>
      </w:r>
      <w:r w:rsidRPr="008D38F6">
        <w:rPr>
          <w:rFonts w:eastAsia="Calibri" w:cs="Tahoma"/>
          <w:szCs w:val="18"/>
          <w:lang w:val="pt-BR"/>
        </w:rPr>
        <w:t>podem fazer downgrade para o Forefront Endpoint Protection.</w:t>
      </w:r>
    </w:p>
    <w:p w:rsidR="00C21BCF" w:rsidRPr="008D38F6" w:rsidRDefault="00C21BCF" w:rsidP="00C21BCF">
      <w:pPr>
        <w:ind w:left="720"/>
        <w:rPr>
          <w:lang w:val="pt-BR"/>
        </w:rPr>
      </w:pPr>
    </w:p>
    <w:p w:rsidR="00C21BCF" w:rsidRPr="008D38F6" w:rsidRDefault="00C21BCF" w:rsidP="00C21BCF">
      <w:pPr>
        <w:ind w:left="720"/>
        <w:rPr>
          <w:lang w:val="pt-BR"/>
        </w:rPr>
      </w:pPr>
      <w:r w:rsidRPr="008D38F6">
        <w:rPr>
          <w:rFonts w:eastAsia="Calibri" w:cs="Tahoma"/>
          <w:szCs w:val="18"/>
          <w:lang w:val="pt-BR"/>
        </w:rPr>
        <w:t>O System Center 2012 Configuration Manager é o console de gerenciamento do System Center 2012 Endpoint Protection.</w:t>
      </w:r>
      <w:r w:rsidR="00FB5496" w:rsidRPr="008D38F6">
        <w:rPr>
          <w:rFonts w:eastAsia="Calibri" w:cs="Tahoma"/>
          <w:szCs w:val="18"/>
          <w:lang w:val="pt-BR"/>
        </w:rPr>
        <w:t xml:space="preserve"> </w:t>
      </w:r>
      <w:r w:rsidRPr="008D38F6">
        <w:rPr>
          <w:rFonts w:eastAsia="Calibri" w:cs="Tahoma"/>
          <w:szCs w:val="18"/>
          <w:lang w:val="pt-BR"/>
        </w:rPr>
        <w:t>Os clientes devem ser licenciados para o System Center 2012 Configuration Manager para fornecer gerenciamento para o System Center 2012 Endpoint Protection.</w:t>
      </w:r>
      <w:r w:rsidR="00FB5496" w:rsidRPr="008D38F6">
        <w:rPr>
          <w:rFonts w:eastAsia="Calibri" w:cs="Tahoma"/>
          <w:szCs w:val="18"/>
          <w:lang w:val="pt-BR"/>
        </w:rPr>
        <w:t xml:space="preserve"> </w:t>
      </w:r>
      <w:r w:rsidRPr="008D38F6">
        <w:rPr>
          <w:rFonts w:eastAsia="Calibri" w:cs="Tahoma"/>
          <w:szCs w:val="18"/>
          <w:lang w:val="pt-BR"/>
        </w:rPr>
        <w:t>Opcionalmente, o System Center 2012 Endpoint Protection poderá ser usado de forma não gerenciada, sem a necessidade de licenciar</w:t>
      </w:r>
      <w:r w:rsidR="003B577A" w:rsidRPr="008D38F6">
        <w:rPr>
          <w:rFonts w:eastAsia="Calibri" w:cs="Tahoma"/>
          <w:szCs w:val="18"/>
          <w:lang w:val="pt-BR"/>
        </w:rPr>
        <w:t> </w:t>
      </w:r>
      <w:r w:rsidRPr="008D38F6">
        <w:rPr>
          <w:rFonts w:eastAsia="Calibri" w:cs="Tahoma"/>
          <w:szCs w:val="18"/>
          <w:lang w:val="pt-BR"/>
        </w:rPr>
        <w:t>o System Center 2012 Configuration Manager.</w:t>
      </w:r>
    </w:p>
    <w:p w:rsidR="00C21BCF" w:rsidRPr="008D38F6" w:rsidRDefault="00C21BCF" w:rsidP="00C21BCF">
      <w:pPr>
        <w:ind w:left="720"/>
        <w:rPr>
          <w:lang w:val="pt-BR"/>
        </w:rPr>
      </w:pPr>
    </w:p>
    <w:p w:rsidR="00C21BCF" w:rsidRPr="008D38F6" w:rsidRDefault="00A0581B" w:rsidP="00A0581B">
      <w:pPr>
        <w:spacing w:after="60"/>
        <w:ind w:left="720"/>
        <w:rPr>
          <w:lang w:val="pt-BR"/>
        </w:rPr>
      </w:pPr>
      <w:r w:rsidRPr="008D38F6">
        <w:rPr>
          <w:rFonts w:eastAsia="Calibri" w:cs="Tahoma"/>
          <w:b/>
          <w:szCs w:val="18"/>
          <w:lang w:val="pt-BR"/>
        </w:rPr>
        <w:t>Uso Doméstico</w:t>
      </w:r>
    </w:p>
    <w:p w:rsidR="00FF4CAB" w:rsidRPr="008D38F6" w:rsidRDefault="00C21BCF" w:rsidP="00A0581B">
      <w:pPr>
        <w:ind w:left="720"/>
        <w:rPr>
          <w:lang w:val="pt-BR"/>
        </w:rPr>
      </w:pPr>
      <w:r w:rsidRPr="008D38F6">
        <w:rPr>
          <w:rFonts w:eastAsia="Calibri" w:cs="Tahoma"/>
          <w:szCs w:val="18"/>
          <w:lang w:val="pt-BR"/>
        </w:rPr>
        <w:t>Os clientes com as Licenças de Assinatura do Usuário atuais para qualificação do System Center 2012 Endpoint Protection como programa de Uso Doméstico</w:t>
      </w:r>
    </w:p>
    <w:p w:rsidR="003E651C" w:rsidRPr="008D38F6" w:rsidRDefault="003E651C" w:rsidP="00A0581B">
      <w:pPr>
        <w:rPr>
          <w:lang w:val="pt-BR"/>
        </w:rPr>
      </w:pPr>
    </w:p>
    <w:p w:rsidR="003E651C" w:rsidRPr="008D38F6" w:rsidRDefault="003E651C" w:rsidP="00A0581B">
      <w:pPr>
        <w:rPr>
          <w:lang w:val="pt-BR"/>
        </w:rPr>
      </w:pPr>
    </w:p>
    <w:p w:rsidR="003E651C" w:rsidRPr="008D38F6" w:rsidRDefault="003E651C" w:rsidP="00A0581B">
      <w:pPr>
        <w:rPr>
          <w:lang w:val="pt-BR"/>
        </w:rPr>
      </w:pPr>
    </w:p>
    <w:p w:rsidR="003E651C" w:rsidRPr="008D38F6" w:rsidRDefault="003E651C" w:rsidP="00A0581B">
      <w:pPr>
        <w:rPr>
          <w:lang w:val="pt-BR"/>
        </w:rPr>
      </w:pPr>
    </w:p>
    <w:p w:rsidR="003E651C" w:rsidRPr="008D38F6" w:rsidRDefault="003E651C" w:rsidP="00A0581B">
      <w:pPr>
        <w:rPr>
          <w:lang w:val="pt-BR"/>
        </w:rPr>
      </w:pPr>
    </w:p>
    <w:p w:rsidR="003E651C" w:rsidRPr="008D38F6" w:rsidRDefault="003E651C" w:rsidP="00A0581B">
      <w:pPr>
        <w:rPr>
          <w:lang w:val="pt-BR"/>
        </w:rPr>
      </w:pPr>
    </w:p>
    <w:p w:rsidR="00A0581B" w:rsidRPr="008D38F6" w:rsidRDefault="00A0581B" w:rsidP="00A0581B">
      <w:pPr>
        <w:rPr>
          <w:lang w:val="pt-BR"/>
        </w:rPr>
      </w:pPr>
    </w:p>
    <w:p w:rsidR="00023FE7" w:rsidRPr="00416070" w:rsidRDefault="00AF6526">
      <w:pPr>
        <w:pStyle w:val="Heading3"/>
      </w:pPr>
      <w:bookmarkStart w:id="1473" w:name="_91_TechNet_Plus"/>
      <w:bookmarkStart w:id="1474" w:name="Srv_103TechNetPlusSingleUser"/>
      <w:bookmarkStart w:id="1475" w:name="_Toc336338360"/>
      <w:bookmarkStart w:id="1476" w:name="_Toc352234417"/>
      <w:bookmarkEnd w:id="1473"/>
      <w:r w:rsidRPr="00416070">
        <w:rPr>
          <w:rFonts w:ascii="Tahoma" w:hAnsi="Tahoma"/>
          <w:caps/>
          <w:color w:val="F66400"/>
          <w:sz w:val="22"/>
          <w:vertAlign w:val="superscript"/>
        </w:rPr>
        <w:t>91</w:t>
      </w:r>
      <w:r w:rsidRPr="00416070">
        <w:rPr>
          <w:rFonts w:ascii="Tahoma" w:hAnsi="Tahoma"/>
          <w:color w:val="F66400"/>
          <w:sz w:val="22"/>
        </w:rPr>
        <w:t xml:space="preserve"> TechNet Plus Single User</w:t>
      </w:r>
      <w:bookmarkEnd w:id="1458"/>
      <w:bookmarkEnd w:id="1474"/>
      <w:bookmarkEnd w:id="1475"/>
      <w:bookmarkEnd w:id="1476"/>
    </w:p>
    <w:p w:rsidR="00023FE7" w:rsidRPr="008D38F6" w:rsidRDefault="00023FE7" w:rsidP="001704C2">
      <w:pPr>
        <w:tabs>
          <w:tab w:val="left" w:pos="2690"/>
        </w:tabs>
        <w:rPr>
          <w:lang w:val="pt-BR"/>
        </w:rPr>
      </w:pPr>
    </w:p>
    <w:p w:rsidR="00023FE7" w:rsidRPr="008D38F6" w:rsidRDefault="00023FE7" w:rsidP="001704C2">
      <w:pPr>
        <w:pStyle w:val="FootnoteBulletLevel1"/>
        <w:tabs>
          <w:tab w:val="clear" w:pos="900"/>
        </w:tabs>
        <w:spacing w:before="0" w:after="60"/>
        <w:ind w:left="720" w:firstLine="0"/>
        <w:rPr>
          <w:rFonts w:ascii="Tahoma" w:hAnsi="Tahoma" w:cs="Tahoma"/>
          <w:sz w:val="18"/>
          <w:szCs w:val="18"/>
          <w:lang w:val="pt-BR"/>
        </w:rPr>
      </w:pPr>
      <w:r w:rsidRPr="008D38F6">
        <w:rPr>
          <w:rFonts w:ascii="Tahoma" w:hAnsi="Tahoma" w:cs="Tahoma"/>
          <w:b/>
          <w:sz w:val="18"/>
          <w:szCs w:val="18"/>
          <w:lang w:val="pt-BR"/>
        </w:rPr>
        <w:t>Caminho de migração para os clientes do TechNet Plus Single Server registrados no Software</w:t>
      </w:r>
      <w:r w:rsidR="003B577A" w:rsidRPr="008D38F6">
        <w:rPr>
          <w:rFonts w:ascii="Tahoma" w:eastAsia="Calibri" w:hAnsi="Tahoma" w:cs="Tahoma"/>
          <w:sz w:val="18"/>
          <w:szCs w:val="18"/>
          <w:lang w:val="pt-BR"/>
        </w:rPr>
        <w:t> </w:t>
      </w:r>
      <w:r w:rsidRPr="008D38F6">
        <w:rPr>
          <w:rFonts w:ascii="Tahoma" w:hAnsi="Tahoma" w:cs="Tahoma"/>
          <w:b/>
          <w:sz w:val="18"/>
          <w:szCs w:val="18"/>
          <w:lang w:val="pt-BR"/>
        </w:rPr>
        <w:t>Assurance</w:t>
      </w:r>
    </w:p>
    <w:p w:rsidR="00023FE7" w:rsidRPr="008D38F6" w:rsidRDefault="00023FE7" w:rsidP="001704C2">
      <w:pPr>
        <w:pStyle w:val="FootnoteBulletLevel1"/>
        <w:tabs>
          <w:tab w:val="clear" w:pos="900"/>
        </w:tabs>
        <w:spacing w:before="0" w:after="0"/>
        <w:ind w:left="720" w:firstLine="0"/>
        <w:rPr>
          <w:rFonts w:ascii="Tahoma" w:hAnsi="Tahoma" w:cs="Tahoma"/>
          <w:sz w:val="18"/>
          <w:szCs w:val="18"/>
          <w:lang w:val="pt-BR"/>
        </w:rPr>
      </w:pPr>
      <w:r w:rsidRPr="008D38F6">
        <w:rPr>
          <w:rFonts w:ascii="Tahoma" w:hAnsi="Tahoma" w:cs="Tahoma"/>
          <w:sz w:val="18"/>
          <w:szCs w:val="18"/>
          <w:lang w:val="pt-BR"/>
        </w:rPr>
        <w:t>Os clientes com Software Assurance sobre o TechNet Plus Single Server próximo à data de término que desejarem renovar a cobertura poderão adquiri-la para o TechNet Plus Single User ou o TechNet Plus Direct.</w:t>
      </w:r>
    </w:p>
    <w:p w:rsidR="006B1BAF" w:rsidRPr="008D38F6" w:rsidRDefault="006B1BAF" w:rsidP="001704C2">
      <w:pPr>
        <w:rPr>
          <w:lang w:val="pt-BR"/>
        </w:rPr>
      </w:pPr>
    </w:p>
    <w:p w:rsidR="001704C2" w:rsidRPr="008D38F6" w:rsidRDefault="001704C2" w:rsidP="001704C2">
      <w:pPr>
        <w:rPr>
          <w:lang w:val="pt-BR"/>
        </w:rPr>
      </w:pPr>
    </w:p>
    <w:p w:rsidR="00FF4CAB" w:rsidRPr="00416070" w:rsidRDefault="00BA29A7" w:rsidP="00FF4CAB">
      <w:pPr>
        <w:pStyle w:val="Heading3"/>
      </w:pPr>
      <w:bookmarkStart w:id="1477" w:name="_92_Visual_Studio"/>
      <w:bookmarkStart w:id="1478" w:name="_90_VDI_Standard"/>
      <w:bookmarkStart w:id="1479" w:name="_Toc336338361"/>
      <w:bookmarkStart w:id="1480" w:name="_Toc352234418"/>
      <w:bookmarkStart w:id="1481" w:name="Srv_105VDIStandardandPremiumSuites"/>
      <w:bookmarkStart w:id="1482" w:name="Srv_94VSLoadTestVirtualUserPack10"/>
      <w:bookmarkEnd w:id="1477"/>
      <w:bookmarkEnd w:id="1478"/>
      <w:r w:rsidRPr="00416070">
        <w:rPr>
          <w:rFonts w:ascii="Tahoma" w:hAnsi="Tahoma" w:cs="Tahoma"/>
          <w:caps/>
          <w:color w:val="FF7415"/>
          <w:sz w:val="22"/>
          <w:szCs w:val="22"/>
          <w:vertAlign w:val="superscript"/>
        </w:rPr>
        <w:t>92</w:t>
      </w:r>
      <w:r w:rsidR="003B577A" w:rsidRPr="00416070">
        <w:rPr>
          <w:rFonts w:ascii="Tahoma" w:hAnsi="Tahoma"/>
          <w:color w:val="F66400"/>
          <w:sz w:val="22"/>
        </w:rPr>
        <w:t xml:space="preserve"> </w:t>
      </w:r>
      <w:r w:rsidRPr="00416070">
        <w:rPr>
          <w:rFonts w:ascii="Tahoma" w:hAnsi="Tahoma" w:cs="Tahoma"/>
          <w:color w:val="FF7415"/>
          <w:sz w:val="22"/>
          <w:szCs w:val="22"/>
        </w:rPr>
        <w:t>VDI Standard e Premium Suites</w:t>
      </w:r>
      <w:bookmarkEnd w:id="1479"/>
      <w:bookmarkEnd w:id="1480"/>
    </w:p>
    <w:bookmarkEnd w:id="1481"/>
    <w:p w:rsidR="00FF4CAB" w:rsidRPr="008D38F6" w:rsidRDefault="00FF4CAB" w:rsidP="00B76943">
      <w:pPr>
        <w:rPr>
          <w:lang w:val="pt-BR"/>
        </w:rPr>
      </w:pPr>
    </w:p>
    <w:p w:rsidR="00FF4CAB" w:rsidRPr="00A76730" w:rsidRDefault="00FF4CAB" w:rsidP="00B76943">
      <w:pPr>
        <w:pStyle w:val="EndnoteText"/>
        <w:ind w:left="720"/>
        <w:rPr>
          <w:rFonts w:ascii="Tahoma" w:hAnsi="Tahoma" w:cs="Tahoma"/>
          <w:sz w:val="18"/>
          <w:szCs w:val="18"/>
        </w:rPr>
      </w:pPr>
      <w:r w:rsidRPr="00A76730">
        <w:rPr>
          <w:rFonts w:ascii="Tahoma" w:hAnsi="Tahoma" w:cs="Tahoma"/>
          <w:color w:val="000000"/>
          <w:sz w:val="18"/>
          <w:szCs w:val="18"/>
        </w:rPr>
        <w:t>Estes produtos encontram-se no status EOL (Fim da Vida Útil) e não serão mais oferecidos. Os clientes do</w:t>
      </w:r>
      <w:r w:rsidR="003B577A" w:rsidRPr="00A76730">
        <w:rPr>
          <w:rFonts w:ascii="Tahoma" w:eastAsia="Calibri" w:hAnsi="Tahoma" w:cs="Tahoma"/>
          <w:sz w:val="18"/>
          <w:szCs w:val="18"/>
        </w:rPr>
        <w:t> </w:t>
      </w:r>
      <w:r w:rsidRPr="00A76730">
        <w:rPr>
          <w:rFonts w:ascii="Tahoma" w:hAnsi="Tahoma" w:cs="Tahoma"/>
          <w:color w:val="000000"/>
          <w:sz w:val="18"/>
          <w:szCs w:val="18"/>
        </w:rPr>
        <w:t>Enterprise Agreement podem consultar versões anteriores dos Direitos de Uso do Produto para obter informações sobre direitos de uso.</w:t>
      </w:r>
    </w:p>
    <w:p w:rsidR="00BA1490" w:rsidRPr="00416070" w:rsidRDefault="00BA1490" w:rsidP="00B76943">
      <w:pPr>
        <w:pStyle w:val="EndnoteText"/>
        <w:ind w:left="0"/>
      </w:pPr>
    </w:p>
    <w:p w:rsidR="00BA1490" w:rsidRPr="00416070" w:rsidRDefault="00BA1490" w:rsidP="00B76943">
      <w:pPr>
        <w:pStyle w:val="EndnoteText"/>
        <w:ind w:left="0"/>
      </w:pPr>
    </w:p>
    <w:p w:rsidR="00EA31A6" w:rsidRPr="00416070" w:rsidRDefault="00BA29A7" w:rsidP="00EA31A6">
      <w:pPr>
        <w:pStyle w:val="Heading3"/>
      </w:pPr>
      <w:bookmarkStart w:id="1483" w:name="_91_Vexcel_Server,"/>
      <w:bookmarkStart w:id="1484" w:name="_Toc352234419"/>
      <w:bookmarkEnd w:id="1483"/>
      <w:r w:rsidRPr="00416070">
        <w:rPr>
          <w:rFonts w:ascii="Tahoma" w:hAnsi="Tahoma" w:cs="Tahoma"/>
          <w:caps/>
          <w:color w:val="EE6000"/>
          <w:sz w:val="22"/>
          <w:szCs w:val="18"/>
          <w:vertAlign w:val="superscript"/>
        </w:rPr>
        <w:t>93</w:t>
      </w:r>
      <w:r w:rsidR="003B577A" w:rsidRPr="00416070">
        <w:rPr>
          <w:rFonts w:ascii="Tahoma" w:hAnsi="Tahoma"/>
          <w:color w:val="F66400"/>
          <w:sz w:val="22"/>
        </w:rPr>
        <w:t xml:space="preserve"> </w:t>
      </w:r>
      <w:r w:rsidRPr="00416070">
        <w:rPr>
          <w:rFonts w:ascii="Tahoma" w:hAnsi="Tahoma"/>
          <w:color w:val="F66400"/>
          <w:sz w:val="22"/>
        </w:rPr>
        <w:t>Vexcel Server e Vexcel Server com Pacote de Conteúdo Aprimorado</w:t>
      </w:r>
      <w:bookmarkEnd w:id="1484"/>
    </w:p>
    <w:p w:rsidR="00EA31A6" w:rsidRPr="008D38F6" w:rsidRDefault="00EA31A6" w:rsidP="00EA31A6">
      <w:pPr>
        <w:ind w:left="720"/>
        <w:rPr>
          <w:lang w:val="pt-BR"/>
        </w:rPr>
      </w:pPr>
    </w:p>
    <w:p w:rsidR="00EA31A6" w:rsidRPr="008D38F6" w:rsidRDefault="00EA31A6" w:rsidP="008C1816">
      <w:pPr>
        <w:ind w:left="720"/>
        <w:rPr>
          <w:rStyle w:val="Hyperlink"/>
          <w:rFonts w:cs="Tahoma"/>
          <w:szCs w:val="18"/>
          <w:lang w:val="pt-BR"/>
        </w:rPr>
      </w:pPr>
      <w:r w:rsidRPr="008D38F6">
        <w:rPr>
          <w:rFonts w:cs="Tahoma"/>
          <w:szCs w:val="18"/>
          <w:u w:val="single"/>
          <w:lang w:val="pt-BR"/>
        </w:rPr>
        <w:t>Serviços de Criação Requeridos</w:t>
      </w:r>
      <w:r w:rsidRPr="008D38F6">
        <w:rPr>
          <w:rFonts w:cs="Tahoma"/>
          <w:szCs w:val="18"/>
          <w:lang w:val="pt-BR"/>
        </w:rPr>
        <w:t>. O Vexcel Server e o Vexcel Server com Pacote de Conteúdo Aprimorado requerem as assinaturas anuais de software de Servidor/CAL, assim como os serviços de criação de sistemas da Vexcel, subsidiária geoespacial da Microsoft.</w:t>
      </w:r>
      <w:r w:rsidR="00FB5496" w:rsidRPr="008D38F6">
        <w:rPr>
          <w:rFonts w:cs="Tahoma"/>
          <w:szCs w:val="18"/>
          <w:lang w:val="pt-BR"/>
        </w:rPr>
        <w:t xml:space="preserve"> </w:t>
      </w:r>
      <w:r w:rsidRPr="008D38F6">
        <w:rPr>
          <w:rFonts w:cs="Tahoma"/>
          <w:szCs w:val="18"/>
          <w:lang w:val="pt-BR"/>
        </w:rPr>
        <w:t>Também estão disponíveis treinamento, suporte e</w:t>
      </w:r>
      <w:r w:rsidR="008C1816" w:rsidRPr="008D38F6">
        <w:rPr>
          <w:rFonts w:cs="Tahoma"/>
          <w:szCs w:val="18"/>
          <w:lang w:val="pt-BR"/>
        </w:rPr>
        <w:t> </w:t>
      </w:r>
      <w:r w:rsidRPr="008D38F6">
        <w:rPr>
          <w:rFonts w:cs="Tahoma"/>
          <w:szCs w:val="18"/>
          <w:lang w:val="pt-BR"/>
        </w:rPr>
        <w:t>serviços de manutenção adicionais, mas não são necessários.</w:t>
      </w:r>
      <w:r w:rsidR="00FB5496" w:rsidRPr="008D38F6">
        <w:rPr>
          <w:rFonts w:cs="Tahoma"/>
          <w:szCs w:val="18"/>
          <w:lang w:val="pt-BR"/>
        </w:rPr>
        <w:t xml:space="preserve"> </w:t>
      </w:r>
      <w:r w:rsidRPr="008D38F6">
        <w:rPr>
          <w:rFonts w:cs="Tahoma"/>
          <w:szCs w:val="18"/>
          <w:lang w:val="pt-BR"/>
        </w:rPr>
        <w:t xml:space="preserve">Para obter mais informações, visite o site </w:t>
      </w:r>
      <w:hyperlink r:id="rId60" w:history="1">
        <w:r w:rsidRPr="008D38F6">
          <w:rPr>
            <w:rStyle w:val="Hyperlink"/>
            <w:rFonts w:cs="Tahoma"/>
            <w:szCs w:val="18"/>
            <w:lang w:val="pt-BR"/>
          </w:rPr>
          <w:t>http://www.vexcel.com/geospatial/bingmapsserver/index.asp</w:t>
        </w:r>
      </w:hyperlink>
    </w:p>
    <w:p w:rsidR="008C1816" w:rsidRPr="008D38F6" w:rsidRDefault="008C1816" w:rsidP="008C1816">
      <w:pPr>
        <w:ind w:left="720"/>
        <w:rPr>
          <w:lang w:val="pt-BR"/>
        </w:rPr>
      </w:pPr>
    </w:p>
    <w:p w:rsidR="00E8145C" w:rsidRPr="00416070" w:rsidRDefault="00BA29A7" w:rsidP="00E8145C">
      <w:pPr>
        <w:pStyle w:val="Heading2"/>
        <w:ind w:left="0"/>
      </w:pPr>
      <w:bookmarkStart w:id="1485" w:name="_105_Windows_Azure"/>
      <w:bookmarkStart w:id="1486" w:name="_Toc336338362"/>
      <w:bookmarkStart w:id="1487" w:name="_Toc352234420"/>
      <w:bookmarkEnd w:id="1485"/>
      <w:r w:rsidRPr="00416070">
        <w:rPr>
          <w:rFonts w:ascii="Tahoma" w:hAnsi="Tahoma" w:cs="Tahoma"/>
          <w:caps/>
          <w:color w:val="EE6000"/>
          <w:sz w:val="22"/>
          <w:szCs w:val="18"/>
          <w:vertAlign w:val="superscript"/>
        </w:rPr>
        <w:t>94</w:t>
      </w:r>
      <w:r w:rsidR="003B577A" w:rsidRPr="00416070">
        <w:rPr>
          <w:rFonts w:ascii="Tahoma" w:hAnsi="Tahoma"/>
          <w:color w:val="F66400"/>
          <w:sz w:val="22"/>
        </w:rPr>
        <w:t xml:space="preserve"> </w:t>
      </w:r>
      <w:r w:rsidRPr="00416070">
        <w:rPr>
          <w:rFonts w:ascii="Tahoma" w:hAnsi="Tahoma" w:cs="Tahoma"/>
          <w:color w:val="F8701C"/>
          <w:sz w:val="22"/>
          <w:szCs w:val="22"/>
        </w:rPr>
        <w:t>Serviços do Windows Azure</w:t>
      </w:r>
      <w:bookmarkEnd w:id="1486"/>
      <w:bookmarkEnd w:id="1487"/>
    </w:p>
    <w:p w:rsidR="00E8145C" w:rsidRPr="008D38F6" w:rsidRDefault="00E8145C" w:rsidP="00B76943">
      <w:pPr>
        <w:widowControl w:val="0"/>
        <w:jc w:val="both"/>
        <w:rPr>
          <w:lang w:val="pt-BR"/>
        </w:rPr>
      </w:pPr>
    </w:p>
    <w:p w:rsidR="00B76943" w:rsidRPr="008D38F6" w:rsidRDefault="00E8145C" w:rsidP="00B76943">
      <w:pPr>
        <w:widowControl w:val="0"/>
        <w:spacing w:after="60"/>
        <w:ind w:left="720"/>
        <w:jc w:val="both"/>
        <w:rPr>
          <w:lang w:val="pt-BR"/>
        </w:rPr>
      </w:pPr>
      <w:r w:rsidRPr="008D38F6">
        <w:rPr>
          <w:b/>
          <w:color w:val="000000"/>
          <w:lang w:val="pt-BR"/>
        </w:rPr>
        <w:t>Compromisso de Recursos do Windows Azure Compute</w:t>
      </w:r>
    </w:p>
    <w:p w:rsidR="00E8145C" w:rsidRPr="008D38F6" w:rsidRDefault="00E8145C" w:rsidP="00B76943">
      <w:pPr>
        <w:widowControl w:val="0"/>
        <w:ind w:left="720"/>
        <w:jc w:val="both"/>
        <w:rPr>
          <w:lang w:val="pt-BR"/>
        </w:rPr>
      </w:pPr>
      <w:r w:rsidRPr="008D38F6">
        <w:rPr>
          <w:lang w:val="pt-BR"/>
        </w:rPr>
        <w:t xml:space="preserve">No caso do Windows Azure Compute, a Microsoft concorda em fornecer ao cliente um Compromisso de Recursos do Compute. O Compromisso de Recursos do Compute corresponderá a (1) </w:t>
      </w:r>
      <w:r w:rsidRPr="008D38F6">
        <w:rPr>
          <w:rFonts w:eastAsia="Times New Roman"/>
          <w:color w:val="000000"/>
          <w:lang w:val="pt-BR"/>
        </w:rPr>
        <w:t xml:space="preserve">50 instâncias pequenas e simultâneas do Compute por mês ou (2) </w:t>
      </w:r>
      <w:r w:rsidRPr="008D38F6">
        <w:rPr>
          <w:lang w:val="pt-BR"/>
        </w:rPr>
        <w:t>125% do Uso Estimado do Compute do cliente (conforme calc</w:t>
      </w:r>
      <w:r w:rsidR="00A76730" w:rsidRPr="008D38F6">
        <w:rPr>
          <w:lang w:val="pt-BR"/>
        </w:rPr>
        <w:t>ulado abaixo), o que for maior.</w:t>
      </w:r>
    </w:p>
    <w:p w:rsidR="00B76943" w:rsidRPr="008D38F6" w:rsidRDefault="00B76943" w:rsidP="00B76943">
      <w:pPr>
        <w:widowControl w:val="0"/>
        <w:ind w:left="720"/>
        <w:jc w:val="both"/>
        <w:rPr>
          <w:lang w:val="pt-BR"/>
        </w:rPr>
      </w:pPr>
    </w:p>
    <w:p w:rsidR="00E8145C" w:rsidRPr="008D38F6" w:rsidRDefault="00E8145C" w:rsidP="00B76943">
      <w:pPr>
        <w:widowControl w:val="0"/>
        <w:ind w:left="720"/>
        <w:jc w:val="both"/>
        <w:rPr>
          <w:lang w:val="pt-BR"/>
        </w:rPr>
      </w:pPr>
      <w:r w:rsidRPr="008D38F6">
        <w:rPr>
          <w:lang w:val="pt-BR"/>
        </w:rPr>
        <w:t xml:space="preserve">O “Uso Estimado do Compute”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8D38F6">
        <w:rPr>
          <w:rFonts w:cs="Tahoma"/>
          <w:szCs w:val="18"/>
          <w:lang w:val="pt-BR"/>
        </w:rPr>
        <w:t>coextensiva</w:t>
      </w:r>
      <w:r w:rsidRPr="008D38F6">
        <w:rPr>
          <w:lang w:val="pt-BR"/>
        </w:rPr>
        <w:t xml:space="preserve"> abaixo), e dividindo-se esse número pela Taxa de Compromissos para o Windows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rsidR="00B76943" w:rsidRPr="008D38F6" w:rsidRDefault="00B76943" w:rsidP="00B76943">
      <w:pPr>
        <w:widowControl w:val="0"/>
        <w:ind w:left="720"/>
        <w:jc w:val="both"/>
        <w:rPr>
          <w:lang w:val="pt-BR"/>
        </w:rPr>
      </w:pPr>
    </w:p>
    <w:p w:rsidR="00E8145C" w:rsidRPr="008D38F6" w:rsidRDefault="00E8145C" w:rsidP="00B76943">
      <w:pPr>
        <w:widowControl w:val="0"/>
        <w:ind w:left="720"/>
        <w:jc w:val="both"/>
        <w:rPr>
          <w:lang w:val="pt-BR"/>
        </w:rPr>
      </w:pPr>
      <w:r w:rsidRPr="008D38F6">
        <w:rPr>
          <w:lang w:val="pt-BR"/>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 Contrato de Nível de Serviço (consulte a Seção 2.c acima), a entidade somente receberá a medida com o valor monetário mais alto.</w:t>
      </w:r>
    </w:p>
    <w:p w:rsidR="00E8145C" w:rsidRPr="008D38F6" w:rsidRDefault="00E8145C" w:rsidP="00B76943">
      <w:pPr>
        <w:widowControl w:val="0"/>
        <w:ind w:left="720"/>
        <w:jc w:val="both"/>
        <w:rPr>
          <w:lang w:val="pt-BR"/>
        </w:rPr>
      </w:pPr>
      <w:r w:rsidRPr="008D38F6">
        <w:rPr>
          <w:lang w:val="pt-BR"/>
        </w:rPr>
        <w:t>O uso do Windows Azure Compute acima do Compromisso de Recursos do Compute será feito “conforme disponível”. O uso de qualquer Serviço do Windows Azure que não seja do Windows Azure Compute se</w:t>
      </w:r>
      <w:r w:rsidR="008C1816" w:rsidRPr="008D38F6">
        <w:rPr>
          <w:lang w:val="pt-BR"/>
        </w:rPr>
        <w:t>rá feito “conforme disponível”.</w:t>
      </w:r>
    </w:p>
    <w:p w:rsidR="00152361" w:rsidRPr="008D38F6" w:rsidRDefault="00152361" w:rsidP="00B76943">
      <w:pPr>
        <w:pStyle w:val="EndnoteText"/>
        <w:ind w:left="720"/>
        <w:rPr>
          <w:rFonts w:ascii="Tahoma" w:hAnsi="Tahoma" w:cs="Tahoma"/>
          <w:sz w:val="18"/>
          <w:szCs w:val="22"/>
          <w:lang w:val="pt-BR"/>
        </w:rPr>
      </w:pPr>
    </w:p>
    <w:p w:rsidR="00FF4CAB" w:rsidRPr="00A76730" w:rsidRDefault="00FF4CAB" w:rsidP="00376D4B">
      <w:pPr>
        <w:pStyle w:val="EndnoteText"/>
        <w:ind w:left="720"/>
        <w:rPr>
          <w:rFonts w:ascii="Tahoma" w:hAnsi="Tahoma" w:cs="Tahoma"/>
          <w:sz w:val="18"/>
          <w:szCs w:val="22"/>
        </w:rPr>
      </w:pPr>
    </w:p>
    <w:p w:rsidR="00ED12C0" w:rsidRPr="00416070" w:rsidRDefault="00BA29A7" w:rsidP="003B577A">
      <w:pPr>
        <w:pStyle w:val="Heading2"/>
        <w:ind w:left="274" w:hanging="274"/>
      </w:pPr>
      <w:bookmarkStart w:id="1488" w:name="Srv_107WindowsEmbeddedDeviceMgr2011"/>
      <w:bookmarkStart w:id="1489" w:name="_Toc336338363"/>
      <w:bookmarkStart w:id="1490" w:name="_Toc352234421"/>
      <w:bookmarkStart w:id="1491" w:name="Srv_93SBS2008PremiumEdition"/>
      <w:bookmarkEnd w:id="1482"/>
      <w:r w:rsidRPr="00416070">
        <w:rPr>
          <w:rFonts w:ascii="Tahoma" w:hAnsi="Tahoma" w:cs="Tahoma"/>
          <w:caps/>
          <w:color w:val="FF6600"/>
          <w:sz w:val="22"/>
          <w:vertAlign w:val="superscript"/>
        </w:rPr>
        <w:t>95</w:t>
      </w:r>
      <w:r w:rsidRPr="00416070">
        <w:rPr>
          <w:rFonts w:ascii="Tahoma" w:hAnsi="Tahoma" w:cs="Tahoma"/>
          <w:color w:val="FF6600"/>
        </w:rPr>
        <w:t xml:space="preserve"> </w:t>
      </w:r>
      <w:r w:rsidRPr="00416070">
        <w:rPr>
          <w:rFonts w:ascii="Tahoma" w:hAnsi="Tahoma" w:cs="Tahoma"/>
          <w:color w:val="FF6600"/>
          <w:sz w:val="22"/>
        </w:rPr>
        <w:t>Windows Embedded Device Manager 2011 – Licença do Servidor de</w:t>
      </w:r>
      <w:r w:rsidR="00615CB9" w:rsidRPr="008D38F6">
        <w:rPr>
          <w:rFonts w:ascii="Tahoma" w:hAnsi="Tahoma" w:cs="Tahoma"/>
          <w:color w:val="FF6600"/>
          <w:sz w:val="22"/>
          <w:lang w:val="pt-BR"/>
        </w:rPr>
        <w:t> </w:t>
      </w:r>
      <w:r w:rsidRPr="00416070">
        <w:rPr>
          <w:rFonts w:ascii="Tahoma" w:hAnsi="Tahoma" w:cs="Tahoma"/>
          <w:color w:val="FF6600"/>
          <w:sz w:val="22"/>
        </w:rPr>
        <w:t>Gerenciamento</w:t>
      </w:r>
      <w:bookmarkEnd w:id="1488"/>
      <w:bookmarkEnd w:id="1489"/>
      <w:bookmarkEnd w:id="1490"/>
    </w:p>
    <w:p w:rsidR="00ED12C0" w:rsidRPr="008D38F6" w:rsidRDefault="00ED12C0" w:rsidP="00B76943">
      <w:pPr>
        <w:rPr>
          <w:lang w:val="pt-BR"/>
        </w:rPr>
      </w:pPr>
    </w:p>
    <w:p w:rsidR="00ED12C0" w:rsidRPr="00416070" w:rsidRDefault="00ED12C0" w:rsidP="00B76943">
      <w:pPr>
        <w:pStyle w:val="EndnoteText"/>
        <w:ind w:left="720"/>
      </w:pPr>
      <w:r w:rsidRPr="00416070">
        <w:rPr>
          <w:rFonts w:ascii="Tahoma" w:hAnsi="Tahoma" w:cs="Tahoma"/>
          <w:color w:val="000000"/>
          <w:sz w:val="18"/>
        </w:rPr>
        <w:t>Este produto encontra-se no status EOL (Fim da Vida Útil) e não será mais oferecido.</w:t>
      </w:r>
    </w:p>
    <w:p w:rsidR="00ED12C0" w:rsidRPr="00416070" w:rsidRDefault="00ED12C0" w:rsidP="00B76943">
      <w:pPr>
        <w:pStyle w:val="EndnoteText"/>
        <w:ind w:left="720"/>
      </w:pPr>
    </w:p>
    <w:p w:rsidR="00ED12C0" w:rsidRPr="00416070" w:rsidRDefault="00ED12C0" w:rsidP="00B76943">
      <w:pPr>
        <w:pStyle w:val="EndnoteText"/>
        <w:spacing w:after="60"/>
        <w:ind w:left="720"/>
      </w:pPr>
      <w:r w:rsidRPr="00416070">
        <w:rPr>
          <w:rFonts w:ascii="Tahoma" w:hAnsi="Tahoma" w:cs="Tahoma"/>
          <w:b/>
          <w:color w:val="000000"/>
          <w:sz w:val="18"/>
        </w:rPr>
        <w:t>Outorga de Licença Única para Titulares de Licenças do Windows Embedded Device Manager</w:t>
      </w:r>
      <w:r w:rsidR="003B577A" w:rsidRPr="008D38F6">
        <w:rPr>
          <w:rFonts w:ascii="Tahoma" w:hAnsi="Tahoma" w:cs="Tahoma"/>
          <w:b/>
          <w:color w:val="000000"/>
          <w:sz w:val="18"/>
          <w:lang w:val="pt-BR"/>
        </w:rPr>
        <w:t> </w:t>
      </w:r>
      <w:r w:rsidRPr="00416070">
        <w:rPr>
          <w:rFonts w:ascii="Tahoma" w:hAnsi="Tahoma" w:cs="Tahoma"/>
          <w:b/>
          <w:color w:val="000000"/>
          <w:sz w:val="18"/>
        </w:rPr>
        <w:t>2011 com Software Assurance Ativo</w:t>
      </w:r>
    </w:p>
    <w:p w:rsidR="002512D3" w:rsidRPr="00416070" w:rsidRDefault="00ED12C0" w:rsidP="003165D6">
      <w:pPr>
        <w:pStyle w:val="EndnoteText"/>
        <w:ind w:left="720"/>
      </w:pPr>
      <w:r w:rsidRPr="00416070">
        <w:rPr>
          <w:rFonts w:ascii="Tahoma" w:hAnsi="Tahoma" w:cs="Tahoma"/>
          <w:color w:val="000000"/>
          <w:sz w:val="18"/>
        </w:rPr>
        <w:t>Como exceção única relacionada à descontinuação das licenças do servidor de gerenciamento do Windows</w:t>
      </w:r>
      <w:r w:rsidR="00615CB9">
        <w:rPr>
          <w:rFonts w:cs="Tahoma"/>
          <w:color w:val="000000"/>
        </w:rPr>
        <w:t> </w:t>
      </w:r>
      <w:r w:rsidRPr="00416070">
        <w:rPr>
          <w:rFonts w:ascii="Tahoma" w:hAnsi="Tahoma" w:cs="Tahoma"/>
          <w:color w:val="000000"/>
          <w:sz w:val="18"/>
        </w:rPr>
        <w:t>Embedded Device Manager 2011, aos clientes de Software Assurance que tiveram cobertura para</w:t>
      </w:r>
      <w:r w:rsidR="00615CB9">
        <w:rPr>
          <w:rFonts w:cs="Tahoma"/>
          <w:color w:val="000000"/>
        </w:rPr>
        <w:t> </w:t>
      </w:r>
      <w:r w:rsidRPr="00416070">
        <w:rPr>
          <w:rFonts w:ascii="Tahoma" w:hAnsi="Tahoma" w:cs="Tahoma"/>
          <w:color w:val="000000"/>
          <w:sz w:val="18"/>
        </w:rPr>
        <w:t xml:space="preserve">licenças do servidor de gerenciamento em </w:t>
      </w:r>
      <w:r w:rsidR="00EB0F1B">
        <w:rPr>
          <w:rFonts w:ascii="Tahoma" w:hAnsi="Tahoma" w:cs="Tahoma"/>
          <w:color w:val="000000"/>
          <w:sz w:val="18"/>
        </w:rPr>
        <w:t>1</w:t>
      </w:r>
      <w:r w:rsidR="00EB0F1B" w:rsidRPr="0005355D">
        <w:rPr>
          <w:rFonts w:ascii="Tahoma" w:hAnsi="Tahoma" w:cs="Tahoma"/>
          <w:color w:val="000000"/>
          <w:sz w:val="18"/>
          <w:vertAlign w:val="superscript"/>
        </w:rPr>
        <w:t>º</w:t>
      </w:r>
      <w:r w:rsidRPr="00416070">
        <w:rPr>
          <w:rFonts w:ascii="Tahoma" w:hAnsi="Tahoma" w:cs="Tahoma"/>
          <w:color w:val="000000"/>
          <w:sz w:val="18"/>
        </w:rPr>
        <w:t xml:space="preserve"> de abril de 2012 serão fornecidas as licenças de gerenciamento de cliente da seguinte forma</w:t>
      </w:r>
      <w:r w:rsidRPr="00416070">
        <w:rPr>
          <w:rFonts w:ascii="Tahoma" w:hAnsi="Tahoma" w:cs="Tahoma"/>
          <w:color w:val="000000"/>
          <w:sz w:val="18"/>
          <w:szCs w:val="20"/>
        </w:rPr>
        <w:t>:</w:t>
      </w:r>
    </w:p>
    <w:p w:rsidR="00ED12C0" w:rsidRPr="00416070" w:rsidRDefault="00ED12C0" w:rsidP="00B76943">
      <w:pPr>
        <w:pStyle w:val="EndnoteText"/>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2B5F9E" w:rsidTr="00CA14C9">
        <w:tc>
          <w:tcPr>
            <w:tcW w:w="3960" w:type="dxa"/>
            <w:tcBorders>
              <w:top w:val="single" w:sz="4" w:space="0" w:color="000000"/>
              <w:bottom w:val="single" w:sz="6" w:space="0" w:color="000000"/>
            </w:tcBorders>
            <w:shd w:val="clear" w:color="auto" w:fill="FABF8F"/>
          </w:tcPr>
          <w:p w:rsidR="00ED12C0" w:rsidRPr="00416070" w:rsidRDefault="00ED12C0" w:rsidP="004342E4">
            <w:pPr>
              <w:jc w:val="center"/>
              <w:rPr>
                <w:rFonts w:cs="Tahoma"/>
                <w:b/>
                <w:color w:val="000000"/>
                <w:szCs w:val="20"/>
              </w:rPr>
            </w:pPr>
            <w:r w:rsidRPr="00416070">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rsidR="00ED12C0" w:rsidRPr="008D38F6" w:rsidRDefault="00ED12C0" w:rsidP="004342E4">
            <w:pPr>
              <w:jc w:val="center"/>
              <w:rPr>
                <w:rFonts w:cs="Tahoma"/>
                <w:b/>
                <w:color w:val="000000"/>
                <w:szCs w:val="20"/>
                <w:lang w:val="pt-BR"/>
              </w:rPr>
            </w:pPr>
            <w:r w:rsidRPr="008D38F6">
              <w:rPr>
                <w:rFonts w:cs="Tahoma"/>
                <w:color w:val="000000"/>
                <w:lang w:val="pt-BR"/>
              </w:rPr>
              <w:t>Licenças de Gerenciamento de Cliente do Windows Embedded Device Manager 2011</w:t>
            </w:r>
          </w:p>
        </w:tc>
      </w:tr>
      <w:tr w:rsidR="00ED12C0" w:rsidRPr="002B5F9E" w:rsidTr="00CA14C9">
        <w:tc>
          <w:tcPr>
            <w:tcW w:w="3960" w:type="dxa"/>
            <w:tcBorders>
              <w:top w:val="single" w:sz="6" w:space="0" w:color="000000"/>
            </w:tcBorders>
            <w:shd w:val="clear" w:color="auto" w:fill="FFFFFF"/>
          </w:tcPr>
          <w:p w:rsidR="00ED12C0" w:rsidRPr="00416070" w:rsidRDefault="00ED12C0" w:rsidP="004342E4">
            <w:pPr>
              <w:rPr>
                <w:rFonts w:cs="Tahoma"/>
                <w:color w:val="000000"/>
                <w:szCs w:val="20"/>
              </w:rPr>
            </w:pPr>
            <w:r w:rsidRPr="00416070">
              <w:rPr>
                <w:rFonts w:cs="Tahoma"/>
                <w:color w:val="000000"/>
                <w:szCs w:val="20"/>
              </w:rPr>
              <w:t>Licença do Windows Embedded Device Manager 2011 Server</w:t>
            </w:r>
          </w:p>
        </w:tc>
        <w:tc>
          <w:tcPr>
            <w:tcW w:w="4050" w:type="dxa"/>
            <w:tcBorders>
              <w:top w:val="single" w:sz="6" w:space="0" w:color="000000"/>
            </w:tcBorders>
            <w:shd w:val="clear" w:color="auto" w:fill="FFFFFF"/>
          </w:tcPr>
          <w:p w:rsidR="00ED12C0" w:rsidRPr="008D38F6" w:rsidRDefault="00ED12C0" w:rsidP="004342E4">
            <w:pPr>
              <w:rPr>
                <w:rFonts w:cs="Tahoma"/>
                <w:color w:val="000000"/>
                <w:szCs w:val="20"/>
                <w:lang w:val="pt-BR"/>
              </w:rPr>
            </w:pPr>
            <w:r w:rsidRPr="008D38F6">
              <w:rPr>
                <w:rFonts w:cs="Tahoma"/>
                <w:color w:val="000000"/>
                <w:szCs w:val="20"/>
                <w:lang w:val="pt-BR"/>
              </w:rPr>
              <w:t>13 Licenças de Gerenciamento de Cliente do Windows Embedded Device Manager 2011</w:t>
            </w:r>
          </w:p>
        </w:tc>
      </w:tr>
      <w:tr w:rsidR="00ED12C0" w:rsidRPr="002B5F9E" w:rsidTr="00CA14C9">
        <w:tc>
          <w:tcPr>
            <w:tcW w:w="3960" w:type="dxa"/>
            <w:shd w:val="clear" w:color="auto" w:fill="FFFFFF"/>
          </w:tcPr>
          <w:p w:rsidR="00ED12C0" w:rsidRPr="008D38F6" w:rsidRDefault="00ED12C0" w:rsidP="004342E4">
            <w:pPr>
              <w:rPr>
                <w:rFonts w:cs="Tahoma"/>
                <w:color w:val="000000"/>
                <w:szCs w:val="20"/>
                <w:lang w:val="pt-BR"/>
              </w:rPr>
            </w:pPr>
            <w:r w:rsidRPr="008D38F6">
              <w:rPr>
                <w:rFonts w:cs="Tahoma"/>
                <w:color w:val="000000"/>
                <w:szCs w:val="20"/>
                <w:lang w:val="pt-BR"/>
              </w:rPr>
              <w:t>Licença do Servidor do Windows Embedded Device Manager 2011 com Tecnologia SQL Server 2008</w:t>
            </w:r>
          </w:p>
        </w:tc>
        <w:tc>
          <w:tcPr>
            <w:tcW w:w="4050" w:type="dxa"/>
            <w:shd w:val="clear" w:color="auto" w:fill="FFFFFF"/>
          </w:tcPr>
          <w:p w:rsidR="00ED12C0" w:rsidRPr="008D38F6" w:rsidRDefault="00ED12C0" w:rsidP="004342E4">
            <w:pPr>
              <w:rPr>
                <w:rFonts w:cs="Tahoma"/>
                <w:color w:val="000000"/>
                <w:szCs w:val="20"/>
                <w:lang w:val="pt-BR"/>
              </w:rPr>
            </w:pPr>
            <w:r w:rsidRPr="008D38F6">
              <w:rPr>
                <w:rFonts w:cs="Tahoma"/>
                <w:color w:val="000000"/>
                <w:szCs w:val="20"/>
                <w:lang w:val="pt-BR"/>
              </w:rPr>
              <w:t>30 Licenças de Gerenciamento de Cliente do Windows Embedded Device Manager 2011</w:t>
            </w:r>
          </w:p>
        </w:tc>
      </w:tr>
    </w:tbl>
    <w:p w:rsidR="00ED12C0" w:rsidRPr="00A76730" w:rsidRDefault="00ED12C0" w:rsidP="00ED12C0">
      <w:pPr>
        <w:pStyle w:val="EndnoteText"/>
        <w:ind w:left="0"/>
        <w:rPr>
          <w:rFonts w:ascii="Tahoma" w:hAnsi="Tahoma" w:cs="Tahoma"/>
          <w:sz w:val="18"/>
          <w:szCs w:val="18"/>
        </w:rPr>
      </w:pPr>
    </w:p>
    <w:p w:rsidR="00ED12C0" w:rsidRPr="008D38F6" w:rsidRDefault="00ED12C0" w:rsidP="00376D4B">
      <w:pPr>
        <w:pStyle w:val="EndnoteText"/>
        <w:ind w:left="720"/>
        <w:rPr>
          <w:rFonts w:ascii="Tahoma" w:hAnsi="Tahoma" w:cs="Tahoma"/>
          <w:sz w:val="18"/>
          <w:szCs w:val="18"/>
          <w:lang w:val="pt-BR"/>
        </w:rPr>
      </w:pPr>
      <w:r w:rsidRPr="00A76730">
        <w:rPr>
          <w:rFonts w:ascii="Tahoma" w:hAnsi="Tahoma" w:cs="Tahoma"/>
          <w:color w:val="000000"/>
          <w:sz w:val="18"/>
          <w:szCs w:val="18"/>
        </w:rPr>
        <w:t>Todas as licenças concedidas sob esta oferta incluirão cobertura do Software Assurance. Essa cobertura se</w:t>
      </w:r>
      <w:r w:rsidR="00615CB9" w:rsidRPr="00A76730">
        <w:rPr>
          <w:rFonts w:ascii="Tahoma" w:hAnsi="Tahoma" w:cs="Tahoma"/>
          <w:color w:val="000000"/>
          <w:sz w:val="18"/>
          <w:szCs w:val="18"/>
        </w:rPr>
        <w:t> </w:t>
      </w:r>
      <w:r w:rsidRPr="00A76730">
        <w:rPr>
          <w:rFonts w:ascii="Tahoma" w:hAnsi="Tahoma" w:cs="Tahoma"/>
          <w:color w:val="000000"/>
          <w:sz w:val="18"/>
          <w:szCs w:val="18"/>
        </w:rPr>
        <w:t>encerrará no término da cobertura nas licenças qualificadas. Ao término dessa cobertura, os clientes poderão renovar o Software Assuranc</w:t>
      </w:r>
      <w:r w:rsidR="00A76730" w:rsidRPr="00A76730">
        <w:rPr>
          <w:rFonts w:ascii="Tahoma" w:hAnsi="Tahoma" w:cs="Tahoma"/>
          <w:color w:val="000000"/>
          <w:sz w:val="18"/>
          <w:szCs w:val="18"/>
        </w:rPr>
        <w:t>e sobre as licenças outorgadas.</w:t>
      </w:r>
    </w:p>
    <w:p w:rsidR="003B577A" w:rsidRPr="008D38F6" w:rsidRDefault="003B577A" w:rsidP="00376D4B">
      <w:pPr>
        <w:pStyle w:val="EndnoteText"/>
        <w:ind w:left="720"/>
        <w:rPr>
          <w:rFonts w:ascii="Tahoma" w:hAnsi="Tahoma" w:cs="Tahoma"/>
          <w:sz w:val="18"/>
          <w:szCs w:val="18"/>
          <w:lang w:val="pt-BR"/>
        </w:rPr>
      </w:pPr>
    </w:p>
    <w:p w:rsidR="00ED12C0" w:rsidRPr="00A76730" w:rsidRDefault="00ED12C0" w:rsidP="00A76730">
      <w:pPr>
        <w:pStyle w:val="EndnoteText"/>
        <w:ind w:left="720"/>
        <w:rPr>
          <w:rFonts w:ascii="Tahoma" w:hAnsi="Tahoma" w:cs="Tahoma"/>
          <w:sz w:val="18"/>
          <w:szCs w:val="18"/>
        </w:rPr>
      </w:pPr>
      <w:r w:rsidRPr="00A76730">
        <w:rPr>
          <w:rFonts w:ascii="Tahoma" w:hAnsi="Tahoma" w:cs="Tahoma"/>
          <w:color w:val="000000"/>
          <w:sz w:val="18"/>
          <w:szCs w:val="18"/>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Os clientes não poderão transferir as licenças outorgadas</w:t>
      </w:r>
      <w:r w:rsidR="00A76730" w:rsidRPr="008D38F6">
        <w:rPr>
          <w:rFonts w:ascii="Tahoma" w:hAnsi="Tahoma" w:cs="Tahoma"/>
          <w:color w:val="000000"/>
          <w:sz w:val="18"/>
          <w:szCs w:val="18"/>
          <w:lang w:val="pt-BR"/>
        </w:rPr>
        <w:t> </w:t>
      </w:r>
      <w:r w:rsidRPr="00A76730">
        <w:rPr>
          <w:rFonts w:ascii="Tahoma" w:hAnsi="Tahoma" w:cs="Tahoma"/>
          <w:color w:val="000000"/>
          <w:sz w:val="18"/>
          <w:szCs w:val="18"/>
        </w:rPr>
        <w:t>sob esta oferta separadamente das licenças qualificadas correspondentes.</w:t>
      </w:r>
    </w:p>
    <w:p w:rsidR="00ED12C0" w:rsidRPr="00A76730" w:rsidRDefault="00ED12C0" w:rsidP="00376D4B">
      <w:pPr>
        <w:pStyle w:val="EndnoteText"/>
        <w:ind w:left="720"/>
        <w:rPr>
          <w:rFonts w:ascii="Tahoma" w:hAnsi="Tahoma" w:cs="Tahoma"/>
          <w:sz w:val="18"/>
          <w:szCs w:val="18"/>
        </w:rPr>
      </w:pPr>
    </w:p>
    <w:p w:rsidR="00ED12C0" w:rsidRPr="008D38F6" w:rsidRDefault="00ED12C0" w:rsidP="00376D4B">
      <w:pPr>
        <w:ind w:left="720"/>
        <w:rPr>
          <w:rFonts w:cs="Tahoma"/>
          <w:szCs w:val="18"/>
          <w:lang w:val="pt-BR"/>
        </w:rPr>
      </w:pPr>
      <w:r w:rsidRPr="008D38F6">
        <w:rPr>
          <w:rFonts w:cs="Tahoma"/>
          <w:color w:val="000000"/>
          <w:szCs w:val="18"/>
          <w:lang w:val="pt-BR"/>
        </w:rPr>
        <w:t xml:space="preserve">As licenças do Windows Embedded Device Manager 2011 adquiridas após </w:t>
      </w:r>
      <w:r w:rsidR="00EB0F1B" w:rsidRPr="008D38F6">
        <w:rPr>
          <w:rFonts w:cs="Tahoma"/>
          <w:color w:val="000000"/>
          <w:szCs w:val="18"/>
          <w:lang w:val="pt-BR"/>
        </w:rPr>
        <w:t>1</w:t>
      </w:r>
      <w:r w:rsidR="00EB0F1B" w:rsidRPr="008D38F6">
        <w:rPr>
          <w:rFonts w:cs="Tahoma"/>
          <w:color w:val="000000"/>
          <w:szCs w:val="18"/>
          <w:vertAlign w:val="superscript"/>
          <w:lang w:val="pt-BR"/>
        </w:rPr>
        <w:t>º</w:t>
      </w:r>
      <w:r w:rsidRPr="008D38F6">
        <w:rPr>
          <w:rFonts w:cs="Tahoma"/>
          <w:color w:val="000000"/>
          <w:szCs w:val="18"/>
          <w:lang w:val="pt-BR"/>
        </w:rPr>
        <w:t xml:space="preserve"> de abril de 2012 como parte do</w:t>
      </w:r>
      <w:r w:rsidR="00615CB9" w:rsidRPr="008D38F6">
        <w:rPr>
          <w:rFonts w:cs="Tahoma"/>
          <w:color w:val="000000"/>
          <w:szCs w:val="18"/>
          <w:lang w:val="pt-BR"/>
        </w:rPr>
        <w:t> </w:t>
      </w:r>
      <w:r w:rsidRPr="008D38F6">
        <w:rPr>
          <w:rFonts w:cs="Tahoma"/>
          <w:color w:val="000000"/>
          <w:szCs w:val="18"/>
          <w:lang w:val="pt-BR"/>
        </w:rPr>
        <w:t xml:space="preserve">processo anual de adequação (“true-up”) de um cliente para Registros Enterprise sob os quais as licenças do Windows Embedded Device Manager 2011 foram adquiridas pela primeira vez antes de </w:t>
      </w:r>
      <w:r w:rsidR="003B577A" w:rsidRPr="008D38F6">
        <w:rPr>
          <w:rFonts w:cs="Tahoma"/>
          <w:color w:val="000000"/>
          <w:szCs w:val="18"/>
          <w:lang w:val="pt-BR"/>
        </w:rPr>
        <w:br/>
      </w:r>
      <w:r w:rsidR="00EB0F1B" w:rsidRPr="008D38F6">
        <w:rPr>
          <w:rFonts w:cs="Tahoma"/>
          <w:color w:val="000000"/>
          <w:szCs w:val="18"/>
          <w:lang w:val="pt-BR"/>
        </w:rPr>
        <w:t>1</w:t>
      </w:r>
      <w:r w:rsidR="00EB0F1B" w:rsidRPr="008D38F6">
        <w:rPr>
          <w:rFonts w:cs="Tahoma"/>
          <w:color w:val="000000"/>
          <w:szCs w:val="18"/>
          <w:vertAlign w:val="superscript"/>
          <w:lang w:val="pt-BR"/>
        </w:rPr>
        <w:t>º</w:t>
      </w:r>
      <w:r w:rsidRPr="008D38F6">
        <w:rPr>
          <w:rFonts w:cs="Tahoma"/>
          <w:color w:val="000000"/>
          <w:szCs w:val="18"/>
          <w:lang w:val="pt-BR"/>
        </w:rPr>
        <w:t xml:space="preserve"> de abril de 2012 também estarão qualificadas para MLs de Cliente d Windows Embedded Device Manager</w:t>
      </w:r>
      <w:r w:rsidR="003B577A" w:rsidRPr="008D38F6">
        <w:rPr>
          <w:rFonts w:cs="Tahoma"/>
          <w:color w:val="000000"/>
          <w:szCs w:val="18"/>
          <w:lang w:val="pt-BR"/>
        </w:rPr>
        <w:t> </w:t>
      </w:r>
      <w:r w:rsidRPr="008D38F6">
        <w:rPr>
          <w:rFonts w:cs="Tahoma"/>
          <w:color w:val="000000"/>
          <w:szCs w:val="18"/>
          <w:lang w:val="pt-BR"/>
        </w:rPr>
        <w:t>2011 de acordo com esta oferta.</w:t>
      </w:r>
    </w:p>
    <w:p w:rsidR="00ED12C0" w:rsidRPr="008D38F6" w:rsidRDefault="00ED12C0" w:rsidP="00376D4B">
      <w:pPr>
        <w:ind w:left="720"/>
        <w:rPr>
          <w:rFonts w:cs="Tahoma"/>
          <w:szCs w:val="18"/>
          <w:lang w:val="pt-BR"/>
        </w:rPr>
      </w:pPr>
    </w:p>
    <w:p w:rsidR="00ED12C0" w:rsidRPr="008D38F6" w:rsidRDefault="00ED12C0" w:rsidP="00376D4B">
      <w:pPr>
        <w:ind w:left="720"/>
        <w:rPr>
          <w:rFonts w:cs="Tahoma"/>
          <w:szCs w:val="18"/>
          <w:lang w:val="pt-BR"/>
        </w:rPr>
      </w:pPr>
      <w:r w:rsidRPr="008D38F6">
        <w:rPr>
          <w:rFonts w:cs="Tahoma"/>
          <w:color w:val="000000"/>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FB5496" w:rsidRPr="008D38F6">
        <w:rPr>
          <w:rFonts w:cs="Tahoma"/>
          <w:color w:val="000000"/>
          <w:szCs w:val="18"/>
          <w:lang w:val="pt-BR"/>
        </w:rPr>
        <w:t xml:space="preserve"> </w:t>
      </w:r>
      <w:r w:rsidRPr="008D38F6">
        <w:rPr>
          <w:rFonts w:cs="Tahoma"/>
          <w:color w:val="000000"/>
          <w:szCs w:val="18"/>
          <w:lang w:val="pt-BR"/>
        </w:rPr>
        <w:t>Esses direitos só se tornarão permanentes se a opção de compra (“buy-out”) for exercida e continuarão sujeitos a todos os termos e condições do contrato de licença do cliente.</w:t>
      </w:r>
    </w:p>
    <w:p w:rsidR="00A40838" w:rsidRPr="008D38F6" w:rsidRDefault="00A40838" w:rsidP="00376D4B">
      <w:pPr>
        <w:ind w:left="720"/>
        <w:rPr>
          <w:lang w:val="pt-BR"/>
        </w:rPr>
      </w:pPr>
    </w:p>
    <w:p w:rsidR="005D5C95" w:rsidRPr="008D38F6" w:rsidRDefault="005D5C95" w:rsidP="00376D4B">
      <w:pPr>
        <w:ind w:left="720"/>
        <w:rPr>
          <w:lang w:val="pt-BR"/>
        </w:rPr>
      </w:pPr>
    </w:p>
    <w:p w:rsidR="005D5C95" w:rsidRPr="00416070" w:rsidRDefault="00BA29A7" w:rsidP="003B577A">
      <w:pPr>
        <w:pStyle w:val="Heading2"/>
        <w:ind w:left="274" w:hanging="274"/>
      </w:pPr>
      <w:bookmarkStart w:id="1492" w:name="_96_Windows_Embedded"/>
      <w:bookmarkStart w:id="1493" w:name="_Toc352234422"/>
      <w:bookmarkStart w:id="1494" w:name="Srv_108EBS2008StandardPrem"/>
      <w:bookmarkEnd w:id="1492"/>
      <w:r w:rsidRPr="00416070">
        <w:rPr>
          <w:rFonts w:ascii="Tahoma" w:hAnsi="Tahoma" w:cs="Tahoma"/>
          <w:caps/>
          <w:color w:val="FF6600"/>
          <w:sz w:val="22"/>
          <w:vertAlign w:val="superscript"/>
        </w:rPr>
        <w:t>96</w:t>
      </w:r>
      <w:r w:rsidRPr="00416070">
        <w:rPr>
          <w:rFonts w:ascii="Tahoma" w:hAnsi="Tahoma" w:cs="Tahoma"/>
          <w:color w:val="FF6600"/>
        </w:rPr>
        <w:t xml:space="preserve"> </w:t>
      </w:r>
      <w:r w:rsidRPr="00416070">
        <w:rPr>
          <w:rFonts w:ascii="Tahoma" w:hAnsi="Tahoma" w:cs="Tahoma"/>
          <w:color w:val="FF6600"/>
          <w:sz w:val="22"/>
        </w:rPr>
        <w:t>Windows Embedded Device Manager 2011 – Licença de Gerenciamento de Clientes</w:t>
      </w:r>
      <w:bookmarkEnd w:id="1493"/>
    </w:p>
    <w:p w:rsidR="005D5C95" w:rsidRPr="008D38F6" w:rsidRDefault="005D5C95" w:rsidP="005D5C95">
      <w:pPr>
        <w:rPr>
          <w:lang w:val="pt-BR"/>
        </w:rPr>
      </w:pPr>
    </w:p>
    <w:p w:rsidR="005D5C95" w:rsidRPr="00A76730" w:rsidRDefault="005D5C95" w:rsidP="005D5C95">
      <w:pPr>
        <w:pStyle w:val="EndnoteText"/>
        <w:ind w:left="720"/>
        <w:rPr>
          <w:rFonts w:ascii="Tahoma" w:hAnsi="Tahoma" w:cs="Tahoma"/>
          <w:sz w:val="18"/>
          <w:szCs w:val="18"/>
        </w:rPr>
      </w:pPr>
      <w:r w:rsidRPr="00A76730">
        <w:rPr>
          <w:rFonts w:ascii="Tahoma" w:hAnsi="Tahoma" w:cs="Tahoma"/>
          <w:color w:val="000000"/>
          <w:sz w:val="18"/>
          <w:szCs w:val="18"/>
        </w:rPr>
        <w:t>Este produto encontra-se no status EOL (Fim da Vida Útil) e não será mais oferecido.</w:t>
      </w:r>
    </w:p>
    <w:p w:rsidR="005D5C95" w:rsidRPr="00A76730" w:rsidRDefault="005D5C95" w:rsidP="005D5C95">
      <w:pPr>
        <w:pStyle w:val="EndnoteText"/>
        <w:ind w:left="720"/>
        <w:rPr>
          <w:rFonts w:ascii="Tahoma" w:hAnsi="Tahoma" w:cs="Tahoma"/>
          <w:sz w:val="18"/>
          <w:szCs w:val="18"/>
        </w:rPr>
      </w:pPr>
    </w:p>
    <w:p w:rsidR="005D5C95" w:rsidRPr="00A76730" w:rsidRDefault="005D5C95" w:rsidP="007A34E3">
      <w:pPr>
        <w:pStyle w:val="EndnoteText"/>
        <w:spacing w:after="60"/>
        <w:ind w:left="720"/>
        <w:rPr>
          <w:rFonts w:ascii="Tahoma" w:hAnsi="Tahoma" w:cs="Tahoma"/>
          <w:sz w:val="18"/>
          <w:szCs w:val="18"/>
        </w:rPr>
      </w:pPr>
      <w:r w:rsidRPr="00A76730">
        <w:rPr>
          <w:rFonts w:ascii="Tahoma" w:hAnsi="Tahoma" w:cs="Tahoma"/>
          <w:b/>
          <w:color w:val="000000"/>
          <w:sz w:val="18"/>
          <w:szCs w:val="18"/>
        </w:rPr>
        <w:t>Outorga de Licença Única para Titulares de Licenças do Windows Embedded Device Manager 2011 – Licença de Gerenciamento de Clientes com Software Assurance Ativo</w:t>
      </w:r>
    </w:p>
    <w:p w:rsidR="005D5C95" w:rsidRPr="00A76730" w:rsidRDefault="005D5C95" w:rsidP="005D5C95">
      <w:pPr>
        <w:pStyle w:val="EndnoteText"/>
        <w:ind w:left="720"/>
        <w:rPr>
          <w:rFonts w:ascii="Tahoma" w:hAnsi="Tahoma" w:cs="Tahoma"/>
          <w:sz w:val="18"/>
          <w:szCs w:val="18"/>
        </w:rPr>
      </w:pPr>
      <w:r w:rsidRPr="00A76730">
        <w:rPr>
          <w:rFonts w:ascii="Tahoma" w:hAnsi="Tahoma" w:cs="Tahoma"/>
          <w:color w:val="000000"/>
          <w:sz w:val="18"/>
          <w:szCs w:val="18"/>
        </w:rPr>
        <w:t>Como exceção única relacionada à descontinuação das licenças de Gerenciamento de Clientes do Windows Embedded Device Manager 2011 (por OSE/Usuário), será fornecido aos clientes de Software Assurance que</w:t>
      </w:r>
      <w:r w:rsidR="003B577A" w:rsidRPr="008D38F6">
        <w:rPr>
          <w:rFonts w:ascii="Tahoma" w:hAnsi="Tahoma" w:cs="Tahoma"/>
          <w:color w:val="000000"/>
          <w:sz w:val="18"/>
          <w:szCs w:val="18"/>
          <w:lang w:val="pt-BR"/>
        </w:rPr>
        <w:t> </w:t>
      </w:r>
      <w:r w:rsidRPr="00A76730">
        <w:rPr>
          <w:rFonts w:ascii="Tahoma" w:hAnsi="Tahoma" w:cs="Tahoma"/>
          <w:color w:val="000000"/>
          <w:sz w:val="18"/>
          <w:szCs w:val="18"/>
        </w:rPr>
        <w:t xml:space="preserve">tiverem cobertura em </w:t>
      </w:r>
      <w:r w:rsidR="00EB0F1B" w:rsidRPr="00A76730">
        <w:rPr>
          <w:rFonts w:ascii="Tahoma" w:hAnsi="Tahoma" w:cs="Tahoma"/>
          <w:color w:val="000000"/>
          <w:sz w:val="18"/>
          <w:szCs w:val="18"/>
        </w:rPr>
        <w:t>1</w:t>
      </w:r>
      <w:r w:rsidR="00EB0F1B" w:rsidRPr="00A76730">
        <w:rPr>
          <w:rFonts w:ascii="Tahoma" w:hAnsi="Tahoma" w:cs="Tahoma"/>
          <w:color w:val="000000"/>
          <w:sz w:val="18"/>
          <w:szCs w:val="18"/>
          <w:vertAlign w:val="superscript"/>
        </w:rPr>
        <w:t>º</w:t>
      </w:r>
      <w:r w:rsidRPr="00A76730">
        <w:rPr>
          <w:rFonts w:ascii="Tahoma" w:hAnsi="Tahoma" w:cs="Tahoma"/>
          <w:color w:val="000000"/>
          <w:sz w:val="18"/>
          <w:szCs w:val="18"/>
        </w:rPr>
        <w:t xml:space="preserve"> de janeiro de 2013 o mesmo número de licenças de Gerenciamento de Clientes</w:t>
      </w:r>
      <w:r w:rsidR="00615CB9" w:rsidRPr="00A76730">
        <w:rPr>
          <w:rFonts w:ascii="Tahoma" w:hAnsi="Tahoma" w:cs="Tahoma"/>
          <w:color w:val="000000"/>
          <w:sz w:val="18"/>
          <w:szCs w:val="18"/>
        </w:rPr>
        <w:t> </w:t>
      </w:r>
      <w:r w:rsidRPr="00A76730">
        <w:rPr>
          <w:rFonts w:ascii="Tahoma" w:hAnsi="Tahoma" w:cs="Tahoma"/>
          <w:color w:val="000000"/>
          <w:sz w:val="18"/>
          <w:szCs w:val="18"/>
        </w:rPr>
        <w:t>do</w:t>
      </w:r>
      <w:r w:rsidR="003B577A" w:rsidRPr="008D38F6">
        <w:rPr>
          <w:rFonts w:ascii="Tahoma" w:hAnsi="Tahoma" w:cs="Tahoma"/>
          <w:color w:val="000000"/>
          <w:sz w:val="18"/>
          <w:szCs w:val="18"/>
          <w:lang w:val="pt-BR"/>
        </w:rPr>
        <w:t> </w:t>
      </w:r>
      <w:r w:rsidRPr="00A76730">
        <w:rPr>
          <w:rFonts w:ascii="Tahoma" w:hAnsi="Tahoma" w:cs="Tahoma"/>
          <w:color w:val="000000"/>
          <w:sz w:val="18"/>
          <w:szCs w:val="18"/>
        </w:rPr>
        <w:t>System Center 2012 Configuration Manager (por OSE/Usuário).</w:t>
      </w:r>
    </w:p>
    <w:p w:rsidR="005D5C95" w:rsidRPr="00A76730" w:rsidRDefault="005D5C95" w:rsidP="005D5C95">
      <w:pPr>
        <w:pStyle w:val="EndnoteText"/>
        <w:ind w:left="0"/>
        <w:rPr>
          <w:rFonts w:ascii="Tahoma" w:hAnsi="Tahoma" w:cs="Tahoma"/>
          <w:sz w:val="18"/>
          <w:szCs w:val="18"/>
        </w:rPr>
      </w:pPr>
    </w:p>
    <w:p w:rsidR="005D5C95" w:rsidRPr="008D38F6" w:rsidRDefault="005D5C95" w:rsidP="005D5C95">
      <w:pPr>
        <w:pStyle w:val="EndnoteText"/>
        <w:ind w:left="720"/>
        <w:rPr>
          <w:rFonts w:ascii="Tahoma" w:hAnsi="Tahoma" w:cs="Tahoma"/>
          <w:sz w:val="18"/>
          <w:szCs w:val="18"/>
          <w:lang w:val="pt-BR"/>
        </w:rPr>
      </w:pPr>
      <w:r w:rsidRPr="00A76730">
        <w:rPr>
          <w:rFonts w:ascii="Tahoma" w:hAnsi="Tahoma" w:cs="Tahoma"/>
          <w:color w:val="000000"/>
          <w:sz w:val="18"/>
          <w:szCs w:val="18"/>
        </w:rPr>
        <w:t>Todas as licenças concedidas sob esta oferta incluirão cobertura do Software Assurance. Essa cobertura se</w:t>
      </w:r>
      <w:r w:rsidR="003B577A" w:rsidRPr="008D38F6">
        <w:rPr>
          <w:rFonts w:ascii="Tahoma" w:hAnsi="Tahoma" w:cs="Tahoma"/>
          <w:color w:val="000000"/>
          <w:sz w:val="18"/>
          <w:szCs w:val="18"/>
          <w:lang w:val="pt-BR"/>
        </w:rPr>
        <w:t> </w:t>
      </w:r>
      <w:r w:rsidRPr="00A76730">
        <w:rPr>
          <w:rFonts w:ascii="Tahoma" w:hAnsi="Tahoma" w:cs="Tahoma"/>
          <w:color w:val="000000"/>
          <w:sz w:val="18"/>
          <w:szCs w:val="18"/>
        </w:rPr>
        <w:t>encerrará no término da cobertura nas licenças qualificadas. Ao término dessa cobertura, os clientes poderão renovar o Software Assurance sobre as lic</w:t>
      </w:r>
      <w:r w:rsidR="008C1816" w:rsidRPr="00A76730">
        <w:rPr>
          <w:rFonts w:ascii="Tahoma" w:hAnsi="Tahoma" w:cs="Tahoma"/>
          <w:color w:val="000000"/>
          <w:sz w:val="18"/>
          <w:szCs w:val="18"/>
        </w:rPr>
        <w:t>enças outorgadas.</w:t>
      </w:r>
    </w:p>
    <w:p w:rsidR="005D5C95" w:rsidRPr="00A76730" w:rsidRDefault="005D5C95" w:rsidP="005D5C95">
      <w:pPr>
        <w:pStyle w:val="EndnoteText"/>
        <w:ind w:left="720"/>
        <w:rPr>
          <w:rFonts w:ascii="Tahoma" w:hAnsi="Tahoma" w:cs="Tahoma"/>
          <w:sz w:val="18"/>
          <w:szCs w:val="18"/>
        </w:rPr>
      </w:pPr>
    </w:p>
    <w:p w:rsidR="005D5C95" w:rsidRPr="00A76730" w:rsidRDefault="005D5C95" w:rsidP="005D5C95">
      <w:pPr>
        <w:pStyle w:val="EndnoteText"/>
        <w:ind w:left="720"/>
        <w:rPr>
          <w:rFonts w:ascii="Tahoma" w:hAnsi="Tahoma" w:cs="Tahoma"/>
          <w:sz w:val="18"/>
          <w:szCs w:val="18"/>
        </w:rPr>
      </w:pPr>
      <w:r w:rsidRPr="00A76730">
        <w:rPr>
          <w:rFonts w:ascii="Tahoma" w:hAnsi="Tahoma" w:cs="Tahoma"/>
          <w:color w:val="000000"/>
          <w:sz w:val="18"/>
          <w:szCs w:val="18"/>
        </w:rPr>
        <w:t>O uso que um cliente faz do software outorgado sob esta oferta está sujeito aos termos e condições de seu</w:t>
      </w:r>
      <w:r w:rsidR="003B577A" w:rsidRPr="008D38F6">
        <w:rPr>
          <w:rFonts w:ascii="Tahoma" w:hAnsi="Tahoma" w:cs="Tahoma"/>
          <w:color w:val="000000"/>
          <w:sz w:val="18"/>
          <w:szCs w:val="18"/>
          <w:lang w:val="pt-BR"/>
        </w:rPr>
        <w:t> </w:t>
      </w:r>
      <w:r w:rsidRPr="00A76730">
        <w:rPr>
          <w:rFonts w:ascii="Tahoma" w:hAnsi="Tahoma" w:cs="Tahoma"/>
          <w:color w:val="000000"/>
          <w:sz w:val="18"/>
          <w:szCs w:val="18"/>
        </w:rPr>
        <w:t>contrato de licença e aos direitos de uso de produto relacionados ao software. O direito de usar o software outorgado expirará quando o direito de usar o software de acordo com a licença qualificada de</w:t>
      </w:r>
      <w:r w:rsidR="003B577A" w:rsidRPr="008D38F6">
        <w:rPr>
          <w:rFonts w:ascii="Tahoma" w:hAnsi="Tahoma" w:cs="Tahoma"/>
          <w:color w:val="000000"/>
          <w:sz w:val="18"/>
          <w:szCs w:val="18"/>
          <w:lang w:val="pt-BR"/>
        </w:rPr>
        <w:t> </w:t>
      </w:r>
      <w:r w:rsidRPr="00A76730">
        <w:rPr>
          <w:rFonts w:ascii="Tahoma" w:hAnsi="Tahoma" w:cs="Tahoma"/>
          <w:color w:val="000000"/>
          <w:sz w:val="18"/>
          <w:szCs w:val="18"/>
        </w:rPr>
        <w:t>Gerenciamento de Clientes do Windows Embedded Device Manager 2011 expirar. A evidência de suas</w:t>
      </w:r>
      <w:r w:rsidR="003B577A" w:rsidRPr="008D38F6">
        <w:rPr>
          <w:rFonts w:ascii="Tahoma" w:hAnsi="Tahoma" w:cs="Tahoma"/>
          <w:color w:val="000000"/>
          <w:sz w:val="18"/>
          <w:szCs w:val="18"/>
          <w:lang w:val="pt-BR"/>
        </w:rPr>
        <w:t> </w:t>
      </w:r>
      <w:r w:rsidRPr="00A76730">
        <w:rPr>
          <w:rFonts w:ascii="Tahoma" w:hAnsi="Tahoma" w:cs="Tahoma"/>
          <w:color w:val="000000"/>
          <w:sz w:val="18"/>
          <w:szCs w:val="18"/>
        </w:rPr>
        <w:t>licenças de qualificação e esta Nota do Produto evidenciarão o direito do cliente de usar a licença de</w:t>
      </w:r>
      <w:r w:rsidR="00615CB9" w:rsidRPr="00A76730">
        <w:rPr>
          <w:rFonts w:ascii="Tahoma" w:hAnsi="Tahoma" w:cs="Tahoma"/>
          <w:color w:val="000000"/>
          <w:sz w:val="18"/>
          <w:szCs w:val="18"/>
        </w:rPr>
        <w:t> </w:t>
      </w:r>
      <w:r w:rsidRPr="00A76730">
        <w:rPr>
          <w:rFonts w:ascii="Tahoma" w:hAnsi="Tahoma" w:cs="Tahoma"/>
          <w:color w:val="000000"/>
          <w:sz w:val="18"/>
          <w:szCs w:val="18"/>
        </w:rPr>
        <w:t>Gerenciamento de Clientes do System Center 2012 Configuration Manager sob os termos desta oferta. O</w:t>
      </w:r>
      <w:r w:rsidR="003B577A" w:rsidRPr="008D38F6">
        <w:rPr>
          <w:rFonts w:ascii="Tahoma" w:hAnsi="Tahoma" w:cs="Tahoma"/>
          <w:color w:val="000000"/>
          <w:sz w:val="18"/>
          <w:szCs w:val="18"/>
          <w:lang w:val="pt-BR"/>
        </w:rPr>
        <w:t> </w:t>
      </w:r>
      <w:r w:rsidRPr="00A76730">
        <w:rPr>
          <w:rFonts w:ascii="Tahoma" w:hAnsi="Tahoma" w:cs="Tahoma"/>
          <w:color w:val="000000"/>
          <w:sz w:val="18"/>
          <w:szCs w:val="18"/>
        </w:rPr>
        <w:t>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rsidR="005D5C95" w:rsidRPr="00A76730" w:rsidRDefault="005D5C95" w:rsidP="005D5C95">
      <w:pPr>
        <w:pStyle w:val="EndnoteText"/>
        <w:ind w:left="720"/>
        <w:rPr>
          <w:rFonts w:ascii="Tahoma" w:hAnsi="Tahoma" w:cs="Tahoma"/>
          <w:sz w:val="18"/>
          <w:szCs w:val="18"/>
        </w:rPr>
      </w:pPr>
    </w:p>
    <w:p w:rsidR="005D5C95" w:rsidRPr="008D38F6" w:rsidRDefault="005D5C95" w:rsidP="005D5C95">
      <w:pPr>
        <w:ind w:left="720"/>
        <w:rPr>
          <w:rFonts w:cs="Tahoma"/>
          <w:szCs w:val="18"/>
          <w:lang w:val="pt-BR"/>
        </w:rPr>
      </w:pPr>
      <w:r w:rsidRPr="008D38F6">
        <w:rPr>
          <w:rFonts w:cs="Tahoma"/>
          <w:color w:val="000000"/>
          <w:szCs w:val="18"/>
          <w:lang w:val="pt-BR"/>
        </w:rPr>
        <w:t xml:space="preserve">As licenças de Gerenciamento de Clientes do Windows Embedded Device Manager 2011 adquiridas após </w:t>
      </w:r>
      <w:r w:rsidR="003B577A" w:rsidRPr="008D38F6">
        <w:rPr>
          <w:rFonts w:cs="Tahoma"/>
          <w:color w:val="000000"/>
          <w:szCs w:val="18"/>
          <w:lang w:val="pt-BR"/>
        </w:rPr>
        <w:br/>
      </w:r>
      <w:r w:rsidR="00EB0F1B" w:rsidRPr="008D38F6">
        <w:rPr>
          <w:rFonts w:cs="Tahoma"/>
          <w:color w:val="000000"/>
          <w:szCs w:val="18"/>
          <w:lang w:val="pt-BR"/>
        </w:rPr>
        <w:t>1</w:t>
      </w:r>
      <w:r w:rsidR="00EB0F1B" w:rsidRPr="008D38F6">
        <w:rPr>
          <w:rFonts w:cs="Tahoma"/>
          <w:color w:val="000000"/>
          <w:szCs w:val="18"/>
          <w:vertAlign w:val="superscript"/>
          <w:lang w:val="pt-BR"/>
        </w:rPr>
        <w:t>º</w:t>
      </w:r>
      <w:r w:rsidRPr="008D38F6">
        <w:rPr>
          <w:rFonts w:cs="Tahoma"/>
          <w:color w:val="000000"/>
          <w:szCs w:val="18"/>
          <w:lang w:val="pt-BR"/>
        </w:rPr>
        <w:t xml:space="preserve"> de janeiro de 2013 como parte do processo anual de adequação (“true-up”) para Registros Enterprise sob</w:t>
      </w:r>
      <w:r w:rsidR="00615CB9" w:rsidRPr="008D38F6">
        <w:rPr>
          <w:rFonts w:cs="Tahoma"/>
          <w:color w:val="000000"/>
          <w:szCs w:val="18"/>
          <w:lang w:val="pt-BR"/>
        </w:rPr>
        <w:t> </w:t>
      </w:r>
      <w:r w:rsidRPr="008D38F6">
        <w:rPr>
          <w:rFonts w:cs="Tahoma"/>
          <w:color w:val="000000"/>
          <w:szCs w:val="18"/>
          <w:lang w:val="pt-BR"/>
        </w:rPr>
        <w:t>os quais as licenças de Gerenciamento de Clientes do Windows Embedded Device Manager 2011 foram</w:t>
      </w:r>
      <w:r w:rsidR="003B577A" w:rsidRPr="008D38F6">
        <w:rPr>
          <w:rFonts w:cs="Tahoma"/>
          <w:color w:val="000000"/>
          <w:szCs w:val="18"/>
          <w:lang w:val="pt-BR"/>
        </w:rPr>
        <w:t> </w:t>
      </w:r>
      <w:r w:rsidRPr="008D38F6">
        <w:rPr>
          <w:rFonts w:cs="Tahoma"/>
          <w:color w:val="000000"/>
          <w:szCs w:val="18"/>
          <w:lang w:val="pt-BR"/>
        </w:rPr>
        <w:t xml:space="preserve">adquiridas pela primeira vez antes de </w:t>
      </w:r>
      <w:r w:rsidR="00EB0F1B" w:rsidRPr="008D38F6">
        <w:rPr>
          <w:rFonts w:cs="Tahoma"/>
          <w:color w:val="000000"/>
          <w:szCs w:val="18"/>
          <w:lang w:val="pt-BR"/>
        </w:rPr>
        <w:t>1</w:t>
      </w:r>
      <w:r w:rsidR="00EB0F1B" w:rsidRPr="008D38F6">
        <w:rPr>
          <w:rFonts w:cs="Tahoma"/>
          <w:color w:val="000000"/>
          <w:szCs w:val="18"/>
          <w:vertAlign w:val="superscript"/>
          <w:lang w:val="pt-BR"/>
        </w:rPr>
        <w:t>º</w:t>
      </w:r>
      <w:r w:rsidRPr="008D38F6">
        <w:rPr>
          <w:rFonts w:cs="Tahoma"/>
          <w:color w:val="000000"/>
          <w:szCs w:val="18"/>
          <w:lang w:val="pt-BR"/>
        </w:rPr>
        <w:t xml:space="preserve"> de janeiro de 2013 também estarão qualificadas para MLs</w:t>
      </w:r>
      <w:r w:rsidR="003B577A" w:rsidRPr="008D38F6">
        <w:rPr>
          <w:rFonts w:cs="Tahoma"/>
          <w:color w:val="000000"/>
          <w:szCs w:val="18"/>
          <w:lang w:val="pt-BR"/>
        </w:rPr>
        <w:t> </w:t>
      </w:r>
      <w:r w:rsidRPr="008D38F6">
        <w:rPr>
          <w:rFonts w:cs="Tahoma"/>
          <w:color w:val="000000"/>
          <w:szCs w:val="18"/>
          <w:lang w:val="pt-BR"/>
        </w:rPr>
        <w:t>de</w:t>
      </w:r>
      <w:r w:rsidR="00615CB9" w:rsidRPr="008D38F6">
        <w:rPr>
          <w:rFonts w:cs="Tahoma"/>
          <w:color w:val="000000"/>
          <w:szCs w:val="18"/>
          <w:lang w:val="pt-BR"/>
        </w:rPr>
        <w:t> </w:t>
      </w:r>
      <w:r w:rsidRPr="008D38F6">
        <w:rPr>
          <w:rFonts w:cs="Tahoma"/>
          <w:color w:val="000000"/>
          <w:szCs w:val="18"/>
          <w:lang w:val="pt-BR"/>
        </w:rPr>
        <w:t>Cliente do System Center 2012 Configuration Manager de acordo com esta oferta.</w:t>
      </w:r>
    </w:p>
    <w:p w:rsidR="003B577A" w:rsidRPr="008D38F6" w:rsidRDefault="003B577A" w:rsidP="005D5C95">
      <w:pPr>
        <w:ind w:left="720"/>
        <w:rPr>
          <w:lang w:val="pt-BR"/>
        </w:rPr>
      </w:pPr>
    </w:p>
    <w:p w:rsidR="005D5C95" w:rsidRPr="008D38F6" w:rsidRDefault="005D5C95" w:rsidP="005D5C95">
      <w:pPr>
        <w:ind w:left="720"/>
        <w:rPr>
          <w:lang w:val="pt-BR"/>
        </w:rPr>
      </w:pPr>
      <w:r w:rsidRPr="008D38F6">
        <w:rPr>
          <w:rFonts w:cs="Tahoma"/>
          <w:color w:val="000000"/>
          <w:szCs w:val="24"/>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FB5496" w:rsidRPr="008D38F6">
        <w:rPr>
          <w:rFonts w:cs="Tahoma"/>
          <w:color w:val="000000"/>
          <w:szCs w:val="24"/>
          <w:lang w:val="pt-BR"/>
        </w:rPr>
        <w:t xml:space="preserve"> </w:t>
      </w:r>
      <w:r w:rsidRPr="008D38F6">
        <w:rPr>
          <w:rFonts w:cs="Tahoma"/>
          <w:color w:val="000000"/>
          <w:szCs w:val="24"/>
          <w:lang w:val="pt-BR"/>
        </w:rPr>
        <w:t>Esses direitos só se tornarão permanentes se a opção de compra (“buy-out”) for exercida e continuarão sujeitos a todos os termos e condições do contrato de licença do cliente.</w:t>
      </w:r>
    </w:p>
    <w:p w:rsidR="005D5C95" w:rsidRPr="008D38F6" w:rsidRDefault="005D5C95" w:rsidP="005D5C95">
      <w:pPr>
        <w:ind w:left="720"/>
        <w:rPr>
          <w:lang w:val="pt-BR"/>
        </w:rPr>
      </w:pPr>
    </w:p>
    <w:p w:rsidR="005D5C95" w:rsidRPr="008D38F6" w:rsidRDefault="005D5C95" w:rsidP="005D5C95">
      <w:pPr>
        <w:ind w:left="720"/>
        <w:rPr>
          <w:lang w:val="pt-BR"/>
        </w:rPr>
      </w:pPr>
      <w:r w:rsidRPr="008D38F6">
        <w:rPr>
          <w:rFonts w:cs="Tahoma"/>
          <w:color w:val="000000"/>
          <w:szCs w:val="24"/>
          <w:lang w:val="pt-BR"/>
        </w:rPr>
        <w:t>Os direitos de downgrade da versão podem ser aplicados a todas as Licenças de Gerenciamento de Clientes do System Center 2012 Configuration Manager 2012 concedidas.</w:t>
      </w:r>
    </w:p>
    <w:p w:rsidR="00ED12C0" w:rsidRPr="008D38F6" w:rsidRDefault="00ED12C0" w:rsidP="00ED12C0">
      <w:pPr>
        <w:ind w:left="900"/>
        <w:rPr>
          <w:lang w:val="pt-BR"/>
        </w:rPr>
      </w:pPr>
    </w:p>
    <w:p w:rsidR="005D5C95" w:rsidRPr="008D38F6" w:rsidRDefault="005D5C95" w:rsidP="00ED12C0">
      <w:pPr>
        <w:ind w:left="900"/>
        <w:rPr>
          <w:lang w:val="pt-BR"/>
        </w:rPr>
      </w:pPr>
    </w:p>
    <w:p w:rsidR="00A6493D" w:rsidRPr="00416070" w:rsidRDefault="00BA29A7" w:rsidP="00A6493D">
      <w:pPr>
        <w:pStyle w:val="Heading3"/>
      </w:pPr>
      <w:bookmarkStart w:id="1495" w:name="_107_EBS_2008"/>
      <w:bookmarkStart w:id="1496" w:name="_95_EBS_2008"/>
      <w:bookmarkStart w:id="1497" w:name="_97_Windows_EBS"/>
      <w:bookmarkStart w:id="1498" w:name="_Toc336338364"/>
      <w:bookmarkStart w:id="1499" w:name="_Toc352234423"/>
      <w:bookmarkStart w:id="1500" w:name="Srv_101WindowsEssBusSvrStdPrem"/>
      <w:bookmarkEnd w:id="1495"/>
      <w:bookmarkEnd w:id="1496"/>
      <w:bookmarkEnd w:id="1497"/>
      <w:r w:rsidRPr="00416070">
        <w:rPr>
          <w:rFonts w:ascii="Tahoma" w:hAnsi="Tahoma"/>
          <w:caps/>
          <w:color w:val="F66400"/>
          <w:sz w:val="22"/>
          <w:vertAlign w:val="superscript"/>
        </w:rPr>
        <w:t>97</w:t>
      </w:r>
      <w:r w:rsidRPr="00615CB9">
        <w:rPr>
          <w:rFonts w:ascii="Tahoma" w:hAnsi="Tahoma"/>
          <w:caps/>
          <w:color w:val="F66400"/>
          <w:sz w:val="24"/>
        </w:rPr>
        <w:t xml:space="preserve"> </w:t>
      </w:r>
      <w:r w:rsidRPr="00416070">
        <w:rPr>
          <w:rFonts w:ascii="Tahoma" w:hAnsi="Tahoma"/>
          <w:color w:val="F66400"/>
          <w:sz w:val="22"/>
          <w:szCs w:val="22"/>
        </w:rPr>
        <w:t>Windows EBS 2008 Standard e EBS 2008 Premium</w:t>
      </w:r>
      <w:bookmarkEnd w:id="1494"/>
      <w:bookmarkEnd w:id="1498"/>
      <w:bookmarkEnd w:id="1499"/>
    </w:p>
    <w:bookmarkEnd w:id="1491"/>
    <w:bookmarkEnd w:id="1500"/>
    <w:p w:rsidR="00113634" w:rsidRPr="008D38F6" w:rsidRDefault="00113634" w:rsidP="00113634">
      <w:pPr>
        <w:rPr>
          <w:lang w:val="de-DE"/>
        </w:rPr>
      </w:pPr>
    </w:p>
    <w:p w:rsidR="00113634" w:rsidRPr="008C1816" w:rsidRDefault="00113634" w:rsidP="00376D4B">
      <w:pPr>
        <w:pStyle w:val="EndnoteText"/>
        <w:ind w:left="720"/>
        <w:rPr>
          <w:rFonts w:ascii="Tahoma" w:hAnsi="Tahoma" w:cs="Tahoma"/>
          <w:sz w:val="18"/>
          <w:szCs w:val="18"/>
        </w:rPr>
      </w:pPr>
      <w:r w:rsidRPr="008C1816">
        <w:rPr>
          <w:rFonts w:ascii="Tahoma" w:hAnsi="Tahoma" w:cs="Tahoma"/>
          <w:sz w:val="18"/>
          <w:szCs w:val="18"/>
        </w:rPr>
        <w:t>Estes produtos encontram-se no status EOL (Fim da Vida Útil) e não serão mais oferecidos.</w:t>
      </w:r>
    </w:p>
    <w:p w:rsidR="00113634" w:rsidRPr="008C1816" w:rsidRDefault="00113634" w:rsidP="00376D4B">
      <w:pPr>
        <w:pStyle w:val="EndnoteText"/>
        <w:ind w:left="720"/>
        <w:rPr>
          <w:rFonts w:ascii="Tahoma" w:hAnsi="Tahoma" w:cs="Tahoma"/>
          <w:sz w:val="18"/>
          <w:szCs w:val="18"/>
        </w:rPr>
      </w:pPr>
    </w:p>
    <w:p w:rsidR="00113634" w:rsidRPr="008C1816" w:rsidRDefault="00113634" w:rsidP="00B76943">
      <w:pPr>
        <w:pStyle w:val="EndnoteText"/>
        <w:spacing w:after="60"/>
        <w:ind w:left="720"/>
        <w:rPr>
          <w:rFonts w:ascii="Tahoma" w:hAnsi="Tahoma" w:cs="Tahoma"/>
          <w:sz w:val="18"/>
          <w:szCs w:val="18"/>
        </w:rPr>
      </w:pPr>
      <w:r w:rsidRPr="008C1816">
        <w:rPr>
          <w:rFonts w:ascii="Tahoma" w:hAnsi="Tahoma" w:cs="Tahoma"/>
          <w:b/>
          <w:sz w:val="18"/>
          <w:szCs w:val="18"/>
        </w:rPr>
        <w:t>Outorga de Licença única para titulares de licenças do EBS 2008 Standard e do EBS 2008</w:t>
      </w:r>
      <w:r w:rsidR="003B577A" w:rsidRPr="008D38F6">
        <w:rPr>
          <w:rFonts w:ascii="Tahoma" w:hAnsi="Tahoma" w:cs="Tahoma"/>
          <w:b/>
          <w:sz w:val="18"/>
          <w:szCs w:val="18"/>
          <w:lang w:val="pt-BR"/>
        </w:rPr>
        <w:t> </w:t>
      </w:r>
      <w:r w:rsidRPr="008C1816">
        <w:rPr>
          <w:rFonts w:ascii="Tahoma" w:hAnsi="Tahoma" w:cs="Tahoma"/>
          <w:b/>
          <w:sz w:val="18"/>
          <w:szCs w:val="18"/>
        </w:rPr>
        <w:t>Premium</w:t>
      </w:r>
    </w:p>
    <w:p w:rsidR="00113634" w:rsidRPr="00A76730" w:rsidRDefault="00113634" w:rsidP="00B76943">
      <w:pPr>
        <w:pStyle w:val="ListParagraph"/>
        <w:contextualSpacing w:val="0"/>
        <w:rPr>
          <w:rFonts w:ascii="Tahoma" w:hAnsi="Tahoma" w:cs="Tahoma"/>
          <w:sz w:val="18"/>
          <w:szCs w:val="18"/>
        </w:rPr>
      </w:pPr>
      <w:r w:rsidRPr="00A76730">
        <w:rPr>
          <w:rFonts w:ascii="Tahoma" w:hAnsi="Tahoma" w:cs="Tahoma"/>
          <w:sz w:val="18"/>
          <w:szCs w:val="18"/>
          <w:u w:val="single"/>
        </w:rPr>
        <w:t>Todos os clientes do Licenciamento por Volume para o Windows Essential Business Server 2008 (EBS) Standard e Premium</w:t>
      </w:r>
      <w:r w:rsidRPr="00A76730">
        <w:rPr>
          <w:rFonts w:ascii="Tahoma" w:hAnsi="Tahoma" w:cs="Tahoma"/>
          <w:sz w:val="18"/>
          <w:szCs w:val="18"/>
        </w:rPr>
        <w:t xml:space="preserve"> estarão qualificados para as seguintes licenças gratuitas para cada licença do EBS 2008 Standard ou Premium que tiverem a partir de 1° de julho de 2010:</w:t>
      </w:r>
    </w:p>
    <w:p w:rsidR="00A6493D" w:rsidRPr="008C1816" w:rsidRDefault="00A6493D" w:rsidP="00E63984">
      <w:pPr>
        <w:pStyle w:val="ListParagraph"/>
        <w:ind w:left="1260"/>
        <w:contextualSpacing w:val="0"/>
        <w:rPr>
          <w:rFonts w:ascii="Tahoma" w:hAnsi="Tahoma" w:cs="Tahoma"/>
          <w:sz w:val="18"/>
          <w:szCs w:val="18"/>
        </w:rPr>
      </w:pPr>
    </w:p>
    <w:p w:rsidR="00113634" w:rsidRPr="008C1816" w:rsidRDefault="00113634" w:rsidP="00957DE8">
      <w:pPr>
        <w:pStyle w:val="ListParagraph"/>
        <w:numPr>
          <w:ilvl w:val="0"/>
          <w:numId w:val="27"/>
        </w:numPr>
        <w:spacing w:after="60"/>
        <w:ind w:left="1440"/>
        <w:contextualSpacing w:val="0"/>
        <w:rPr>
          <w:rFonts w:ascii="Tahoma" w:hAnsi="Tahoma" w:cs="Tahoma"/>
          <w:sz w:val="18"/>
          <w:szCs w:val="18"/>
        </w:rPr>
      </w:pPr>
      <w:r w:rsidRPr="008C1816">
        <w:rPr>
          <w:rFonts w:ascii="Tahoma" w:hAnsi="Tahoma" w:cs="Tahoma"/>
          <w:sz w:val="18"/>
          <w:szCs w:val="18"/>
        </w:rPr>
        <w:t>3 licenças de software para o Windows Server 2008 Standard</w:t>
      </w:r>
    </w:p>
    <w:p w:rsidR="00113634" w:rsidRPr="008C1816" w:rsidRDefault="00113634" w:rsidP="00957DE8">
      <w:pPr>
        <w:pStyle w:val="ListParagraph"/>
        <w:numPr>
          <w:ilvl w:val="0"/>
          <w:numId w:val="27"/>
        </w:numPr>
        <w:spacing w:after="60"/>
        <w:ind w:left="1440"/>
        <w:contextualSpacing w:val="0"/>
        <w:rPr>
          <w:rFonts w:ascii="Tahoma" w:hAnsi="Tahoma" w:cs="Tahoma"/>
          <w:sz w:val="18"/>
          <w:szCs w:val="18"/>
        </w:rPr>
      </w:pPr>
      <w:r w:rsidRPr="008C1816">
        <w:rPr>
          <w:rFonts w:ascii="Tahoma" w:hAnsi="Tahoma" w:cs="Tahoma"/>
          <w:sz w:val="18"/>
          <w:szCs w:val="18"/>
        </w:rPr>
        <w:t>2 licenças de software para o Exchange Server 2007 Standard</w:t>
      </w:r>
    </w:p>
    <w:p w:rsidR="00113634" w:rsidRPr="008C1816" w:rsidRDefault="00113634" w:rsidP="00957DE8">
      <w:pPr>
        <w:pStyle w:val="ListParagraph"/>
        <w:numPr>
          <w:ilvl w:val="0"/>
          <w:numId w:val="27"/>
        </w:numPr>
        <w:spacing w:after="60"/>
        <w:ind w:left="1440"/>
        <w:contextualSpacing w:val="0"/>
        <w:rPr>
          <w:rFonts w:ascii="Tahoma" w:hAnsi="Tahoma" w:cs="Tahoma"/>
          <w:sz w:val="18"/>
          <w:szCs w:val="18"/>
        </w:rPr>
      </w:pPr>
      <w:r w:rsidRPr="008C1816">
        <w:rPr>
          <w:rFonts w:ascii="Tahoma" w:hAnsi="Tahoma" w:cs="Tahoma"/>
          <w:sz w:val="18"/>
          <w:szCs w:val="18"/>
        </w:rPr>
        <w:t>1 licença de software para o System Center Essentials 2007 e 10 licenças de gerenciamento de</w:t>
      </w:r>
      <w:r w:rsidR="003B577A" w:rsidRPr="008D38F6">
        <w:rPr>
          <w:rFonts w:ascii="Tahoma" w:hAnsi="Tahoma" w:cs="Tahoma"/>
          <w:sz w:val="18"/>
          <w:szCs w:val="18"/>
          <w:lang w:val="pt-BR"/>
        </w:rPr>
        <w:t> </w:t>
      </w:r>
      <w:r w:rsidRPr="008C1816">
        <w:rPr>
          <w:rFonts w:ascii="Tahoma" w:hAnsi="Tahoma" w:cs="Tahoma"/>
          <w:sz w:val="18"/>
          <w:szCs w:val="18"/>
        </w:rPr>
        <w:t>Servidor e 50 de Cliente</w:t>
      </w:r>
    </w:p>
    <w:p w:rsidR="00113634" w:rsidRPr="008D38F6" w:rsidRDefault="00113634" w:rsidP="00E63984">
      <w:pPr>
        <w:ind w:left="1260"/>
        <w:rPr>
          <w:rFonts w:cs="Tahoma"/>
          <w:szCs w:val="18"/>
          <w:lang w:val="pt-BR"/>
        </w:rPr>
      </w:pPr>
    </w:p>
    <w:p w:rsidR="00113634" w:rsidRPr="008D38F6" w:rsidRDefault="00113634" w:rsidP="00B76943">
      <w:pPr>
        <w:ind w:left="720"/>
        <w:rPr>
          <w:rFonts w:cs="Tahoma"/>
          <w:szCs w:val="18"/>
          <w:lang w:val="pt-BR"/>
        </w:rPr>
      </w:pPr>
      <w:r w:rsidRPr="008D38F6">
        <w:rPr>
          <w:rFonts w:cs="Tahoma"/>
          <w:szCs w:val="18"/>
          <w:lang w:val="pt-BR"/>
        </w:rPr>
        <w:t>O contrato de Licenciamento por Volume dos clientes e esta nota de condição do produto são evidências dessas licenças gratuitas.</w:t>
      </w:r>
      <w:r w:rsidR="00FB5496" w:rsidRPr="008D38F6">
        <w:rPr>
          <w:rFonts w:cs="Tahoma"/>
          <w:szCs w:val="18"/>
          <w:lang w:val="pt-BR"/>
        </w:rPr>
        <w:t xml:space="preserve"> </w:t>
      </w:r>
      <w:r w:rsidRPr="008D38F6">
        <w:rPr>
          <w:rFonts w:cs="Tahoma"/>
          <w:szCs w:val="18"/>
          <w:lang w:val="pt-BR"/>
        </w:rPr>
        <w:t>O uso do software sob as licenças gratuitas está sujeito aos termos e condições do contrato celebrado pelos clientes e aos direitos de uso dos produtos individuais.</w:t>
      </w:r>
      <w:r w:rsidR="00FB5496" w:rsidRPr="008D38F6">
        <w:rPr>
          <w:rFonts w:cs="Tahoma"/>
          <w:szCs w:val="18"/>
          <w:lang w:val="pt-BR"/>
        </w:rPr>
        <w:t xml:space="preserve"> </w:t>
      </w:r>
      <w:r w:rsidRPr="008D38F6">
        <w:rPr>
          <w:rFonts w:cs="Tahoma"/>
          <w:szCs w:val="18"/>
          <w:lang w:val="pt-BR"/>
        </w:rPr>
        <w:t>O direito de usar o software sob as licenças gratuitas expirará quando o direito de usar o software sob as licenças qualificadas expirar.</w:t>
      </w:r>
      <w:r w:rsidR="00FB5496" w:rsidRPr="008D38F6">
        <w:rPr>
          <w:rFonts w:cs="Tahoma"/>
          <w:szCs w:val="18"/>
          <w:lang w:val="pt-BR"/>
        </w:rPr>
        <w:t xml:space="preserve"> </w:t>
      </w:r>
      <w:r w:rsidRPr="008D38F6">
        <w:rPr>
          <w:rFonts w:cs="Tahoma"/>
          <w:szCs w:val="18"/>
          <w:lang w:val="pt-BR"/>
        </w:rPr>
        <w:t>As licenças gratuitas não podem ser transferidas separadamente das licenças qualificadas.</w:t>
      </w:r>
    </w:p>
    <w:p w:rsidR="00113634" w:rsidRPr="008D38F6" w:rsidRDefault="00113634" w:rsidP="00957DE8">
      <w:pPr>
        <w:ind w:left="720"/>
        <w:rPr>
          <w:rFonts w:cs="Tahoma"/>
          <w:szCs w:val="18"/>
          <w:lang w:val="pt-BR"/>
        </w:rPr>
      </w:pPr>
    </w:p>
    <w:p w:rsidR="00113634" w:rsidRPr="00A76730" w:rsidRDefault="00113634" w:rsidP="00957DE8">
      <w:pPr>
        <w:pStyle w:val="ListParagraph"/>
        <w:contextualSpacing w:val="0"/>
        <w:rPr>
          <w:rFonts w:ascii="Tahoma" w:hAnsi="Tahoma" w:cs="Tahoma"/>
          <w:sz w:val="18"/>
          <w:szCs w:val="18"/>
        </w:rPr>
      </w:pPr>
      <w:r w:rsidRPr="00A76730">
        <w:rPr>
          <w:rFonts w:ascii="Tahoma" w:hAnsi="Tahoma" w:cs="Tahoma"/>
          <w:sz w:val="18"/>
          <w:szCs w:val="18"/>
          <w:u w:val="single"/>
        </w:rPr>
        <w:t>Os clientes do Licenciamento por Volume para o Windows Essential Business Server (EBS) 2008 Standard</w:t>
      </w:r>
      <w:r w:rsidRPr="00A76730">
        <w:rPr>
          <w:rFonts w:ascii="Tahoma" w:hAnsi="Tahoma" w:cs="Tahoma"/>
          <w:sz w:val="18"/>
          <w:szCs w:val="18"/>
        </w:rPr>
        <w:t xml:space="preserve"> estarão adicionalmente qualificados para as seguintes licenças gratuitas para cada licença do EBS 2008 Standard com cobertura do Software Assurance ativa que tiverem a partir de 1° de julho de 2010:</w:t>
      </w:r>
    </w:p>
    <w:p w:rsidR="00A6493D" w:rsidRPr="008D38F6" w:rsidRDefault="00A6493D" w:rsidP="003B577A">
      <w:pPr>
        <w:ind w:left="1260"/>
        <w:rPr>
          <w:rFonts w:cs="Tahoma"/>
          <w:szCs w:val="18"/>
          <w:lang w:val="pt-BR"/>
        </w:rPr>
      </w:pPr>
    </w:p>
    <w:p w:rsidR="00113634" w:rsidRPr="008C1816" w:rsidRDefault="00113634" w:rsidP="00957DE8">
      <w:pPr>
        <w:pStyle w:val="ListParagraph"/>
        <w:numPr>
          <w:ilvl w:val="0"/>
          <w:numId w:val="28"/>
        </w:numPr>
        <w:spacing w:after="60"/>
        <w:ind w:left="1440"/>
        <w:contextualSpacing w:val="0"/>
        <w:rPr>
          <w:rFonts w:ascii="Tahoma" w:hAnsi="Tahoma" w:cs="Tahoma"/>
          <w:sz w:val="18"/>
          <w:szCs w:val="18"/>
        </w:rPr>
      </w:pPr>
      <w:r w:rsidRPr="008C1816">
        <w:rPr>
          <w:rFonts w:ascii="Tahoma" w:hAnsi="Tahoma" w:cs="Tahoma"/>
          <w:sz w:val="18"/>
          <w:szCs w:val="18"/>
        </w:rPr>
        <w:t>3 licenças de software para o Windows Server 2008 R2 Standard</w:t>
      </w:r>
    </w:p>
    <w:p w:rsidR="00113634" w:rsidRPr="008C1816" w:rsidRDefault="00113634" w:rsidP="00957DE8">
      <w:pPr>
        <w:pStyle w:val="ListParagraph"/>
        <w:numPr>
          <w:ilvl w:val="0"/>
          <w:numId w:val="28"/>
        </w:numPr>
        <w:spacing w:after="60"/>
        <w:ind w:left="1440"/>
        <w:contextualSpacing w:val="0"/>
        <w:rPr>
          <w:rFonts w:ascii="Tahoma" w:hAnsi="Tahoma" w:cs="Tahoma"/>
          <w:sz w:val="18"/>
          <w:szCs w:val="18"/>
        </w:rPr>
      </w:pPr>
      <w:r w:rsidRPr="008C1816">
        <w:rPr>
          <w:rFonts w:ascii="Tahoma" w:hAnsi="Tahoma" w:cs="Tahoma"/>
          <w:sz w:val="18"/>
          <w:szCs w:val="18"/>
        </w:rPr>
        <w:t>1 licença de software para o Exchange Server 2010 Standard</w:t>
      </w:r>
    </w:p>
    <w:p w:rsidR="00113634" w:rsidRPr="008C1816" w:rsidRDefault="00113634" w:rsidP="00957DE8">
      <w:pPr>
        <w:pStyle w:val="ListParagraph"/>
        <w:numPr>
          <w:ilvl w:val="0"/>
          <w:numId w:val="28"/>
        </w:numPr>
        <w:spacing w:after="60"/>
        <w:ind w:left="1440"/>
        <w:contextualSpacing w:val="0"/>
        <w:rPr>
          <w:rFonts w:ascii="Tahoma" w:hAnsi="Tahoma" w:cs="Tahoma"/>
          <w:sz w:val="18"/>
          <w:szCs w:val="18"/>
        </w:rPr>
      </w:pPr>
      <w:r w:rsidRPr="008C1816">
        <w:rPr>
          <w:rFonts w:ascii="Tahoma" w:hAnsi="Tahoma" w:cs="Tahoma"/>
          <w:sz w:val="18"/>
          <w:szCs w:val="18"/>
        </w:rPr>
        <w:t>1 licença de software para o System Center Essentials 2010 e 10 licenças de gerenciamento de</w:t>
      </w:r>
      <w:r w:rsidR="003B577A" w:rsidRPr="008D38F6">
        <w:rPr>
          <w:rFonts w:ascii="Tahoma" w:hAnsi="Tahoma" w:cs="Tahoma"/>
          <w:sz w:val="18"/>
          <w:szCs w:val="18"/>
          <w:lang w:val="pt-BR"/>
        </w:rPr>
        <w:t> </w:t>
      </w:r>
      <w:r w:rsidRPr="008C1816">
        <w:rPr>
          <w:rFonts w:ascii="Tahoma" w:hAnsi="Tahoma" w:cs="Tahoma"/>
          <w:sz w:val="18"/>
          <w:szCs w:val="18"/>
        </w:rPr>
        <w:t>Servidor e 50 de Cliente</w:t>
      </w:r>
    </w:p>
    <w:p w:rsidR="00113634" w:rsidRPr="008C1816" w:rsidRDefault="00113634" w:rsidP="00957DE8">
      <w:pPr>
        <w:pStyle w:val="ListParagraph"/>
        <w:numPr>
          <w:ilvl w:val="0"/>
          <w:numId w:val="28"/>
        </w:numPr>
        <w:spacing w:after="60"/>
        <w:ind w:left="1440"/>
        <w:contextualSpacing w:val="0"/>
        <w:rPr>
          <w:rFonts w:ascii="Tahoma" w:hAnsi="Tahoma" w:cs="Tahoma"/>
          <w:sz w:val="18"/>
          <w:szCs w:val="18"/>
        </w:rPr>
      </w:pPr>
      <w:r w:rsidRPr="008C1816">
        <w:rPr>
          <w:rFonts w:ascii="Tahoma" w:hAnsi="Tahoma" w:cs="Tahoma"/>
          <w:sz w:val="18"/>
          <w:szCs w:val="18"/>
        </w:rPr>
        <w:t>1 licença de software para o Forefront Threat Management Gateway Medium Business Edition 2010</w:t>
      </w:r>
    </w:p>
    <w:p w:rsidR="00113634" w:rsidRPr="008C1816" w:rsidRDefault="00113634" w:rsidP="00957DE8">
      <w:pPr>
        <w:pStyle w:val="ListParagraph"/>
        <w:rPr>
          <w:rFonts w:ascii="Tahoma" w:hAnsi="Tahoma" w:cs="Tahoma"/>
          <w:sz w:val="18"/>
          <w:szCs w:val="18"/>
        </w:rPr>
      </w:pPr>
      <w:r w:rsidRPr="008C1816">
        <w:rPr>
          <w:rFonts w:ascii="Tahoma" w:hAnsi="Tahoma" w:cs="Tahoma"/>
          <w:sz w:val="18"/>
          <w:szCs w:val="18"/>
        </w:rPr>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rsidR="00113634" w:rsidRPr="008D38F6" w:rsidRDefault="00113634" w:rsidP="003B577A">
      <w:pPr>
        <w:ind w:left="1260"/>
        <w:rPr>
          <w:rFonts w:cs="Tahoma"/>
          <w:szCs w:val="18"/>
          <w:lang w:val="pt-BR"/>
        </w:rPr>
      </w:pPr>
    </w:p>
    <w:p w:rsidR="00113634" w:rsidRPr="008D38F6" w:rsidRDefault="00113634" w:rsidP="00957DE8">
      <w:pPr>
        <w:ind w:left="720"/>
        <w:rPr>
          <w:rFonts w:cs="Tahoma"/>
          <w:szCs w:val="18"/>
          <w:lang w:val="pt-BR"/>
        </w:rPr>
      </w:pPr>
      <w:r w:rsidRPr="008D38F6">
        <w:rPr>
          <w:rFonts w:cs="Tahoma"/>
          <w:szCs w:val="18"/>
          <w:lang w:val="pt-BR"/>
        </w:rPr>
        <w:t>O contrato de Licenciamento por Volume dos clientes e esta nota de condição do produto são evidências dessas licenças gratuitas.</w:t>
      </w:r>
      <w:r w:rsidR="00FB5496" w:rsidRPr="008D38F6">
        <w:rPr>
          <w:rFonts w:cs="Tahoma"/>
          <w:szCs w:val="18"/>
          <w:lang w:val="pt-BR"/>
        </w:rPr>
        <w:t xml:space="preserve"> </w:t>
      </w:r>
      <w:r w:rsidRPr="008D38F6">
        <w:rPr>
          <w:rFonts w:cs="Tahoma"/>
          <w:szCs w:val="18"/>
          <w:lang w:val="pt-BR"/>
        </w:rPr>
        <w:t>O uso do software sob as licenças gratuitas está sujeito aos termos e condições do contrato celebrado pelos clientes e aos direitos de uso dos produtos individuais.</w:t>
      </w:r>
      <w:r w:rsidR="00FB5496" w:rsidRPr="008D38F6">
        <w:rPr>
          <w:rFonts w:cs="Tahoma"/>
          <w:szCs w:val="18"/>
          <w:lang w:val="pt-BR"/>
        </w:rPr>
        <w:t xml:space="preserve"> </w:t>
      </w:r>
      <w:r w:rsidRPr="008D38F6">
        <w:rPr>
          <w:rFonts w:cs="Tahoma"/>
          <w:szCs w:val="18"/>
          <w:lang w:val="pt-BR"/>
        </w:rPr>
        <w:t>Salvo no caso do Forefront Protection for Exchange Server 2010, o direito de usar o software sob as licenças gratuitas expirará quando o direito de usar o software sob as licenças qualificadas expirar.</w:t>
      </w:r>
      <w:r w:rsidR="00FB5496" w:rsidRPr="008D38F6">
        <w:rPr>
          <w:rFonts w:cs="Tahoma"/>
          <w:szCs w:val="18"/>
          <w:lang w:val="pt-BR"/>
        </w:rPr>
        <w:t xml:space="preserve"> </w:t>
      </w:r>
      <w:r w:rsidRPr="008D38F6">
        <w:rPr>
          <w:rFonts w:cs="Tahoma"/>
          <w:szCs w:val="18"/>
          <w:lang w:val="pt-BR"/>
        </w:rPr>
        <w:t>O direito de usar o Forefront Protection for Exchange Server 2010 expirará em caso de término da cobertura do Software Assurance sobre as licenças qualificadas.</w:t>
      </w:r>
      <w:r w:rsidR="00FB5496" w:rsidRPr="008D38F6">
        <w:rPr>
          <w:rFonts w:cs="Tahoma"/>
          <w:szCs w:val="18"/>
          <w:lang w:val="pt-BR"/>
        </w:rPr>
        <w:t xml:space="preserve"> </w:t>
      </w:r>
      <w:r w:rsidRPr="008D38F6">
        <w:rPr>
          <w:rFonts w:cs="Tahoma"/>
          <w:szCs w:val="18"/>
          <w:lang w:val="pt-BR"/>
        </w:rPr>
        <w:t>Em todos os casos, as licenças gratuitas não poderão ser transferidas separadamente das licenças qualificadas.</w:t>
      </w:r>
    </w:p>
    <w:p w:rsidR="00113634" w:rsidRPr="008D38F6" w:rsidRDefault="00113634" w:rsidP="003B577A">
      <w:pPr>
        <w:ind w:left="1260"/>
        <w:rPr>
          <w:rFonts w:cs="Tahoma"/>
          <w:szCs w:val="18"/>
          <w:lang w:val="pt-BR"/>
        </w:rPr>
      </w:pPr>
    </w:p>
    <w:p w:rsidR="00113634" w:rsidRPr="008D38F6" w:rsidRDefault="00113634" w:rsidP="00957DE8">
      <w:pPr>
        <w:tabs>
          <w:tab w:val="left" w:pos="1260"/>
        </w:tabs>
        <w:ind w:left="720"/>
        <w:rPr>
          <w:rFonts w:cs="Tahoma"/>
          <w:szCs w:val="18"/>
          <w:lang w:val="pt-BR"/>
        </w:rPr>
      </w:pPr>
      <w:r w:rsidRPr="008D38F6">
        <w:rPr>
          <w:rFonts w:cs="Tahoma"/>
          <w:szCs w:val="18"/>
          <w:u w:val="single"/>
          <w:lang w:val="pt-BR"/>
        </w:rPr>
        <w:t xml:space="preserve">Os clientes do Licenciamento por Volume para o Windows Essential Business Server (EBS) 2008 Premium </w:t>
      </w:r>
      <w:r w:rsidRPr="008D38F6">
        <w:rPr>
          <w:rFonts w:cs="Tahoma"/>
          <w:szCs w:val="18"/>
          <w:lang w:val="pt-BR"/>
        </w:rPr>
        <w:t>estarão adicionalmente qualificados para as seguintes licenças gratuitas para cada licença do EBS 2008 Premium com cobertura do Software Assurance ativa que tiverem a partir de 1° de julho de 2010:</w:t>
      </w:r>
    </w:p>
    <w:p w:rsidR="00A6493D" w:rsidRPr="003B577A" w:rsidRDefault="00A6493D" w:rsidP="00E63984">
      <w:pPr>
        <w:pStyle w:val="ListParagraph"/>
        <w:ind w:left="1620"/>
        <w:contextualSpacing w:val="0"/>
        <w:rPr>
          <w:rFonts w:ascii="Tahoma" w:hAnsi="Tahoma" w:cs="Tahoma"/>
          <w:sz w:val="18"/>
          <w:szCs w:val="18"/>
        </w:rPr>
      </w:pPr>
    </w:p>
    <w:p w:rsidR="00113634" w:rsidRPr="003B577A" w:rsidRDefault="00113634" w:rsidP="00957DE8">
      <w:pPr>
        <w:pStyle w:val="ListParagraph"/>
        <w:numPr>
          <w:ilvl w:val="0"/>
          <w:numId w:val="29"/>
        </w:numPr>
        <w:spacing w:after="60"/>
        <w:contextualSpacing w:val="0"/>
        <w:rPr>
          <w:rFonts w:ascii="Tahoma" w:hAnsi="Tahoma" w:cs="Tahoma"/>
          <w:sz w:val="18"/>
          <w:szCs w:val="18"/>
        </w:rPr>
      </w:pPr>
      <w:r w:rsidRPr="003B577A">
        <w:rPr>
          <w:rFonts w:ascii="Tahoma" w:hAnsi="Tahoma" w:cs="Tahoma"/>
          <w:sz w:val="18"/>
          <w:szCs w:val="18"/>
        </w:rPr>
        <w:t>4 licenças de software para o Windows Server 2008 R2 Standard</w:t>
      </w:r>
    </w:p>
    <w:p w:rsidR="00113634" w:rsidRPr="003B577A" w:rsidRDefault="00113634" w:rsidP="00957DE8">
      <w:pPr>
        <w:pStyle w:val="ListParagraph"/>
        <w:numPr>
          <w:ilvl w:val="0"/>
          <w:numId w:val="29"/>
        </w:numPr>
        <w:spacing w:after="60"/>
        <w:contextualSpacing w:val="0"/>
        <w:rPr>
          <w:rFonts w:ascii="Tahoma" w:hAnsi="Tahoma" w:cs="Tahoma"/>
          <w:sz w:val="18"/>
          <w:szCs w:val="18"/>
        </w:rPr>
      </w:pPr>
      <w:r w:rsidRPr="003B577A">
        <w:rPr>
          <w:rFonts w:ascii="Tahoma" w:hAnsi="Tahoma" w:cs="Tahoma"/>
          <w:sz w:val="18"/>
          <w:szCs w:val="18"/>
        </w:rPr>
        <w:t>1 licença de software para o SQL Server 2008 R2 Standard</w:t>
      </w:r>
    </w:p>
    <w:p w:rsidR="00113634" w:rsidRPr="003B577A" w:rsidRDefault="00113634" w:rsidP="00957DE8">
      <w:pPr>
        <w:pStyle w:val="ListParagraph"/>
        <w:numPr>
          <w:ilvl w:val="0"/>
          <w:numId w:val="29"/>
        </w:numPr>
        <w:spacing w:after="60"/>
        <w:contextualSpacing w:val="0"/>
        <w:rPr>
          <w:rFonts w:ascii="Tahoma" w:hAnsi="Tahoma" w:cs="Tahoma"/>
          <w:sz w:val="18"/>
          <w:szCs w:val="18"/>
        </w:rPr>
      </w:pPr>
      <w:r w:rsidRPr="003B577A">
        <w:rPr>
          <w:rFonts w:ascii="Tahoma" w:hAnsi="Tahoma" w:cs="Tahoma"/>
          <w:sz w:val="18"/>
          <w:szCs w:val="18"/>
        </w:rPr>
        <w:t>2 licenças de software para o Exchange Server 2010 Standard</w:t>
      </w:r>
    </w:p>
    <w:p w:rsidR="00113634" w:rsidRPr="003B577A" w:rsidRDefault="00113634" w:rsidP="00957DE8">
      <w:pPr>
        <w:pStyle w:val="ListParagraph"/>
        <w:numPr>
          <w:ilvl w:val="0"/>
          <w:numId w:val="29"/>
        </w:numPr>
        <w:spacing w:after="60"/>
        <w:contextualSpacing w:val="0"/>
        <w:rPr>
          <w:rFonts w:ascii="Tahoma" w:hAnsi="Tahoma" w:cs="Tahoma"/>
          <w:sz w:val="18"/>
          <w:szCs w:val="18"/>
        </w:rPr>
      </w:pPr>
      <w:r w:rsidRPr="003B577A">
        <w:rPr>
          <w:rFonts w:ascii="Tahoma" w:hAnsi="Tahoma" w:cs="Tahoma"/>
          <w:sz w:val="18"/>
          <w:szCs w:val="18"/>
        </w:rPr>
        <w:t>1 licença de software para o System Center Essentials 2010 e 10 licenças de gerenciamento de</w:t>
      </w:r>
      <w:r w:rsidR="003B577A" w:rsidRPr="008D38F6">
        <w:rPr>
          <w:rFonts w:ascii="Tahoma" w:hAnsi="Tahoma" w:cs="Tahoma"/>
          <w:sz w:val="18"/>
          <w:szCs w:val="18"/>
          <w:lang w:val="pt-BR"/>
        </w:rPr>
        <w:t> </w:t>
      </w:r>
      <w:r w:rsidRPr="003B577A">
        <w:rPr>
          <w:rFonts w:ascii="Tahoma" w:hAnsi="Tahoma" w:cs="Tahoma"/>
          <w:sz w:val="18"/>
          <w:szCs w:val="18"/>
        </w:rPr>
        <w:t>Servidor e 50 de Cliente</w:t>
      </w:r>
    </w:p>
    <w:p w:rsidR="00113634" w:rsidRPr="003B577A" w:rsidRDefault="00113634" w:rsidP="00957DE8">
      <w:pPr>
        <w:pStyle w:val="ListParagraph"/>
        <w:numPr>
          <w:ilvl w:val="0"/>
          <w:numId w:val="29"/>
        </w:numPr>
        <w:spacing w:after="60"/>
        <w:contextualSpacing w:val="0"/>
        <w:rPr>
          <w:rFonts w:ascii="Tahoma" w:hAnsi="Tahoma" w:cs="Tahoma"/>
          <w:sz w:val="18"/>
          <w:szCs w:val="18"/>
        </w:rPr>
      </w:pPr>
      <w:r w:rsidRPr="003B577A">
        <w:rPr>
          <w:rFonts w:ascii="Tahoma" w:hAnsi="Tahoma" w:cs="Tahoma"/>
          <w:sz w:val="18"/>
          <w:szCs w:val="18"/>
        </w:rPr>
        <w:t>1 licença de software para o Forefront Threat Management Gateway Medium Business 2010</w:t>
      </w:r>
    </w:p>
    <w:p w:rsidR="00113634" w:rsidRPr="003B577A" w:rsidRDefault="00113634" w:rsidP="00E63984">
      <w:pPr>
        <w:pStyle w:val="ListParagraph"/>
        <w:ind w:left="1620"/>
        <w:rPr>
          <w:rFonts w:ascii="Tahoma" w:hAnsi="Tahoma" w:cs="Tahoma"/>
          <w:sz w:val="18"/>
          <w:szCs w:val="18"/>
        </w:rPr>
      </w:pPr>
    </w:p>
    <w:p w:rsidR="00113634" w:rsidRPr="003B577A" w:rsidRDefault="00113634" w:rsidP="00957DE8">
      <w:pPr>
        <w:pStyle w:val="ListParagraph"/>
        <w:rPr>
          <w:rFonts w:ascii="Tahoma" w:hAnsi="Tahoma" w:cs="Tahoma"/>
          <w:sz w:val="18"/>
          <w:szCs w:val="18"/>
        </w:rPr>
      </w:pPr>
      <w:r w:rsidRPr="003B577A">
        <w:rPr>
          <w:rFonts w:ascii="Tahoma" w:hAnsi="Tahoma" w:cs="Tahoma"/>
          <w:sz w:val="18"/>
          <w:szCs w:val="18"/>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rsidR="00113634" w:rsidRPr="003B577A" w:rsidRDefault="00113634" w:rsidP="00EF2279">
      <w:pPr>
        <w:pStyle w:val="ListParagraph"/>
        <w:ind w:left="1260"/>
        <w:rPr>
          <w:rFonts w:ascii="Tahoma" w:hAnsi="Tahoma" w:cs="Tahoma"/>
          <w:sz w:val="18"/>
          <w:szCs w:val="18"/>
        </w:rPr>
      </w:pPr>
    </w:p>
    <w:p w:rsidR="00113634" w:rsidRPr="008D38F6" w:rsidRDefault="00113634" w:rsidP="00957DE8">
      <w:pPr>
        <w:ind w:left="720"/>
        <w:rPr>
          <w:rFonts w:cs="Tahoma"/>
          <w:szCs w:val="18"/>
          <w:lang w:val="pt-BR"/>
        </w:rPr>
      </w:pPr>
      <w:r w:rsidRPr="008D38F6">
        <w:rPr>
          <w:rFonts w:cs="Tahoma"/>
          <w:szCs w:val="18"/>
          <w:lang w:val="pt-BR"/>
        </w:rPr>
        <w:t>O contrato de Licenciamento por Volume dos clientes e esta nota de condição do produto são evidências dessas licenças gratuitas.</w:t>
      </w:r>
      <w:r w:rsidR="00FB5496" w:rsidRPr="008D38F6">
        <w:rPr>
          <w:rFonts w:cs="Tahoma"/>
          <w:szCs w:val="18"/>
          <w:lang w:val="pt-BR"/>
        </w:rPr>
        <w:t xml:space="preserve"> </w:t>
      </w:r>
      <w:r w:rsidRPr="008D38F6">
        <w:rPr>
          <w:rFonts w:cs="Tahoma"/>
          <w:szCs w:val="18"/>
          <w:lang w:val="pt-BR"/>
        </w:rPr>
        <w:t>O uso do software sob as licenças gratuitas está sujeito aos termos e condições do contrato celebrado pelos clientes e aos direitos de uso dos produtos individuais.</w:t>
      </w:r>
      <w:r w:rsidR="00FB5496" w:rsidRPr="008D38F6">
        <w:rPr>
          <w:rFonts w:cs="Tahoma"/>
          <w:szCs w:val="18"/>
          <w:lang w:val="pt-BR"/>
        </w:rPr>
        <w:t xml:space="preserve"> </w:t>
      </w:r>
      <w:r w:rsidRPr="008D38F6">
        <w:rPr>
          <w:rFonts w:cs="Tahoma"/>
          <w:szCs w:val="18"/>
          <w:lang w:val="pt-BR"/>
        </w:rPr>
        <w:t>Salvo no caso do Forefront Protection for Exchange Server 2010, o direito de usar o software sob as licenças gratuitas expirará quando o direito de usar o software sob as licenças qualificadas expirar.</w:t>
      </w:r>
      <w:r w:rsidR="00FB5496" w:rsidRPr="008D38F6">
        <w:rPr>
          <w:rFonts w:cs="Tahoma"/>
          <w:szCs w:val="18"/>
          <w:lang w:val="pt-BR"/>
        </w:rPr>
        <w:t xml:space="preserve"> </w:t>
      </w:r>
      <w:r w:rsidRPr="008D38F6">
        <w:rPr>
          <w:rFonts w:cs="Tahoma"/>
          <w:szCs w:val="18"/>
          <w:lang w:val="pt-BR"/>
        </w:rPr>
        <w:t>O direito de usar o Forefront Protection for Exchange Server 2010 expirará em caso de término da cobertura do Software Assurance sobre as licenças qualificadas.</w:t>
      </w:r>
      <w:r w:rsidR="00FB5496" w:rsidRPr="008D38F6">
        <w:rPr>
          <w:rFonts w:cs="Tahoma"/>
          <w:szCs w:val="18"/>
          <w:lang w:val="pt-BR"/>
        </w:rPr>
        <w:t xml:space="preserve"> </w:t>
      </w:r>
      <w:r w:rsidRPr="008D38F6">
        <w:rPr>
          <w:rFonts w:cs="Tahoma"/>
          <w:szCs w:val="18"/>
          <w:lang w:val="pt-BR"/>
        </w:rPr>
        <w:t>Em todos os casos, as licenças gratuitas não poderão ser transferidas separadamente das licenças qualificadas.</w:t>
      </w:r>
    </w:p>
    <w:p w:rsidR="00113634" w:rsidRPr="008D38F6" w:rsidRDefault="00113634" w:rsidP="00E63984">
      <w:pPr>
        <w:pStyle w:val="ListParagraph"/>
        <w:ind w:left="1800"/>
        <w:rPr>
          <w:rFonts w:ascii="Tahoma" w:hAnsi="Tahoma" w:cs="Tahoma"/>
          <w:sz w:val="18"/>
          <w:szCs w:val="18"/>
          <w:lang w:val="pt-BR"/>
        </w:rPr>
      </w:pPr>
    </w:p>
    <w:p w:rsidR="00A76730" w:rsidRPr="008D38F6" w:rsidRDefault="00A76730" w:rsidP="00E63984">
      <w:pPr>
        <w:pStyle w:val="ListParagraph"/>
        <w:ind w:left="1800"/>
        <w:rPr>
          <w:rFonts w:ascii="Tahoma" w:hAnsi="Tahoma" w:cs="Tahoma"/>
          <w:sz w:val="18"/>
          <w:szCs w:val="18"/>
          <w:lang w:val="pt-BR"/>
        </w:rPr>
      </w:pPr>
    </w:p>
    <w:p w:rsidR="00113634" w:rsidRPr="003B577A" w:rsidRDefault="00113634" w:rsidP="00957DE8">
      <w:pPr>
        <w:pStyle w:val="ListParagraph"/>
        <w:spacing w:after="60"/>
        <w:contextualSpacing w:val="0"/>
        <w:rPr>
          <w:rFonts w:ascii="Tahoma" w:hAnsi="Tahoma" w:cs="Tahoma"/>
          <w:sz w:val="18"/>
          <w:szCs w:val="18"/>
        </w:rPr>
      </w:pPr>
      <w:r w:rsidRPr="003B577A">
        <w:rPr>
          <w:rFonts w:ascii="Tahoma" w:hAnsi="Tahoma" w:cs="Tahoma"/>
          <w:b/>
          <w:sz w:val="18"/>
          <w:szCs w:val="18"/>
        </w:rPr>
        <w:t>Direitos de uso adicionais para CALs do Windows Essential Business Server (EBS) 2008</w:t>
      </w:r>
    </w:p>
    <w:p w:rsidR="00113634" w:rsidRPr="008D38F6" w:rsidRDefault="00113634" w:rsidP="00957DE8">
      <w:pPr>
        <w:ind w:left="720"/>
        <w:rPr>
          <w:rFonts w:cs="Tahoma"/>
          <w:szCs w:val="18"/>
          <w:lang w:val="pt-BR"/>
        </w:rPr>
      </w:pPr>
      <w:r w:rsidRPr="008D38F6">
        <w:rPr>
          <w:rFonts w:cs="Tahoma"/>
          <w:szCs w:val="18"/>
          <w:lang w:val="pt-BR"/>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rsidR="00113634" w:rsidRPr="008D38F6" w:rsidRDefault="00113634" w:rsidP="00EF2279">
      <w:pPr>
        <w:tabs>
          <w:tab w:val="left" w:pos="1260"/>
        </w:tabs>
        <w:ind w:left="1260"/>
        <w:rPr>
          <w:rFonts w:cs="Tahoma"/>
          <w:szCs w:val="18"/>
          <w:lang w:val="pt-BR"/>
        </w:rPr>
      </w:pPr>
    </w:p>
    <w:p w:rsidR="00113634" w:rsidRPr="008D38F6" w:rsidRDefault="00113634" w:rsidP="00957DE8">
      <w:pPr>
        <w:tabs>
          <w:tab w:val="left" w:pos="1260"/>
        </w:tabs>
        <w:ind w:left="720"/>
        <w:rPr>
          <w:rFonts w:cs="Tahoma"/>
          <w:szCs w:val="18"/>
          <w:lang w:val="pt-BR"/>
        </w:rPr>
      </w:pPr>
      <w:r w:rsidRPr="008D38F6">
        <w:rPr>
          <w:rFonts w:cs="Tahoma"/>
          <w:szCs w:val="18"/>
          <w:lang w:val="pt-BR"/>
        </w:rPr>
        <w:t>Para clientes com CALs do Windows Essential Business Server (EBS) 2008 com cobertura do Software Assurance ativa a partir de 1</w:t>
      </w:r>
      <w:r w:rsidRPr="008D38F6">
        <w:rPr>
          <w:rFonts w:cs="Tahoma"/>
          <w:szCs w:val="18"/>
          <w:vertAlign w:val="superscript"/>
          <w:lang w:val="pt-BR"/>
        </w:rPr>
        <w:t>°</w:t>
      </w:r>
      <w:r w:rsidRPr="008D38F6">
        <w:rPr>
          <w:rFonts w:cs="Tahoma"/>
          <w:szCs w:val="18"/>
          <w:lang w:val="pt-BR"/>
        </w:rPr>
        <w:t xml:space="preserve"> de julho de 2010:</w:t>
      </w:r>
    </w:p>
    <w:p w:rsidR="00A6493D" w:rsidRPr="003B577A" w:rsidRDefault="00A6493D" w:rsidP="00EF2279">
      <w:pPr>
        <w:pStyle w:val="ListParagraph"/>
        <w:tabs>
          <w:tab w:val="left" w:pos="1260"/>
        </w:tabs>
        <w:ind w:left="1260"/>
        <w:contextualSpacing w:val="0"/>
        <w:rPr>
          <w:rFonts w:ascii="Tahoma" w:hAnsi="Tahoma" w:cs="Tahoma"/>
          <w:sz w:val="18"/>
          <w:szCs w:val="18"/>
        </w:rPr>
      </w:pPr>
    </w:p>
    <w:p w:rsidR="00113634" w:rsidRPr="003B577A"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3B577A">
        <w:rPr>
          <w:rFonts w:ascii="Tahoma" w:hAnsi="Tahoma" w:cs="Tahoma"/>
          <w:sz w:val="18"/>
          <w:szCs w:val="18"/>
        </w:rPr>
        <w:t>Para cada EBS 2008 CAL Suite com cobertura do Software Assurance ativa a partir de 1</w:t>
      </w:r>
      <w:r w:rsidRPr="003B577A">
        <w:rPr>
          <w:rFonts w:ascii="Tahoma" w:hAnsi="Tahoma" w:cs="Tahoma"/>
          <w:sz w:val="18"/>
          <w:szCs w:val="18"/>
          <w:vertAlign w:val="superscript"/>
        </w:rPr>
        <w:t>°</w:t>
      </w:r>
      <w:r w:rsidRPr="003B577A">
        <w:rPr>
          <w:rFonts w:ascii="Tahoma" w:hAnsi="Tahoma" w:cs="Tahoma"/>
          <w:sz w:val="18"/>
          <w:szCs w:val="18"/>
        </w:rPr>
        <w:t xml:space="preserve"> de julho de 2010 que tiver, o cliente estará qualificado para as seguintes licenças gratuitas:</w:t>
      </w:r>
    </w:p>
    <w:p w:rsidR="00113634" w:rsidRPr="003B577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3B577A">
        <w:rPr>
          <w:rFonts w:ascii="Tahoma" w:hAnsi="Tahoma" w:cs="Tahoma"/>
          <w:sz w:val="18"/>
          <w:szCs w:val="18"/>
        </w:rPr>
        <w:t>1 CAL do Windows Server 2008</w:t>
      </w:r>
    </w:p>
    <w:p w:rsidR="00113634" w:rsidRPr="003B577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3B577A">
        <w:rPr>
          <w:rFonts w:ascii="Tahoma" w:hAnsi="Tahoma" w:cs="Tahoma"/>
          <w:sz w:val="18"/>
          <w:szCs w:val="18"/>
        </w:rPr>
        <w:t>1 CAL do Exchange Server 2010 Standard</w:t>
      </w:r>
    </w:p>
    <w:p w:rsidR="00113634" w:rsidRPr="003B577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3B577A">
        <w:rPr>
          <w:rFonts w:ascii="Tahoma" w:hAnsi="Tahoma" w:cs="Tahoma"/>
          <w:sz w:val="18"/>
          <w:szCs w:val="18"/>
        </w:rPr>
        <w:t>1 licença de assinatura de dispositivo ou usuário para o Forefront Protection for Exchange Server 2010</w:t>
      </w:r>
    </w:p>
    <w:p w:rsidR="00A6493D" w:rsidRPr="003B577A" w:rsidRDefault="00A6493D" w:rsidP="00A434A4">
      <w:pPr>
        <w:pStyle w:val="ListParagraph"/>
        <w:tabs>
          <w:tab w:val="num" w:pos="1800"/>
        </w:tabs>
        <w:spacing w:after="60"/>
        <w:ind w:left="1800"/>
        <w:contextualSpacing w:val="0"/>
        <w:rPr>
          <w:rFonts w:ascii="Tahoma" w:hAnsi="Tahoma" w:cs="Tahoma"/>
          <w:sz w:val="18"/>
          <w:szCs w:val="18"/>
        </w:rPr>
      </w:pPr>
    </w:p>
    <w:p w:rsidR="00113634" w:rsidRPr="003B577A"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3B577A">
        <w:rPr>
          <w:rFonts w:ascii="Tahoma" w:hAnsi="Tahoma" w:cs="Tahoma"/>
          <w:sz w:val="18"/>
          <w:szCs w:val="18"/>
        </w:rPr>
        <w:t>Para cada EBS 2008 CAL Suite para Usuários e Dispositivos Premium com cobertura do Software Assurance ativa a partir de 1° de julho de 2010 que tiver, o cliente estará qualificado para as seguintes licenças gratuitas:</w:t>
      </w:r>
    </w:p>
    <w:p w:rsidR="00113634" w:rsidRPr="003B577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3B577A">
        <w:rPr>
          <w:rFonts w:ascii="Tahoma" w:hAnsi="Tahoma" w:cs="Tahoma"/>
          <w:sz w:val="18"/>
          <w:szCs w:val="18"/>
        </w:rPr>
        <w:t>CAL do Windows Server 2008</w:t>
      </w:r>
    </w:p>
    <w:p w:rsidR="00113634" w:rsidRPr="003B577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3B577A">
        <w:rPr>
          <w:rFonts w:ascii="Tahoma" w:hAnsi="Tahoma" w:cs="Tahoma"/>
          <w:sz w:val="18"/>
          <w:szCs w:val="18"/>
        </w:rPr>
        <w:t>CAL do Exchange Server 2010 Standard</w:t>
      </w:r>
    </w:p>
    <w:p w:rsidR="002512D3" w:rsidRPr="003B577A" w:rsidRDefault="00113634" w:rsidP="003165D6">
      <w:pPr>
        <w:pStyle w:val="ListParagraph"/>
        <w:numPr>
          <w:ilvl w:val="1"/>
          <w:numId w:val="147"/>
        </w:numPr>
        <w:tabs>
          <w:tab w:val="clear" w:pos="720"/>
        </w:tabs>
        <w:spacing w:after="60"/>
        <w:ind w:left="1980"/>
        <w:contextualSpacing w:val="0"/>
        <w:rPr>
          <w:rFonts w:ascii="Tahoma" w:hAnsi="Tahoma" w:cs="Tahoma"/>
          <w:sz w:val="18"/>
          <w:szCs w:val="18"/>
        </w:rPr>
      </w:pPr>
      <w:r w:rsidRPr="003B577A">
        <w:rPr>
          <w:rFonts w:ascii="Tahoma" w:hAnsi="Tahoma" w:cs="Tahoma"/>
          <w:sz w:val="18"/>
          <w:szCs w:val="18"/>
        </w:rPr>
        <w:t>CAL do SQL Server 2008 R2</w:t>
      </w:r>
    </w:p>
    <w:p w:rsidR="00113634" w:rsidRPr="003B577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3B577A">
        <w:rPr>
          <w:rFonts w:ascii="Tahoma" w:hAnsi="Tahoma" w:cs="Tahoma"/>
          <w:sz w:val="18"/>
          <w:szCs w:val="18"/>
        </w:rPr>
        <w:t>1 licença de assinatura de dispositivo ou usuário para o Forefront Protection for Exchange Server 2010</w:t>
      </w:r>
    </w:p>
    <w:p w:rsidR="003B577A" w:rsidRPr="008D38F6" w:rsidRDefault="003B577A" w:rsidP="00A434A4">
      <w:pPr>
        <w:pStyle w:val="ListParagraph"/>
        <w:spacing w:after="60"/>
        <w:ind w:left="1980"/>
        <w:contextualSpacing w:val="0"/>
        <w:rPr>
          <w:rFonts w:ascii="Tahoma" w:hAnsi="Tahoma" w:cs="Tahoma"/>
          <w:sz w:val="18"/>
          <w:szCs w:val="18"/>
          <w:lang w:val="pt-BR"/>
        </w:rPr>
      </w:pPr>
    </w:p>
    <w:p w:rsidR="00113634" w:rsidRPr="00A76730" w:rsidRDefault="00113634" w:rsidP="00A434A4">
      <w:pPr>
        <w:pStyle w:val="ListParagraph"/>
        <w:spacing w:after="60"/>
        <w:ind w:left="1980"/>
        <w:contextualSpacing w:val="0"/>
        <w:rPr>
          <w:rFonts w:ascii="Tahoma" w:hAnsi="Tahoma" w:cs="Tahoma"/>
          <w:sz w:val="18"/>
          <w:szCs w:val="18"/>
        </w:rPr>
      </w:pPr>
      <w:r w:rsidRPr="00A76730">
        <w:rPr>
          <w:rFonts w:ascii="Tahoma" w:hAnsi="Tahoma" w:cs="Tahoma"/>
          <w:sz w:val="18"/>
          <w:szCs w:val="18"/>
        </w:rPr>
        <w:t>(Se uma nova versão desses produtos estiver disponível sob o programa de Licenciamento por Volume sob o qual um cliente adquiriu as licenças qualificadas antes do término da cobertura do Software Assurance ativa para a CAL do EBS 2008 qualificada, o cliente estará</w:t>
      </w:r>
      <w:r w:rsidR="003B577A" w:rsidRPr="008D38F6">
        <w:rPr>
          <w:rFonts w:ascii="Tahoma" w:hAnsi="Tahoma" w:cs="Tahoma"/>
          <w:sz w:val="18"/>
          <w:szCs w:val="18"/>
          <w:lang w:val="pt-BR"/>
        </w:rPr>
        <w:t> </w:t>
      </w:r>
      <w:r w:rsidRPr="00A76730">
        <w:rPr>
          <w:rFonts w:ascii="Tahoma" w:hAnsi="Tahoma" w:cs="Tahoma"/>
          <w:sz w:val="18"/>
          <w:szCs w:val="18"/>
        </w:rPr>
        <w:t>qualificado para CALs correspondentes a essa nova versão.)</w:t>
      </w:r>
    </w:p>
    <w:p w:rsidR="00113634" w:rsidRPr="008D38F6" w:rsidRDefault="00113634" w:rsidP="00113634">
      <w:pPr>
        <w:rPr>
          <w:lang w:val="pt-BR"/>
        </w:rPr>
      </w:pPr>
    </w:p>
    <w:p w:rsidR="001E3F07" w:rsidRPr="008D38F6" w:rsidRDefault="00113634" w:rsidP="00A76730">
      <w:pPr>
        <w:ind w:left="720"/>
        <w:rPr>
          <w:lang w:val="pt-BR"/>
        </w:rPr>
      </w:pPr>
      <w:r w:rsidRPr="008D38F6">
        <w:rPr>
          <w:rFonts w:cs="Tahoma"/>
          <w:szCs w:val="18"/>
          <w:lang w:val="pt-BR"/>
        </w:rPr>
        <w:t>O contrato de Licenciamento por Volume dos clientes e esta nota de condição do produto são evidências dessas CALs gratuitas.</w:t>
      </w:r>
      <w:r w:rsidR="00FB5496" w:rsidRPr="008D38F6">
        <w:rPr>
          <w:rFonts w:cs="Tahoma"/>
          <w:szCs w:val="18"/>
          <w:lang w:val="pt-BR"/>
        </w:rPr>
        <w:t xml:space="preserve"> </w:t>
      </w:r>
      <w:r w:rsidRPr="008D38F6">
        <w:rPr>
          <w:rFonts w:cs="Tahoma"/>
          <w:szCs w:val="18"/>
          <w:lang w:val="pt-BR"/>
        </w:rPr>
        <w:t>O uso do software sob as CALs gratuitas está sujeito aos termos e condições do</w:t>
      </w:r>
      <w:r w:rsidR="00185DE6" w:rsidRPr="008D38F6">
        <w:rPr>
          <w:rFonts w:cs="Tahoma"/>
          <w:szCs w:val="18"/>
          <w:lang w:val="pt-BR"/>
        </w:rPr>
        <w:t> </w:t>
      </w:r>
      <w:r w:rsidRPr="008D38F6">
        <w:rPr>
          <w:rFonts w:cs="Tahoma"/>
          <w:szCs w:val="18"/>
          <w:lang w:val="pt-BR"/>
        </w:rPr>
        <w:t>contrato celebrado pelos clientes e aos direitos de uso dos produtos individuais.</w:t>
      </w:r>
      <w:r w:rsidR="00FB5496" w:rsidRPr="008D38F6">
        <w:rPr>
          <w:rFonts w:cs="Tahoma"/>
          <w:szCs w:val="18"/>
          <w:lang w:val="pt-BR"/>
        </w:rPr>
        <w:t xml:space="preserve"> </w:t>
      </w:r>
      <w:r w:rsidRPr="008D38F6">
        <w:rPr>
          <w:rFonts w:cs="Tahoma"/>
          <w:szCs w:val="18"/>
          <w:lang w:val="pt-BR"/>
        </w:rPr>
        <w:t>O direito de usar</w:t>
      </w:r>
      <w:r w:rsidR="00A76730" w:rsidRPr="008D38F6">
        <w:rPr>
          <w:rFonts w:cs="Tahoma"/>
          <w:szCs w:val="18"/>
          <w:lang w:val="pt-BR"/>
        </w:rPr>
        <w:t> </w:t>
      </w:r>
      <w:r w:rsidRPr="008D38F6">
        <w:rPr>
          <w:rFonts w:cs="Tahoma"/>
          <w:szCs w:val="18"/>
          <w:lang w:val="pt-BR"/>
        </w:rPr>
        <w:t>o</w:t>
      </w:r>
      <w:r w:rsidR="00185DE6" w:rsidRPr="008D38F6">
        <w:rPr>
          <w:rFonts w:cs="Tahoma"/>
          <w:szCs w:val="18"/>
          <w:lang w:val="pt-BR"/>
        </w:rPr>
        <w:t> </w:t>
      </w:r>
      <w:r w:rsidRPr="008D38F6">
        <w:rPr>
          <w:rFonts w:cs="Tahoma"/>
          <w:szCs w:val="18"/>
          <w:lang w:val="pt-BR"/>
        </w:rPr>
        <w:t>software</w:t>
      </w:r>
      <w:r w:rsidR="003B577A" w:rsidRPr="008D38F6">
        <w:rPr>
          <w:rFonts w:cs="Tahoma"/>
          <w:szCs w:val="18"/>
          <w:lang w:val="pt-BR"/>
        </w:rPr>
        <w:t> </w:t>
      </w:r>
      <w:r w:rsidRPr="008D38F6">
        <w:rPr>
          <w:rFonts w:cs="Tahoma"/>
          <w:szCs w:val="18"/>
          <w:lang w:val="pt-BR"/>
        </w:rPr>
        <w:t>sob as CALs gratuitas expirará quando o direito de usar o software sob as CALs qualificadas</w:t>
      </w:r>
      <w:r w:rsidR="00185DE6" w:rsidRPr="008D38F6">
        <w:rPr>
          <w:rFonts w:cs="Tahoma"/>
          <w:szCs w:val="18"/>
          <w:lang w:val="pt-BR"/>
        </w:rPr>
        <w:t> </w:t>
      </w:r>
      <w:r w:rsidRPr="008D38F6">
        <w:rPr>
          <w:rFonts w:cs="Tahoma"/>
          <w:szCs w:val="18"/>
          <w:lang w:val="pt-BR"/>
        </w:rPr>
        <w:t>expirar.</w:t>
      </w:r>
      <w:r w:rsidR="00FB5496" w:rsidRPr="008D38F6">
        <w:rPr>
          <w:rFonts w:cs="Tahoma"/>
          <w:szCs w:val="18"/>
          <w:lang w:val="pt-BR"/>
        </w:rPr>
        <w:t xml:space="preserve"> </w:t>
      </w:r>
      <w:r w:rsidRPr="008D38F6">
        <w:rPr>
          <w:rFonts w:cs="Tahoma"/>
          <w:szCs w:val="18"/>
          <w:lang w:val="pt-BR"/>
        </w:rPr>
        <w:t>Em todos os casos, as CALs gratuitas não poderão ser transferidas separadamente</w:t>
      </w:r>
      <w:r w:rsidR="00185DE6" w:rsidRPr="008D38F6">
        <w:rPr>
          <w:rFonts w:cs="Tahoma"/>
          <w:szCs w:val="18"/>
          <w:lang w:val="pt-BR"/>
        </w:rPr>
        <w:t> </w:t>
      </w:r>
      <w:r w:rsidRPr="008D38F6">
        <w:rPr>
          <w:rFonts w:cs="Tahoma"/>
          <w:szCs w:val="18"/>
          <w:lang w:val="pt-BR"/>
        </w:rPr>
        <w:t>das</w:t>
      </w:r>
      <w:r w:rsidR="00185DE6" w:rsidRPr="008D38F6">
        <w:rPr>
          <w:rFonts w:cs="Tahoma"/>
          <w:szCs w:val="18"/>
          <w:lang w:val="pt-BR"/>
        </w:rPr>
        <w:t> </w:t>
      </w:r>
      <w:r w:rsidRPr="008D38F6">
        <w:rPr>
          <w:rFonts w:cs="Tahoma"/>
          <w:szCs w:val="18"/>
          <w:lang w:val="pt-BR"/>
        </w:rPr>
        <w:t>CALs qualificadas.</w:t>
      </w:r>
      <w:bookmarkStart w:id="1501" w:name="_107_Windows_Azure"/>
      <w:bookmarkEnd w:id="1501"/>
    </w:p>
    <w:p w:rsidR="00113634" w:rsidRPr="008D38F6" w:rsidRDefault="00113634" w:rsidP="00113634">
      <w:pPr>
        <w:rPr>
          <w:lang w:val="pt-BR"/>
        </w:rPr>
      </w:pPr>
    </w:p>
    <w:p w:rsidR="00DE0D10" w:rsidRPr="008D38F6" w:rsidRDefault="00DE0D10" w:rsidP="00957DE8">
      <w:pPr>
        <w:rPr>
          <w:lang w:val="pt-BR"/>
        </w:rPr>
      </w:pPr>
    </w:p>
    <w:p w:rsidR="00023FE7" w:rsidRPr="00416070" w:rsidRDefault="00BA29A7" w:rsidP="00EF2279">
      <w:pPr>
        <w:pStyle w:val="Heading3"/>
      </w:pPr>
      <w:bookmarkStart w:id="1502" w:name="Srv_109HPCServer2008_R2Suite"/>
      <w:bookmarkStart w:id="1503" w:name="_Toc336338365"/>
      <w:bookmarkStart w:id="1504" w:name="_Toc352234424"/>
      <w:bookmarkStart w:id="1505" w:name="Srv_96WindowsHighPerfCompSvr08"/>
      <w:bookmarkStart w:id="1506" w:name="Srv_94HPCServer2008_R2Suite"/>
      <w:bookmarkStart w:id="1507" w:name="Srv_106HPCServer2008_R2Suite"/>
      <w:r w:rsidRPr="00416070">
        <w:rPr>
          <w:rFonts w:ascii="Tahoma" w:hAnsi="Tahoma"/>
          <w:caps/>
          <w:color w:val="F66400"/>
          <w:sz w:val="22"/>
          <w:vertAlign w:val="superscript"/>
        </w:rPr>
        <w:t>98</w:t>
      </w:r>
      <w:r w:rsidRPr="00615CB9">
        <w:rPr>
          <w:rFonts w:ascii="Tahoma" w:hAnsi="Tahoma"/>
          <w:caps/>
          <w:color w:val="F66400"/>
          <w:sz w:val="22"/>
        </w:rPr>
        <w:t xml:space="preserve"> </w:t>
      </w:r>
      <w:r w:rsidRPr="00416070">
        <w:rPr>
          <w:rFonts w:ascii="Tahoma" w:hAnsi="Tahoma"/>
          <w:color w:val="F66400"/>
          <w:sz w:val="22"/>
        </w:rPr>
        <w:t>Windows HPC Server 2008 R2 Suite</w:t>
      </w:r>
      <w:bookmarkEnd w:id="1502"/>
      <w:bookmarkEnd w:id="1503"/>
      <w:bookmarkEnd w:id="1504"/>
    </w:p>
    <w:bookmarkEnd w:id="1505"/>
    <w:bookmarkEnd w:id="1506"/>
    <w:bookmarkEnd w:id="1507"/>
    <w:p w:rsidR="00023FE7" w:rsidRPr="00A76730" w:rsidRDefault="00023FE7" w:rsidP="00A434A4">
      <w:pPr>
        <w:pStyle w:val="EndnoteText"/>
        <w:rPr>
          <w:rFonts w:ascii="Tahoma" w:hAnsi="Tahoma" w:cs="Tahoma"/>
          <w:sz w:val="18"/>
          <w:szCs w:val="18"/>
        </w:rPr>
      </w:pPr>
    </w:p>
    <w:p w:rsidR="00A434A4" w:rsidRPr="008D38F6" w:rsidRDefault="001978C7" w:rsidP="00A434A4">
      <w:pPr>
        <w:spacing w:after="60"/>
        <w:ind w:left="720"/>
        <w:rPr>
          <w:lang w:val="pt-BR"/>
        </w:rPr>
      </w:pPr>
      <w:r w:rsidRPr="008D38F6">
        <w:rPr>
          <w:b/>
          <w:color w:val="000000"/>
          <w:lang w:val="pt-BR"/>
        </w:rPr>
        <w:t>Outorgas de licença associadas ao término da validade da edição do HPC Server Suite</w:t>
      </w:r>
    </w:p>
    <w:p w:rsidR="001978C7" w:rsidRPr="008D38F6" w:rsidRDefault="001978C7" w:rsidP="00A76730">
      <w:pPr>
        <w:ind w:left="720"/>
        <w:rPr>
          <w:spacing w:val="-1"/>
          <w:lang w:val="pt-BR"/>
        </w:rPr>
      </w:pPr>
      <w:r w:rsidRPr="008D38F6">
        <w:rPr>
          <w:color w:val="000000"/>
          <w:spacing w:val="-1"/>
          <w:lang w:val="pt-BR"/>
        </w:rPr>
        <w:t xml:space="preserve">O HPC Server Suite 2008 R2 será a última versão do HPC Server Suite. Os clientes de licenciamento por volume com Software Assurance ativo para licenças do HPC Server Suite em </w:t>
      </w:r>
      <w:r w:rsidR="00EB0F1B" w:rsidRPr="008D38F6">
        <w:rPr>
          <w:color w:val="000000"/>
          <w:spacing w:val="-1"/>
          <w:lang w:val="pt-BR"/>
        </w:rPr>
        <w:t>1</w:t>
      </w:r>
      <w:r w:rsidR="00EB0F1B" w:rsidRPr="008D38F6">
        <w:rPr>
          <w:color w:val="000000"/>
          <w:spacing w:val="-1"/>
          <w:vertAlign w:val="superscript"/>
          <w:lang w:val="pt-BR"/>
        </w:rPr>
        <w:t>º</w:t>
      </w:r>
      <w:r w:rsidRPr="008D38F6">
        <w:rPr>
          <w:color w:val="000000"/>
          <w:spacing w:val="-1"/>
          <w:lang w:val="pt-BR"/>
        </w:rPr>
        <w:t xml:space="preserve"> de setembro de 2012 ou a</w:t>
      </w:r>
      <w:r w:rsidR="00A76730" w:rsidRPr="008D38F6">
        <w:rPr>
          <w:color w:val="000000"/>
          <w:spacing w:val="-1"/>
          <w:lang w:val="pt-BR"/>
        </w:rPr>
        <w:t> </w:t>
      </w:r>
      <w:r w:rsidRPr="008D38F6">
        <w:rPr>
          <w:color w:val="000000"/>
          <w:spacing w:val="-1"/>
          <w:lang w:val="pt-BR"/>
        </w:rPr>
        <w:t>partir da data da primeira disponibilização do Windows Server 2012 para download no Volume Licensing Service Center (Centro de Atendimento de Licenciamento por Volume), o que ocorrer primeiro, (“Licenças Qualificadas”) poderão</w:t>
      </w:r>
      <w:r w:rsidRPr="008D38F6">
        <w:rPr>
          <w:rFonts w:eastAsia="Calibri" w:cs="Tahoma"/>
          <w:spacing w:val="-1"/>
          <w:szCs w:val="18"/>
          <w:lang w:val="pt-BR"/>
        </w:rPr>
        <w:t xml:space="preserve"> atualizar para e usar o software Windows Server 2012 Standard em vez do HPC Server Suite. Para facilitar essa atualização, para cada Licença Qualificada que o cliente possui, ele terá uma licença do processador Windows Server 2012 Standard mediante a disponibilização do Windows Server 2012.</w:t>
      </w:r>
    </w:p>
    <w:p w:rsidR="00A434A4" w:rsidRPr="008D38F6" w:rsidRDefault="00A434A4" w:rsidP="00A434A4">
      <w:pPr>
        <w:ind w:left="720"/>
        <w:rPr>
          <w:lang w:val="pt-BR"/>
        </w:rPr>
      </w:pPr>
    </w:p>
    <w:p w:rsidR="001978C7" w:rsidRPr="008D38F6" w:rsidRDefault="001978C7" w:rsidP="00A434A4">
      <w:pPr>
        <w:numPr>
          <w:ilvl w:val="0"/>
          <w:numId w:val="66"/>
        </w:numPr>
        <w:tabs>
          <w:tab w:val="left" w:pos="1440"/>
        </w:tabs>
        <w:spacing w:after="60"/>
        <w:ind w:left="1440"/>
        <w:rPr>
          <w:lang w:val="pt-BR"/>
        </w:rPr>
      </w:pPr>
      <w:r w:rsidRPr="008D38F6">
        <w:rPr>
          <w:rFonts w:eastAsia="Calibri" w:cs="Tahoma"/>
          <w:szCs w:val="18"/>
          <w:lang w:val="pt-BR"/>
        </w:rPr>
        <w:t>As licenças adquiridas sob esta concessão incluirão cobertura do Software Assurance.</w:t>
      </w:r>
      <w:r w:rsidR="00FB5496" w:rsidRPr="008D38F6">
        <w:rPr>
          <w:rFonts w:eastAsia="Calibri" w:cs="Tahoma"/>
          <w:szCs w:val="18"/>
          <w:lang w:val="pt-BR"/>
        </w:rPr>
        <w:t xml:space="preserve"> </w:t>
      </w:r>
      <w:r w:rsidRPr="008D38F6">
        <w:rPr>
          <w:rFonts w:eastAsia="Calibri" w:cs="Tahoma"/>
          <w:szCs w:val="18"/>
          <w:lang w:val="pt-BR"/>
        </w:rPr>
        <w:t>Tal cobertura expira quando a cobertura correspondente nas Licenças Qualificadas expirar.</w:t>
      </w:r>
    </w:p>
    <w:p w:rsidR="001978C7" w:rsidRPr="008D38F6" w:rsidRDefault="001978C7" w:rsidP="00A434A4">
      <w:pPr>
        <w:numPr>
          <w:ilvl w:val="0"/>
          <w:numId w:val="66"/>
        </w:numPr>
        <w:tabs>
          <w:tab w:val="left" w:pos="1440"/>
        </w:tabs>
        <w:spacing w:after="60"/>
        <w:ind w:left="1440"/>
        <w:rPr>
          <w:lang w:val="pt-BR"/>
        </w:rPr>
      </w:pPr>
      <w:r w:rsidRPr="008D38F6">
        <w:rPr>
          <w:rFonts w:eastAsia="Calibri" w:cs="Tahoma"/>
          <w:szCs w:val="18"/>
          <w:lang w:val="pt-BR"/>
        </w:rPr>
        <w:t>Se os clientes adquiriram direitos perpétuos para usar o software sob as Licenças Qualificadas, as</w:t>
      </w:r>
      <w:r w:rsidR="00185DE6" w:rsidRPr="008D38F6">
        <w:rPr>
          <w:rFonts w:eastAsia="Calibri" w:cs="Tahoma"/>
          <w:szCs w:val="18"/>
          <w:lang w:val="pt-BR"/>
        </w:rPr>
        <w:t> </w:t>
      </w:r>
      <w:r w:rsidRPr="008D38F6">
        <w:rPr>
          <w:rFonts w:eastAsia="Calibri" w:cs="Tahoma"/>
          <w:szCs w:val="18"/>
          <w:lang w:val="pt-BR"/>
        </w:rPr>
        <w:t>licenças adquiridas sob essa concessão serão também perpétuas; caso contrário, as licenças adquiridas sob essa concessão expirarão quando as Licenças Qualificadas subjacentes expirarem.</w:t>
      </w:r>
    </w:p>
    <w:p w:rsidR="001978C7" w:rsidRPr="008D38F6" w:rsidRDefault="001978C7" w:rsidP="00A434A4">
      <w:pPr>
        <w:numPr>
          <w:ilvl w:val="0"/>
          <w:numId w:val="66"/>
        </w:numPr>
        <w:tabs>
          <w:tab w:val="left" w:pos="1440"/>
        </w:tabs>
        <w:spacing w:after="60"/>
        <w:ind w:left="1440"/>
        <w:rPr>
          <w:lang w:val="pt-BR"/>
        </w:rPr>
      </w:pPr>
      <w:r w:rsidRPr="008D38F6">
        <w:rPr>
          <w:rFonts w:eastAsia="Calibri" w:cs="Tahoma"/>
          <w:szCs w:val="18"/>
          <w:lang w:val="pt-BR"/>
        </w:rPr>
        <w:t>Na atualização para o Windows Server 2012 Standard sob essa concessão, as Licenças Qualificadas do HPC Server Suite existentes do cliente não serão mais válidas.</w:t>
      </w:r>
    </w:p>
    <w:p w:rsidR="001978C7" w:rsidRPr="008D38F6" w:rsidRDefault="001978C7" w:rsidP="00A434A4">
      <w:pPr>
        <w:numPr>
          <w:ilvl w:val="0"/>
          <w:numId w:val="70"/>
        </w:numPr>
        <w:tabs>
          <w:tab w:val="left" w:pos="1440"/>
        </w:tabs>
        <w:spacing w:after="60"/>
        <w:ind w:left="1440"/>
        <w:rPr>
          <w:lang w:val="pt-BR"/>
        </w:rPr>
      </w:pPr>
      <w:r w:rsidRPr="008D38F6">
        <w:rPr>
          <w:color w:val="000000"/>
          <w:lang w:val="pt-BR"/>
        </w:rPr>
        <w:t xml:space="preserve">As licenças do HPC Server Suite </w:t>
      </w:r>
      <w:r w:rsidRPr="008D38F6">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os propó</w:t>
      </w:r>
      <w:r w:rsidR="00A76730" w:rsidRPr="008D38F6">
        <w:rPr>
          <w:rFonts w:cs="Tahoma"/>
          <w:bCs/>
          <w:color w:val="000000"/>
          <w:szCs w:val="18"/>
          <w:lang w:val="pt-BR"/>
        </w:rPr>
        <w:t>sitos da concessão supracitada.</w:t>
      </w:r>
    </w:p>
    <w:p w:rsidR="001978C7" w:rsidRPr="008D38F6" w:rsidRDefault="001978C7" w:rsidP="00A434A4">
      <w:pPr>
        <w:numPr>
          <w:ilvl w:val="0"/>
          <w:numId w:val="70"/>
        </w:numPr>
        <w:tabs>
          <w:tab w:val="left" w:pos="1440"/>
        </w:tabs>
        <w:spacing w:after="60"/>
        <w:ind w:left="1440"/>
        <w:rPr>
          <w:lang w:val="pt-BR"/>
        </w:rPr>
      </w:pPr>
      <w:r w:rsidRPr="008D38F6">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DE4110" w:rsidRPr="008D38F6" w:rsidRDefault="001978C7" w:rsidP="00A434A4">
      <w:pPr>
        <w:numPr>
          <w:ilvl w:val="0"/>
          <w:numId w:val="70"/>
        </w:numPr>
        <w:tabs>
          <w:tab w:val="left" w:pos="1440"/>
        </w:tabs>
        <w:spacing w:after="60"/>
        <w:ind w:left="1440"/>
        <w:rPr>
          <w:lang w:val="pt-BR"/>
        </w:rPr>
      </w:pPr>
      <w:r w:rsidRPr="008D38F6">
        <w:rPr>
          <w:rFonts w:cs="Tahoma"/>
          <w:bCs/>
          <w:color w:val="000000"/>
          <w:szCs w:val="18"/>
          <w:lang w:val="pt-BR"/>
        </w:rPr>
        <w:t>Consulte as notas da lista de produtos relacionadas ao Windows Server 2008 R2 HPC Edition e</w:t>
      </w:r>
      <w:r w:rsidR="00185DE6" w:rsidRPr="008D38F6">
        <w:rPr>
          <w:rFonts w:cs="Tahoma"/>
          <w:bCs/>
          <w:color w:val="000000"/>
          <w:szCs w:val="18"/>
          <w:lang w:val="pt-BR"/>
        </w:rPr>
        <w:t> </w:t>
      </w:r>
      <w:r w:rsidRPr="008D38F6">
        <w:rPr>
          <w:rFonts w:cs="Tahoma"/>
          <w:bCs/>
          <w:color w:val="000000"/>
          <w:szCs w:val="18"/>
          <w:lang w:val="pt-BR"/>
        </w:rPr>
        <w:t>HPC</w:t>
      </w:r>
      <w:r w:rsidR="00185DE6" w:rsidRPr="008D38F6">
        <w:rPr>
          <w:rFonts w:cs="Tahoma"/>
          <w:bCs/>
          <w:color w:val="000000"/>
          <w:szCs w:val="18"/>
          <w:lang w:val="pt-BR"/>
        </w:rPr>
        <w:t> </w:t>
      </w:r>
      <w:r w:rsidRPr="008D38F6">
        <w:rPr>
          <w:rFonts w:cs="Tahoma"/>
          <w:bCs/>
          <w:color w:val="000000"/>
          <w:szCs w:val="18"/>
          <w:lang w:val="pt-BR"/>
        </w:rPr>
        <w:t>Pack 2008 R2 Enterprise.</w:t>
      </w:r>
      <w:bookmarkStart w:id="1508" w:name="_109_Windows®_Intune"/>
      <w:bookmarkEnd w:id="1508"/>
    </w:p>
    <w:p w:rsidR="00A434A4" w:rsidRPr="008D38F6" w:rsidRDefault="00A434A4" w:rsidP="00A76730">
      <w:pPr>
        <w:tabs>
          <w:tab w:val="left" w:pos="1440"/>
        </w:tabs>
        <w:contextualSpacing/>
        <w:rPr>
          <w:lang w:val="pt-BR"/>
        </w:rPr>
      </w:pPr>
    </w:p>
    <w:p w:rsidR="00A434A4" w:rsidRPr="008D38F6" w:rsidRDefault="00A434A4" w:rsidP="00A76730">
      <w:pPr>
        <w:rPr>
          <w:lang w:val="pt-BR"/>
        </w:rPr>
      </w:pPr>
    </w:p>
    <w:p w:rsidR="008779BC" w:rsidRPr="00416070" w:rsidRDefault="00BA29A7" w:rsidP="00A434A4">
      <w:pPr>
        <w:pStyle w:val="Heading2"/>
        <w:ind w:left="0"/>
      </w:pPr>
      <w:bookmarkStart w:id="1509" w:name="_99_Windows_Multipoint"/>
      <w:bookmarkStart w:id="1510" w:name="_Toc336338367"/>
      <w:bookmarkStart w:id="1511" w:name="_Toc352234425"/>
      <w:bookmarkEnd w:id="1509"/>
      <w:r w:rsidRPr="00416070">
        <w:rPr>
          <w:rFonts w:ascii="Tahoma" w:hAnsi="Tahoma" w:cs="Tahoma"/>
          <w:caps/>
          <w:color w:val="FA6500"/>
          <w:sz w:val="22"/>
          <w:vertAlign w:val="superscript"/>
        </w:rPr>
        <w:t>99</w:t>
      </w:r>
      <w:r w:rsidR="00185DE6" w:rsidRPr="00185DE6">
        <w:rPr>
          <w:rFonts w:ascii="Tahoma" w:hAnsi="Tahoma"/>
          <w:caps/>
          <w:color w:val="F66400"/>
        </w:rPr>
        <w:t xml:space="preserve"> </w:t>
      </w:r>
      <w:r w:rsidRPr="00416070">
        <w:rPr>
          <w:rFonts w:ascii="Tahoma" w:hAnsi="Tahoma" w:cs="Tahoma"/>
          <w:color w:val="FA6500"/>
          <w:sz w:val="22"/>
        </w:rPr>
        <w:t xml:space="preserve">Windows Multipoint Server </w:t>
      </w:r>
      <w:bookmarkEnd w:id="1510"/>
      <w:r w:rsidRPr="00416070">
        <w:rPr>
          <w:rFonts w:ascii="Tahoma" w:hAnsi="Tahoma" w:cs="Tahoma"/>
          <w:color w:val="FA6500"/>
          <w:sz w:val="22"/>
        </w:rPr>
        <w:t>2012 Standard</w:t>
      </w:r>
      <w:bookmarkEnd w:id="1511"/>
      <w:r w:rsidRPr="00416070">
        <w:rPr>
          <w:rFonts w:ascii="Tahoma" w:hAnsi="Tahoma" w:cs="Tahoma"/>
          <w:color w:val="FA6500"/>
          <w:sz w:val="22"/>
        </w:rPr>
        <w:t xml:space="preserve"> </w:t>
      </w:r>
    </w:p>
    <w:p w:rsidR="00A434A4" w:rsidRPr="00416070" w:rsidRDefault="00A434A4" w:rsidP="00A434A4"/>
    <w:p w:rsidR="00F745E1" w:rsidRPr="00416070" w:rsidRDefault="008779BC" w:rsidP="00A434A4">
      <w:pPr>
        <w:ind w:left="720"/>
      </w:pPr>
      <w:r w:rsidRPr="00416070">
        <w:rPr>
          <w:rFonts w:eastAsia="Calibri" w:cs="Tahoma"/>
          <w:color w:val="000000"/>
          <w:szCs w:val="18"/>
        </w:rPr>
        <w:t xml:space="preserve">O Windows Multipoint Server 2012 Standard é a próxima versão do Windows Multipoint </w:t>
      </w:r>
      <w:r w:rsidR="00185DE6">
        <w:rPr>
          <w:rFonts w:eastAsia="Calibri" w:cs="Tahoma"/>
          <w:color w:val="000000"/>
          <w:szCs w:val="18"/>
        </w:rPr>
        <w:br/>
      </w:r>
      <w:r w:rsidRPr="00416070">
        <w:rPr>
          <w:rFonts w:eastAsia="Calibri" w:cs="Tahoma"/>
          <w:color w:val="000000"/>
          <w:szCs w:val="18"/>
        </w:rPr>
        <w:t>Server 2011 Standard.</w:t>
      </w:r>
    </w:p>
    <w:p w:rsidR="00A434A4" w:rsidRPr="00416070" w:rsidRDefault="00A434A4" w:rsidP="00A434A4"/>
    <w:p w:rsidR="00A434A4" w:rsidRPr="00416070" w:rsidRDefault="00A434A4" w:rsidP="00A434A4"/>
    <w:p w:rsidR="00092F30" w:rsidRPr="00416070" w:rsidRDefault="00BA29A7" w:rsidP="00A434A4">
      <w:pPr>
        <w:pStyle w:val="Heading2"/>
        <w:ind w:left="0"/>
      </w:pPr>
      <w:bookmarkStart w:id="1512" w:name="_Toc336338368"/>
      <w:bookmarkStart w:id="1513" w:name="_Toc352234426"/>
      <w:bookmarkStart w:id="1514" w:name="Srv_103WinMultipointSvr2011Premium"/>
      <w:bookmarkStart w:id="1515" w:name="Srv_107WinMultipointSvr2011Premium"/>
      <w:bookmarkStart w:id="1516" w:name="Srv_111WinMultipointSvr2011Premium"/>
      <w:r w:rsidRPr="00416070">
        <w:rPr>
          <w:rFonts w:ascii="Tahoma" w:hAnsi="Tahoma" w:cs="Tahoma"/>
          <w:caps/>
          <w:color w:val="FA6500"/>
          <w:sz w:val="22"/>
          <w:szCs w:val="22"/>
          <w:vertAlign w:val="superscript"/>
        </w:rPr>
        <w:t>100</w:t>
      </w:r>
      <w:r w:rsidR="00185DE6" w:rsidRPr="00185DE6">
        <w:rPr>
          <w:rFonts w:ascii="Tahoma" w:hAnsi="Tahoma"/>
          <w:caps/>
          <w:color w:val="F66400"/>
        </w:rPr>
        <w:t xml:space="preserve"> </w:t>
      </w:r>
      <w:r w:rsidRPr="00416070">
        <w:rPr>
          <w:rFonts w:ascii="Tahoma" w:hAnsi="Tahoma" w:cs="Tahoma"/>
          <w:color w:val="FA6500"/>
          <w:sz w:val="22"/>
        </w:rPr>
        <w:t xml:space="preserve">Windows Multipoint Server </w:t>
      </w:r>
      <w:bookmarkEnd w:id="1512"/>
      <w:r w:rsidRPr="00416070">
        <w:rPr>
          <w:rFonts w:ascii="Tahoma" w:hAnsi="Tahoma" w:cs="Tahoma"/>
          <w:color w:val="FA6500"/>
          <w:sz w:val="22"/>
        </w:rPr>
        <w:t>2012 Premium</w:t>
      </w:r>
      <w:bookmarkEnd w:id="1513"/>
      <w:r w:rsidRPr="00416070">
        <w:rPr>
          <w:rFonts w:ascii="Tahoma" w:hAnsi="Tahoma" w:cs="Tahoma"/>
          <w:color w:val="FA6500"/>
          <w:sz w:val="22"/>
        </w:rPr>
        <w:t xml:space="preserve"> </w:t>
      </w:r>
      <w:bookmarkEnd w:id="1514"/>
      <w:bookmarkEnd w:id="1515"/>
      <w:bookmarkEnd w:id="1516"/>
    </w:p>
    <w:p w:rsidR="00A434A4" w:rsidRPr="008D38F6" w:rsidRDefault="00A434A4" w:rsidP="00A434A4">
      <w:pPr>
        <w:rPr>
          <w:lang w:val="pt-BR"/>
        </w:rPr>
      </w:pPr>
    </w:p>
    <w:p w:rsidR="00F745E1" w:rsidRPr="008D38F6" w:rsidRDefault="00092F30" w:rsidP="00A434A4">
      <w:pPr>
        <w:ind w:left="720"/>
        <w:rPr>
          <w:lang w:val="pt-BR"/>
        </w:rPr>
      </w:pPr>
      <w:r w:rsidRPr="008D38F6">
        <w:rPr>
          <w:rFonts w:eastAsia="Calibri" w:cs="Tahoma"/>
          <w:color w:val="000000"/>
          <w:szCs w:val="18"/>
          <w:lang w:val="pt-BR"/>
        </w:rPr>
        <w:t xml:space="preserve">O Windows MultiPoint Server 2012 Premium é a próxima versão do Windows MultiPoint </w:t>
      </w:r>
      <w:r w:rsidR="00185DE6" w:rsidRPr="008D38F6">
        <w:rPr>
          <w:rFonts w:eastAsia="Calibri" w:cs="Tahoma"/>
          <w:color w:val="000000"/>
          <w:szCs w:val="18"/>
          <w:lang w:val="pt-BR"/>
        </w:rPr>
        <w:br/>
      </w:r>
      <w:r w:rsidRPr="008D38F6">
        <w:rPr>
          <w:rFonts w:eastAsia="Calibri" w:cs="Tahoma"/>
          <w:color w:val="000000"/>
          <w:szCs w:val="18"/>
          <w:lang w:val="pt-BR"/>
        </w:rPr>
        <w:t>Server 2011 Premium.</w:t>
      </w:r>
      <w:bookmarkStart w:id="1517" w:name="_Toc280612355"/>
    </w:p>
    <w:p w:rsidR="00185DE6" w:rsidRPr="008D38F6" w:rsidRDefault="00185DE6" w:rsidP="00A434A4">
      <w:pPr>
        <w:rPr>
          <w:lang w:val="pt-BR"/>
        </w:rPr>
      </w:pPr>
    </w:p>
    <w:p w:rsidR="00A76730" w:rsidRPr="008D38F6" w:rsidRDefault="00A76730" w:rsidP="00A434A4">
      <w:pPr>
        <w:rPr>
          <w:lang w:val="pt-BR"/>
        </w:rPr>
      </w:pPr>
    </w:p>
    <w:p w:rsidR="00092F30" w:rsidRPr="00416070" w:rsidRDefault="00BA29A7" w:rsidP="00092F30">
      <w:pPr>
        <w:pStyle w:val="Heading2"/>
        <w:ind w:left="0"/>
      </w:pPr>
      <w:bookmarkStart w:id="1518" w:name="_Toc352234427"/>
      <w:bookmarkStart w:id="1519" w:name="Srv_104WinMultipointSvr2011CAL"/>
      <w:bookmarkStart w:id="1520" w:name="Srv_108WinMultipointSvr2011CAL"/>
      <w:bookmarkStart w:id="1521" w:name="Srv_112WinMultipointSvr2011CAL"/>
      <w:r w:rsidRPr="00416070">
        <w:rPr>
          <w:rFonts w:ascii="Tahoma" w:hAnsi="Tahoma" w:cs="Tahoma"/>
          <w:caps/>
          <w:color w:val="FA6500"/>
          <w:sz w:val="22"/>
          <w:szCs w:val="22"/>
          <w:vertAlign w:val="superscript"/>
        </w:rPr>
        <w:t>101</w:t>
      </w:r>
      <w:r w:rsidRPr="00416070">
        <w:rPr>
          <w:rFonts w:ascii="Tahoma" w:hAnsi="Tahoma" w:cs="Tahoma"/>
          <w:color w:val="FA6500"/>
          <w:sz w:val="22"/>
          <w:szCs w:val="22"/>
        </w:rPr>
        <w:t xml:space="preserve"> CAL do Windows </w:t>
      </w:r>
      <w:bookmarkEnd w:id="1517"/>
      <w:r w:rsidRPr="00416070">
        <w:rPr>
          <w:rFonts w:ascii="Tahoma" w:hAnsi="Tahoma" w:cs="Tahoma"/>
          <w:color w:val="FA6500"/>
          <w:sz w:val="22"/>
          <w:szCs w:val="22"/>
        </w:rPr>
        <w:t>Multipoint Server 2012</w:t>
      </w:r>
      <w:bookmarkEnd w:id="1518"/>
    </w:p>
    <w:bookmarkEnd w:id="1519"/>
    <w:bookmarkEnd w:id="1520"/>
    <w:bookmarkEnd w:id="1521"/>
    <w:p w:rsidR="00092F30" w:rsidRPr="00416070" w:rsidRDefault="00092F30" w:rsidP="00092F30">
      <w:pPr>
        <w:ind w:firstLine="360"/>
      </w:pPr>
    </w:p>
    <w:p w:rsidR="0008452D" w:rsidRPr="008D38F6" w:rsidRDefault="00092F30" w:rsidP="00A434A4">
      <w:pPr>
        <w:ind w:left="720"/>
        <w:rPr>
          <w:lang w:val="pt-BR"/>
        </w:rPr>
      </w:pPr>
      <w:r w:rsidRPr="008D38F6">
        <w:rPr>
          <w:rFonts w:eastAsia="Calibri" w:cs="Tahoma"/>
          <w:color w:val="000000"/>
          <w:szCs w:val="18"/>
          <w:lang w:val="pt-BR"/>
        </w:rPr>
        <w:t>A CAL do Windows MultiPoint Server 2012 é a próxima versão da CAL do Windows MultiPoint Server 2011.</w:t>
      </w:r>
    </w:p>
    <w:p w:rsidR="00A434A4" w:rsidRPr="008D38F6" w:rsidRDefault="00A434A4" w:rsidP="00A434A4">
      <w:pPr>
        <w:rPr>
          <w:lang w:val="pt-BR"/>
        </w:rPr>
      </w:pPr>
    </w:p>
    <w:p w:rsidR="00A434A4" w:rsidRPr="008D38F6" w:rsidRDefault="00A434A4" w:rsidP="00A434A4">
      <w:pPr>
        <w:rPr>
          <w:lang w:val="pt-BR"/>
        </w:rPr>
      </w:pPr>
    </w:p>
    <w:p w:rsidR="00023FE7" w:rsidRPr="00416070" w:rsidRDefault="00BA29A7" w:rsidP="00EF2279">
      <w:pPr>
        <w:pStyle w:val="Heading3"/>
        <w:ind w:left="360" w:hanging="360"/>
      </w:pPr>
      <w:bookmarkStart w:id="1522" w:name="_Toc336338369"/>
      <w:bookmarkStart w:id="1523" w:name="_Toc352234428"/>
      <w:bookmarkStart w:id="1524" w:name="Srv_97WinSvr08HighPerfCompandHyperV"/>
      <w:bookmarkStart w:id="1525" w:name="Srv_98WinSvr08HighPerfCompandHyperV"/>
      <w:bookmarkStart w:id="1526" w:name="Srv_110WinSvr08R2HPC"/>
      <w:bookmarkStart w:id="1527" w:name="Srv_114WinSvr08R2HPC"/>
      <w:r w:rsidRPr="00416070">
        <w:rPr>
          <w:rFonts w:ascii="Tahoma" w:hAnsi="Tahoma"/>
          <w:caps/>
          <w:color w:val="F66400"/>
          <w:sz w:val="22"/>
          <w:vertAlign w:val="superscript"/>
        </w:rPr>
        <w:t>102</w:t>
      </w:r>
      <w:r w:rsidRPr="00416070">
        <w:rPr>
          <w:rFonts w:ascii="Tahoma" w:hAnsi="Tahoma"/>
          <w:color w:val="F66400"/>
          <w:sz w:val="22"/>
        </w:rPr>
        <w:t xml:space="preserve"> Windows Server 2008 R2 HPC</w:t>
      </w:r>
      <w:r w:rsidRPr="00416070">
        <w:rPr>
          <w:rStyle w:val="Heading3Char"/>
          <w:rFonts w:ascii="Tahoma" w:hAnsi="Tahoma"/>
          <w:b/>
          <w:color w:val="F66400"/>
          <w:sz w:val="22"/>
        </w:rPr>
        <w:t xml:space="preserve"> Edition</w:t>
      </w:r>
      <w:bookmarkEnd w:id="1522"/>
      <w:bookmarkEnd w:id="1523"/>
      <w:r w:rsidRPr="00416070">
        <w:rPr>
          <w:rStyle w:val="Heading3Char"/>
          <w:rFonts w:ascii="Tahoma" w:hAnsi="Tahoma"/>
          <w:b/>
          <w:color w:val="F66400"/>
          <w:sz w:val="22"/>
        </w:rPr>
        <w:t xml:space="preserve"> </w:t>
      </w:r>
    </w:p>
    <w:bookmarkEnd w:id="1524"/>
    <w:bookmarkEnd w:id="1525"/>
    <w:bookmarkEnd w:id="1526"/>
    <w:bookmarkEnd w:id="1527"/>
    <w:p w:rsidR="00023FE7" w:rsidRPr="008D38F6" w:rsidRDefault="00023FE7" w:rsidP="00A434A4">
      <w:pPr>
        <w:rPr>
          <w:lang w:val="pt-BR"/>
        </w:rPr>
      </w:pPr>
    </w:p>
    <w:p w:rsidR="00A434A4" w:rsidRPr="008D38F6" w:rsidRDefault="001978C7" w:rsidP="00A434A4">
      <w:pPr>
        <w:spacing w:after="60"/>
        <w:ind w:left="720"/>
        <w:rPr>
          <w:lang w:val="pt-BR"/>
        </w:rPr>
      </w:pPr>
      <w:r w:rsidRPr="008D38F6">
        <w:rPr>
          <w:b/>
          <w:color w:val="000000"/>
          <w:lang w:val="pt-BR"/>
        </w:rPr>
        <w:t>Outorgas de licença associadas ao término da validade da edição do Windows Server HPC</w:t>
      </w:r>
    </w:p>
    <w:p w:rsidR="001978C7" w:rsidRPr="008D38F6" w:rsidRDefault="001978C7" w:rsidP="00A434A4">
      <w:pPr>
        <w:ind w:left="720"/>
        <w:rPr>
          <w:spacing w:val="-1"/>
          <w:lang w:val="pt-BR"/>
        </w:rPr>
      </w:pPr>
      <w:r w:rsidRPr="008D38F6">
        <w:rPr>
          <w:color w:val="000000"/>
          <w:spacing w:val="-1"/>
          <w:lang w:val="pt-BR"/>
        </w:rPr>
        <w:t xml:space="preserve">O Windows Server 2008 R2 será a última versão da edição do Windows Server HPC. Os clientes de licenciamento por volume com Software Assurance ativo para licenças do Windows Server 2008 R2 HPC Edition em </w:t>
      </w:r>
      <w:r w:rsidR="00EB0F1B" w:rsidRPr="008D38F6">
        <w:rPr>
          <w:color w:val="000000"/>
          <w:spacing w:val="-1"/>
          <w:lang w:val="pt-BR"/>
        </w:rPr>
        <w:t>1</w:t>
      </w:r>
      <w:r w:rsidR="00EB0F1B" w:rsidRPr="008D38F6">
        <w:rPr>
          <w:color w:val="000000"/>
          <w:spacing w:val="-1"/>
          <w:vertAlign w:val="superscript"/>
          <w:lang w:val="pt-BR"/>
        </w:rPr>
        <w:t>º</w:t>
      </w:r>
      <w:r w:rsidRPr="008D38F6">
        <w:rPr>
          <w:color w:val="000000"/>
          <w:spacing w:val="-1"/>
          <w:lang w:val="pt-BR"/>
        </w:rPr>
        <w:t xml:space="preserve"> de setembro de 2012 ou a partir da data da primeira disponibilização do Windows Server 2012 para download no Volume Licensing Service Center (Centro de Atendimento de Licenciamento por Volume), o</w:t>
      </w:r>
      <w:r w:rsidR="00185DE6" w:rsidRPr="008D38F6">
        <w:rPr>
          <w:color w:val="000000"/>
          <w:spacing w:val="-1"/>
          <w:lang w:val="pt-BR"/>
        </w:rPr>
        <w:t> </w:t>
      </w:r>
      <w:r w:rsidRPr="008D38F6">
        <w:rPr>
          <w:color w:val="000000"/>
          <w:spacing w:val="-1"/>
          <w:lang w:val="pt-BR"/>
        </w:rPr>
        <w:t xml:space="preserve">que ocorrer primeiro, (“Licenças Qualificadas”) poderão </w:t>
      </w:r>
      <w:r w:rsidRPr="008D38F6">
        <w:rPr>
          <w:rFonts w:eastAsia="Calibri" w:cs="Tahoma"/>
          <w:spacing w:val="-1"/>
          <w:szCs w:val="18"/>
          <w:lang w:val="pt-BR"/>
        </w:rPr>
        <w:t>usar o software Windows Server 2012 Standard. Para facilitar tal uso, para cada duas Licenças Qualificadas que o cliente possui, ele terá uma licença do processador Windows Server 2012 Standard mediante a disponibi</w:t>
      </w:r>
      <w:r w:rsidR="00A76730" w:rsidRPr="008D38F6">
        <w:rPr>
          <w:rFonts w:eastAsia="Calibri" w:cs="Tahoma"/>
          <w:spacing w:val="-1"/>
          <w:szCs w:val="18"/>
          <w:lang w:val="pt-BR"/>
        </w:rPr>
        <w:t>lização do Windows Server 2012.</w:t>
      </w:r>
    </w:p>
    <w:p w:rsidR="00A434A4" w:rsidRPr="008D38F6" w:rsidRDefault="00A434A4" w:rsidP="00A434A4">
      <w:pPr>
        <w:ind w:left="720"/>
        <w:rPr>
          <w:lang w:val="pt-BR"/>
        </w:rPr>
      </w:pPr>
    </w:p>
    <w:p w:rsidR="001978C7" w:rsidRPr="008D38F6" w:rsidRDefault="001978C7" w:rsidP="00A434A4">
      <w:pPr>
        <w:numPr>
          <w:ilvl w:val="0"/>
          <w:numId w:val="70"/>
        </w:numPr>
        <w:tabs>
          <w:tab w:val="clear" w:pos="360"/>
          <w:tab w:val="num" w:pos="1440"/>
        </w:tabs>
        <w:spacing w:after="60"/>
        <w:ind w:left="1440"/>
        <w:rPr>
          <w:rFonts w:cs="Tahoma"/>
          <w:szCs w:val="18"/>
          <w:lang w:val="pt-BR"/>
        </w:rPr>
      </w:pPr>
      <w:r w:rsidRPr="008D38F6">
        <w:rPr>
          <w:rFonts w:cs="Tahoma"/>
          <w:color w:val="000000"/>
          <w:szCs w:val="18"/>
          <w:lang w:val="pt-BR"/>
        </w:rPr>
        <w:t>Se um cliente tiver um número ímpar de licenças do Windows Server HPC Edition, o cliente precisará arredondar para cima para o próximo número par para determinar sua concessão.</w:t>
      </w:r>
      <w:r w:rsidR="00FB5496" w:rsidRPr="008D38F6">
        <w:rPr>
          <w:rFonts w:cs="Tahoma"/>
          <w:color w:val="000000"/>
          <w:szCs w:val="18"/>
          <w:lang w:val="pt-BR"/>
        </w:rPr>
        <w:t xml:space="preserve"> </w:t>
      </w:r>
      <w:r w:rsidRPr="008D38F6">
        <w:rPr>
          <w:rFonts w:cs="Tahoma"/>
          <w:color w:val="000000"/>
          <w:szCs w:val="18"/>
          <w:lang w:val="pt-BR"/>
        </w:rPr>
        <w:t>Por</w:t>
      </w:r>
      <w:r w:rsidR="00185DE6" w:rsidRPr="008D38F6">
        <w:rPr>
          <w:rFonts w:cs="Tahoma"/>
          <w:color w:val="000000"/>
          <w:spacing w:val="-1"/>
          <w:szCs w:val="18"/>
          <w:lang w:val="pt-BR"/>
        </w:rPr>
        <w:t> </w:t>
      </w:r>
      <w:r w:rsidRPr="008D38F6">
        <w:rPr>
          <w:rFonts w:cs="Tahoma"/>
          <w:color w:val="000000"/>
          <w:szCs w:val="18"/>
          <w:lang w:val="pt-BR"/>
        </w:rPr>
        <w:t>exemplo, um cliente que tenha três licenças do Windows Server HPC Edition receberá no</w:t>
      </w:r>
      <w:r w:rsidR="00185DE6" w:rsidRPr="008D38F6">
        <w:rPr>
          <w:rFonts w:cs="Tahoma"/>
          <w:color w:val="000000"/>
          <w:spacing w:val="-1"/>
          <w:szCs w:val="18"/>
          <w:lang w:val="pt-BR"/>
        </w:rPr>
        <w:t> </w:t>
      </w:r>
      <w:r w:rsidRPr="008D38F6">
        <w:rPr>
          <w:rFonts w:cs="Tahoma"/>
          <w:color w:val="000000"/>
          <w:szCs w:val="18"/>
          <w:lang w:val="pt-BR"/>
        </w:rPr>
        <w:t>total</w:t>
      </w:r>
      <w:r w:rsidR="00185DE6" w:rsidRPr="008D38F6">
        <w:rPr>
          <w:rFonts w:cs="Tahoma"/>
          <w:color w:val="000000"/>
          <w:spacing w:val="-1"/>
          <w:szCs w:val="18"/>
          <w:lang w:val="pt-BR"/>
        </w:rPr>
        <w:t> </w:t>
      </w:r>
      <w:r w:rsidRPr="008D38F6">
        <w:rPr>
          <w:rFonts w:cs="Tahoma"/>
          <w:color w:val="000000"/>
          <w:szCs w:val="18"/>
          <w:lang w:val="pt-BR"/>
        </w:rPr>
        <w:t>duas licenças do Windows Server 2012 Standard.</w:t>
      </w:r>
    </w:p>
    <w:p w:rsidR="001978C7" w:rsidRPr="00185DE6" w:rsidRDefault="001978C7" w:rsidP="00A434A4">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185DE6">
        <w:rPr>
          <w:rFonts w:ascii="Tahoma" w:eastAsia="Calibri" w:hAnsi="Tahoma" w:cs="Tahoma"/>
          <w:sz w:val="18"/>
          <w:szCs w:val="18"/>
        </w:rPr>
        <w:t>As licenças adquiridas sob esta concessão incluirão cobertura do Software Assurance.</w:t>
      </w:r>
      <w:r w:rsidR="00FB5496" w:rsidRPr="00185DE6">
        <w:rPr>
          <w:rFonts w:ascii="Tahoma" w:eastAsia="Calibri" w:hAnsi="Tahoma" w:cs="Tahoma"/>
          <w:sz w:val="18"/>
          <w:szCs w:val="18"/>
        </w:rPr>
        <w:t xml:space="preserve"> </w:t>
      </w:r>
      <w:r w:rsidRPr="00185DE6">
        <w:rPr>
          <w:rFonts w:ascii="Tahoma" w:eastAsia="Calibri" w:hAnsi="Tahoma" w:cs="Tahoma"/>
          <w:sz w:val="18"/>
          <w:szCs w:val="18"/>
        </w:rPr>
        <w:t>Tal cobertura expira quando a cobertura correspondente nas Licenças Qualificadas expirar.</w:t>
      </w:r>
    </w:p>
    <w:p w:rsidR="001978C7" w:rsidRPr="00185DE6" w:rsidRDefault="001978C7" w:rsidP="00A434A4">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185DE6">
        <w:rPr>
          <w:rFonts w:ascii="Tahoma" w:eastAsia="Calibri" w:hAnsi="Tahoma" w:cs="Tahoma"/>
          <w:sz w:val="18"/>
          <w:szCs w:val="18"/>
        </w:rPr>
        <w:t>Se os clientes adquiriram direitos perpétuos para usar o software sob as Licenças Qualificadas, as</w:t>
      </w:r>
      <w:r w:rsidR="00185DE6" w:rsidRPr="008D38F6">
        <w:rPr>
          <w:rFonts w:ascii="Tahoma" w:eastAsia="Calibri" w:hAnsi="Tahoma" w:cs="Tahoma"/>
          <w:sz w:val="18"/>
          <w:szCs w:val="18"/>
          <w:lang w:val="pt-BR"/>
        </w:rPr>
        <w:t> </w:t>
      </w:r>
      <w:r w:rsidRPr="00185DE6">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1978C7" w:rsidRPr="008D38F6" w:rsidRDefault="001978C7" w:rsidP="00A434A4">
      <w:pPr>
        <w:numPr>
          <w:ilvl w:val="0"/>
          <w:numId w:val="70"/>
        </w:numPr>
        <w:tabs>
          <w:tab w:val="clear" w:pos="360"/>
          <w:tab w:val="num" w:pos="1440"/>
          <w:tab w:val="left" w:pos="2160"/>
        </w:tabs>
        <w:spacing w:after="60"/>
        <w:ind w:left="1440"/>
        <w:rPr>
          <w:rFonts w:cs="Tahoma"/>
          <w:szCs w:val="18"/>
          <w:lang w:val="pt-BR"/>
        </w:rPr>
      </w:pPr>
      <w:r w:rsidRPr="008D38F6">
        <w:rPr>
          <w:rFonts w:eastAsia="Calibri" w:cs="Tahoma"/>
          <w:szCs w:val="18"/>
          <w:lang w:val="pt-BR"/>
        </w:rPr>
        <w:t xml:space="preserve">Na atualização para o Windows Server 2012 Standard sob essa concessão, as licenças existentes do </w:t>
      </w:r>
      <w:r w:rsidRPr="008D38F6">
        <w:rPr>
          <w:rFonts w:cs="Tahoma"/>
          <w:color w:val="000000"/>
          <w:szCs w:val="18"/>
          <w:lang w:val="pt-BR"/>
        </w:rPr>
        <w:t>Windows Server 2008 R2 HPC Edition</w:t>
      </w:r>
      <w:r w:rsidRPr="008D38F6">
        <w:rPr>
          <w:rFonts w:eastAsia="Calibri" w:cs="Tahoma"/>
          <w:szCs w:val="18"/>
          <w:lang w:val="pt-BR"/>
        </w:rPr>
        <w:t xml:space="preserve"> do cliente permanecerão válidas.</w:t>
      </w:r>
    </w:p>
    <w:p w:rsidR="001978C7" w:rsidRPr="008D38F6" w:rsidRDefault="001978C7" w:rsidP="00A434A4">
      <w:pPr>
        <w:numPr>
          <w:ilvl w:val="0"/>
          <w:numId w:val="70"/>
        </w:numPr>
        <w:tabs>
          <w:tab w:val="clear" w:pos="360"/>
          <w:tab w:val="num" w:pos="1440"/>
        </w:tabs>
        <w:spacing w:after="60"/>
        <w:ind w:left="1440"/>
        <w:rPr>
          <w:rFonts w:cs="Tahoma"/>
          <w:szCs w:val="18"/>
          <w:lang w:val="pt-BR"/>
        </w:rPr>
      </w:pPr>
      <w:r w:rsidRPr="008D38F6">
        <w:rPr>
          <w:rFonts w:cs="Tahoma"/>
          <w:color w:val="000000"/>
          <w:szCs w:val="18"/>
          <w:lang w:val="pt-BR"/>
        </w:rPr>
        <w:t>As licenças do Windows Server 2008 R2 HPC Edition a</w:t>
      </w:r>
      <w:r w:rsidRPr="008D38F6">
        <w:rPr>
          <w:rFonts w:cs="Tahoma"/>
          <w:bCs/>
          <w:color w:val="000000"/>
          <w:szCs w:val="18"/>
          <w:lang w:val="pt-BR"/>
        </w:rPr>
        <w:t>dquiridas posteriormente no mesmo prazo de</w:t>
      </w:r>
      <w:r w:rsidR="00615CB9" w:rsidRPr="008D38F6">
        <w:rPr>
          <w:rFonts w:cs="Tahoma"/>
          <w:bCs/>
          <w:color w:val="000000"/>
          <w:szCs w:val="18"/>
          <w:lang w:val="pt-BR"/>
        </w:rPr>
        <w:t> </w:t>
      </w:r>
      <w:r w:rsidRPr="008D38F6">
        <w:rPr>
          <w:rFonts w:cs="Tahoma"/>
          <w:bCs/>
          <w:color w:val="000000"/>
          <w:szCs w:val="18"/>
          <w:lang w:val="pt-BR"/>
        </w:rPr>
        <w:t>registro, como parte de um processo de adequação (“true-up”) programado do cliente Enterprise, Enterprise Subscription, Open Value Subscription ou EES também são Licenças Qualificadas para os propó</w:t>
      </w:r>
      <w:r w:rsidR="00A76730" w:rsidRPr="008D38F6">
        <w:rPr>
          <w:rFonts w:cs="Tahoma"/>
          <w:bCs/>
          <w:color w:val="000000"/>
          <w:szCs w:val="18"/>
          <w:lang w:val="pt-BR"/>
        </w:rPr>
        <w:t>sitos da concessão supracitada.</w:t>
      </w:r>
    </w:p>
    <w:p w:rsidR="001978C7" w:rsidRPr="008D38F6" w:rsidRDefault="001978C7" w:rsidP="00A434A4">
      <w:pPr>
        <w:numPr>
          <w:ilvl w:val="0"/>
          <w:numId w:val="70"/>
        </w:numPr>
        <w:tabs>
          <w:tab w:val="clear" w:pos="360"/>
          <w:tab w:val="num" w:pos="1440"/>
        </w:tabs>
        <w:spacing w:after="60"/>
        <w:ind w:left="1440"/>
        <w:rPr>
          <w:rFonts w:cs="Tahoma"/>
          <w:szCs w:val="18"/>
          <w:lang w:val="pt-BR"/>
        </w:rPr>
      </w:pPr>
      <w:r w:rsidRPr="008D38F6">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A434A4" w:rsidRPr="008D38F6" w:rsidRDefault="00A434A4" w:rsidP="00A434A4">
      <w:pPr>
        <w:contextualSpacing/>
        <w:rPr>
          <w:rFonts w:cs="Tahoma"/>
          <w:szCs w:val="18"/>
          <w:lang w:val="pt-BR"/>
        </w:rPr>
      </w:pPr>
    </w:p>
    <w:p w:rsidR="008C2FF8" w:rsidRPr="008D38F6" w:rsidRDefault="001978C7" w:rsidP="008C2FF8">
      <w:pPr>
        <w:spacing w:after="60"/>
        <w:ind w:left="720"/>
        <w:rPr>
          <w:lang w:val="pt-BR"/>
        </w:rPr>
      </w:pPr>
      <w:r w:rsidRPr="008D38F6">
        <w:rPr>
          <w:rFonts w:eastAsia="Calibri" w:cs="Tahoma"/>
          <w:b/>
          <w:szCs w:val="18"/>
          <w:lang w:val="pt-BR"/>
        </w:rPr>
        <w:t>Informações adicionais sobre o uso do Windows Server 2012 para High Performance Computing (HPC)</w:t>
      </w:r>
    </w:p>
    <w:p w:rsidR="002F7203" w:rsidRPr="008D38F6" w:rsidRDefault="001978C7" w:rsidP="008C2FF8">
      <w:pPr>
        <w:ind w:left="720"/>
        <w:contextualSpacing/>
        <w:rPr>
          <w:lang w:val="pt-BR"/>
        </w:rPr>
      </w:pPr>
      <w:r w:rsidRPr="008D38F6">
        <w:rPr>
          <w:rFonts w:eastAsia="Calibri" w:cs="Tahoma"/>
          <w:szCs w:val="18"/>
          <w:lang w:val="pt-BR"/>
        </w:rPr>
        <w:t>Quando o Windows Server 2012 Standard ou Datacenter é usado para High Performance Computing, você</w:t>
      </w:r>
      <w:r w:rsidR="00185DE6" w:rsidRPr="008D38F6">
        <w:rPr>
          <w:rFonts w:eastAsia="Calibri" w:cs="Tahoma"/>
          <w:szCs w:val="18"/>
          <w:lang w:val="pt-BR"/>
        </w:rPr>
        <w:t> </w:t>
      </w:r>
      <w:r w:rsidRPr="008D38F6">
        <w:rPr>
          <w:rFonts w:eastAsia="Calibri" w:cs="Tahoma"/>
          <w:szCs w:val="18"/>
          <w:lang w:val="pt-BR"/>
        </w:rPr>
        <w:t>não precisa de CALs para acessar o software. Uma “</w:t>
      </w:r>
      <w:r w:rsidRPr="008D38F6">
        <w:rPr>
          <w:lang w:val="pt-BR"/>
        </w:rPr>
        <w:t>Carga de Trabalho High Performance Computing (“HPC”)”</w:t>
      </w:r>
      <w:r w:rsidRPr="008D38F6">
        <w:rPr>
          <w:b/>
          <w:bCs/>
          <w:lang w:val="pt-BR"/>
        </w:rPr>
        <w:t xml:space="preserve"> </w:t>
      </w:r>
      <w:r w:rsidRPr="008D38F6">
        <w:rPr>
          <w:lang w:val="pt-BR"/>
        </w:rPr>
        <w:t xml:space="preserve">significa uma carga de trabalho na qual o software para servidores </w:t>
      </w:r>
      <w:r w:rsidRPr="008D38F6">
        <w:rPr>
          <w:u w:val="single"/>
          <w:lang w:val="pt-BR"/>
        </w:rPr>
        <w:t>é usado</w:t>
      </w:r>
      <w:r w:rsidRPr="008D38F6">
        <w:rPr>
          <w:lang w:val="pt-BR"/>
        </w:rPr>
        <w:t xml:space="preserve"> para executar um Nó</w:t>
      </w:r>
      <w:r w:rsidR="00185DE6" w:rsidRPr="008D38F6">
        <w:rPr>
          <w:rFonts w:eastAsia="Calibri" w:cs="Tahoma"/>
          <w:szCs w:val="18"/>
          <w:lang w:val="pt-BR"/>
        </w:rPr>
        <w:t> </w:t>
      </w:r>
      <w:r w:rsidRPr="008D38F6">
        <w:rPr>
          <w:lang w:val="pt-BR"/>
        </w:rPr>
        <w:t>de Cluster e é usado em conjunto com outro software somente conforme necessário para permitir o</w:t>
      </w:r>
      <w:r w:rsidR="00185DE6" w:rsidRPr="008D38F6">
        <w:rPr>
          <w:rFonts w:eastAsia="Calibri" w:cs="Tahoma"/>
          <w:szCs w:val="18"/>
          <w:lang w:val="pt-BR"/>
        </w:rPr>
        <w:t> </w:t>
      </w:r>
      <w:r w:rsidRPr="008D38F6">
        <w:rPr>
          <w:lang w:val="pt-BR"/>
        </w:rPr>
        <w:t>gerenciamento de sistemas, a segurança, o armazenamento e a melhoria do desempenho de qualquer dispositivo do nó de cluster com o propósito de oferecer suporte aos Aplicativos HPC agrupados.</w:t>
      </w:r>
      <w:r w:rsidRPr="008D38F6">
        <w:rPr>
          <w:rFonts w:eastAsia="Calibri" w:cs="Tahoma"/>
          <w:szCs w:val="18"/>
          <w:lang w:val="pt-BR"/>
        </w:rPr>
        <w:t xml:space="preserve"> Consulte</w:t>
      </w:r>
      <w:r w:rsidR="00185DE6" w:rsidRPr="008D38F6">
        <w:rPr>
          <w:rFonts w:eastAsia="Calibri" w:cs="Tahoma"/>
          <w:szCs w:val="18"/>
          <w:lang w:val="pt-BR"/>
        </w:rPr>
        <w:t> </w:t>
      </w:r>
      <w:r w:rsidRPr="008D38F6">
        <w:rPr>
          <w:rFonts w:eastAsia="Calibri" w:cs="Tahoma"/>
          <w:szCs w:val="18"/>
          <w:lang w:val="pt-BR"/>
        </w:rPr>
        <w:t>os</w:t>
      </w:r>
      <w:r w:rsidR="00185DE6" w:rsidRPr="008D38F6">
        <w:rPr>
          <w:rFonts w:eastAsia="Calibri" w:cs="Tahoma"/>
          <w:szCs w:val="18"/>
          <w:lang w:val="pt-BR"/>
        </w:rPr>
        <w:t> </w:t>
      </w:r>
      <w:r w:rsidRPr="008D38F6">
        <w:rPr>
          <w:rFonts w:eastAsia="Calibri" w:cs="Tahoma"/>
          <w:szCs w:val="18"/>
          <w:lang w:val="pt-BR"/>
        </w:rPr>
        <w:t>Direitos de Uso de Produto para obter detalhes adicionais.</w:t>
      </w:r>
      <w:bookmarkStart w:id="1528" w:name="Srv_1120WinSvr08R2Enterprise"/>
    </w:p>
    <w:p w:rsidR="006D0B36" w:rsidRPr="00416070" w:rsidRDefault="00BA29A7" w:rsidP="00EF2279">
      <w:pPr>
        <w:pStyle w:val="Heading3"/>
        <w:ind w:left="360" w:hanging="360"/>
      </w:pPr>
      <w:bookmarkStart w:id="1529" w:name="_97_Windows_Server"/>
      <w:bookmarkStart w:id="1530" w:name="_98_Windows_Server"/>
      <w:bookmarkStart w:id="1531" w:name="_103_Windows_Server"/>
      <w:bookmarkStart w:id="1532" w:name="_Toc336338370"/>
      <w:bookmarkStart w:id="1533" w:name="_Toc352234429"/>
      <w:bookmarkStart w:id="1534" w:name="Srv_116WinSvr08R2Enterprise"/>
      <w:bookmarkStart w:id="1535" w:name="Srv_100WinSvr08R2Enterprise"/>
      <w:bookmarkEnd w:id="1529"/>
      <w:bookmarkEnd w:id="1530"/>
      <w:bookmarkEnd w:id="1531"/>
      <w:r w:rsidRPr="00416070">
        <w:rPr>
          <w:rFonts w:ascii="Tahoma" w:hAnsi="Tahoma"/>
          <w:caps/>
          <w:color w:val="F66400"/>
          <w:sz w:val="22"/>
          <w:vertAlign w:val="superscript"/>
        </w:rPr>
        <w:t>103</w:t>
      </w:r>
      <w:r w:rsidRPr="00416070">
        <w:rPr>
          <w:rFonts w:ascii="Tahoma" w:hAnsi="Tahoma"/>
          <w:color w:val="F66400"/>
          <w:sz w:val="22"/>
        </w:rPr>
        <w:t xml:space="preserve"> Windows Server 2008 R2 Enterprise</w:t>
      </w:r>
      <w:bookmarkEnd w:id="1532"/>
      <w:bookmarkEnd w:id="1533"/>
      <w:r w:rsidRPr="00416070">
        <w:rPr>
          <w:rFonts w:ascii="Tahoma" w:hAnsi="Tahoma"/>
          <w:color w:val="F66400"/>
          <w:sz w:val="22"/>
        </w:rPr>
        <w:t xml:space="preserve"> </w:t>
      </w:r>
      <w:bookmarkEnd w:id="1534"/>
    </w:p>
    <w:bookmarkEnd w:id="1528"/>
    <w:bookmarkEnd w:id="1535"/>
    <w:p w:rsidR="00156AE7" w:rsidRPr="008D38F6" w:rsidRDefault="00156AE7" w:rsidP="008C2FF8">
      <w:pPr>
        <w:ind w:left="900"/>
        <w:rPr>
          <w:lang w:val="pt-BR"/>
        </w:rPr>
      </w:pPr>
    </w:p>
    <w:p w:rsidR="00171927" w:rsidRPr="008D38F6" w:rsidRDefault="00156AE7" w:rsidP="00171927">
      <w:pPr>
        <w:spacing w:after="60"/>
        <w:ind w:left="720"/>
        <w:rPr>
          <w:lang w:val="pt-BR"/>
        </w:rPr>
      </w:pPr>
      <w:r w:rsidRPr="008D38F6">
        <w:rPr>
          <w:b/>
          <w:color w:val="000000"/>
          <w:lang w:val="pt-BR"/>
        </w:rPr>
        <w:t>Outorgas de licença associadas ao término da validade da edição do Windows Server Enterprise</w:t>
      </w:r>
    </w:p>
    <w:p w:rsidR="00156AE7" w:rsidRPr="008D38F6" w:rsidRDefault="00156AE7" w:rsidP="008C2FF8">
      <w:pPr>
        <w:ind w:left="720"/>
        <w:rPr>
          <w:lang w:val="pt-BR"/>
        </w:rPr>
      </w:pPr>
      <w:r w:rsidRPr="008D38F6">
        <w:rPr>
          <w:color w:val="000000"/>
          <w:lang w:val="pt-BR"/>
        </w:rPr>
        <w:t>O Windows Server 2008 R2 será a última versão da edição do Windows Server Enterprise.</w:t>
      </w:r>
      <w:r w:rsidR="00FB5496" w:rsidRPr="008D38F6">
        <w:rPr>
          <w:color w:val="000000"/>
          <w:lang w:val="pt-BR"/>
        </w:rPr>
        <w:t xml:space="preserve"> </w:t>
      </w:r>
      <w:r w:rsidRPr="008D38F6">
        <w:rPr>
          <w:color w:val="000000"/>
          <w:lang w:val="pt-BR"/>
        </w:rPr>
        <w:t>Os clientes de</w:t>
      </w:r>
      <w:r w:rsidR="00185DE6" w:rsidRPr="008D38F6">
        <w:rPr>
          <w:color w:val="000000"/>
          <w:lang w:val="pt-BR"/>
        </w:rPr>
        <w:t> </w:t>
      </w:r>
      <w:r w:rsidRPr="008D38F6">
        <w:rPr>
          <w:color w:val="000000"/>
          <w:lang w:val="pt-BR"/>
        </w:rPr>
        <w:t xml:space="preserve">licenciamento por volume com Software Assurance ativo para licenças do Windows Server 2008 R2 Enterprise em </w:t>
      </w:r>
      <w:r w:rsidR="00EB0F1B" w:rsidRPr="008D38F6">
        <w:rPr>
          <w:color w:val="000000"/>
          <w:lang w:val="pt-BR"/>
        </w:rPr>
        <w:t>1</w:t>
      </w:r>
      <w:r w:rsidR="00EB0F1B" w:rsidRPr="008D38F6">
        <w:rPr>
          <w:color w:val="000000"/>
          <w:vertAlign w:val="superscript"/>
          <w:lang w:val="pt-BR"/>
        </w:rPr>
        <w:t>º</w:t>
      </w:r>
      <w:r w:rsidRPr="008D38F6">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w:t>
      </w:r>
      <w:r w:rsidRPr="008D38F6">
        <w:rPr>
          <w:rFonts w:eastAsia="Calibri" w:cs="Tahoma"/>
          <w:szCs w:val="18"/>
          <w:lang w:val="pt-BR"/>
        </w:rPr>
        <w:t>poderão atualizar para e usar o software Windows Server 2012 Standard em vez do Windows Server 2008 R2 Enterprise. Para facilitar essa atualização, para cada Licença Qualificada que o cliente possui, ele terá, mediante a disponibilização do</w:t>
      </w:r>
      <w:r w:rsidR="00185DE6" w:rsidRPr="008D38F6">
        <w:rPr>
          <w:color w:val="000000"/>
          <w:lang w:val="pt-BR"/>
        </w:rPr>
        <w:t> </w:t>
      </w:r>
      <w:r w:rsidRPr="008D38F6">
        <w:rPr>
          <w:rFonts w:eastAsia="Calibri" w:cs="Tahoma"/>
          <w:szCs w:val="18"/>
          <w:lang w:val="pt-BR"/>
        </w:rPr>
        <w:t>Windows Server 2012:</w:t>
      </w:r>
    </w:p>
    <w:p w:rsidR="00171927" w:rsidRPr="008D38F6" w:rsidRDefault="00171927" w:rsidP="00171927">
      <w:pPr>
        <w:spacing w:after="60"/>
        <w:ind w:left="720"/>
        <w:rPr>
          <w:lang w:val="pt-BR"/>
        </w:rPr>
      </w:pPr>
    </w:p>
    <w:p w:rsidR="00156AE7" w:rsidRPr="008D38F6" w:rsidRDefault="00156AE7" w:rsidP="00171927">
      <w:pPr>
        <w:numPr>
          <w:ilvl w:val="0"/>
          <w:numId w:val="66"/>
        </w:numPr>
        <w:spacing w:after="60"/>
        <w:ind w:left="1440"/>
        <w:rPr>
          <w:lang w:val="pt-BR"/>
        </w:rPr>
      </w:pPr>
      <w:r w:rsidRPr="008D38F6">
        <w:rPr>
          <w:rFonts w:eastAsia="Calibri" w:cs="Tahoma"/>
          <w:szCs w:val="18"/>
          <w:lang w:val="pt-BR"/>
        </w:rPr>
        <w:t>Duas licenças do Windows Server 2012 Standard OU</w:t>
      </w:r>
    </w:p>
    <w:p w:rsidR="00156AE7" w:rsidRPr="008D38F6" w:rsidRDefault="00156AE7" w:rsidP="00171927">
      <w:pPr>
        <w:numPr>
          <w:ilvl w:val="0"/>
          <w:numId w:val="66"/>
        </w:numPr>
        <w:spacing w:after="60"/>
        <w:ind w:left="1440"/>
        <w:rPr>
          <w:lang w:val="pt-BR"/>
        </w:rPr>
      </w:pPr>
      <w:r w:rsidRPr="008D38F6">
        <w:rPr>
          <w:rFonts w:eastAsia="Calibri" w:cs="Tahoma"/>
          <w:szCs w:val="18"/>
          <w:lang w:val="pt-BR"/>
        </w:rPr>
        <w:t xml:space="preserve">Três, para Licenças de Qualificação adquiridas com SA ou renovadas entre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xml:space="preserve"> de abril de 2012 </w:t>
      </w:r>
      <w:r w:rsidR="00185DE6" w:rsidRPr="008D38F6">
        <w:rPr>
          <w:rFonts w:eastAsia="Calibri" w:cs="Tahoma"/>
          <w:szCs w:val="18"/>
          <w:lang w:val="pt-BR"/>
        </w:rPr>
        <w:br/>
      </w:r>
      <w:r w:rsidRPr="008D38F6">
        <w:rPr>
          <w:rFonts w:eastAsia="Calibri" w:cs="Tahoma"/>
          <w:szCs w:val="18"/>
          <w:lang w:val="pt-BR"/>
        </w:rPr>
        <w:t>a 31 de agosto de 2012 OU</w:t>
      </w:r>
    </w:p>
    <w:p w:rsidR="00156AE7" w:rsidRPr="008D38F6" w:rsidRDefault="00156AE7" w:rsidP="00171927">
      <w:pPr>
        <w:numPr>
          <w:ilvl w:val="0"/>
          <w:numId w:val="66"/>
        </w:numPr>
        <w:spacing w:after="60"/>
        <w:ind w:left="1440"/>
        <w:rPr>
          <w:lang w:val="pt-BR"/>
        </w:rPr>
      </w:pPr>
      <w:r w:rsidRPr="008D38F6">
        <w:rPr>
          <w:rFonts w:eastAsia="Calibri" w:cs="Tahoma"/>
          <w:szCs w:val="18"/>
          <w:lang w:val="pt-BR"/>
        </w:rPr>
        <w:t>Quatro licenças do Windows Server 2012 Standard se o número real de processadores físicos no servidor no qual a Licença Qualificada está atribuída exceder quatro. (Em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rsidR="00156AE7" w:rsidRPr="008D38F6" w:rsidRDefault="00156AE7" w:rsidP="00171927">
      <w:pPr>
        <w:numPr>
          <w:ilvl w:val="0"/>
          <w:numId w:val="66"/>
        </w:numPr>
        <w:spacing w:after="60"/>
        <w:ind w:left="1440"/>
        <w:rPr>
          <w:lang w:val="pt-BR"/>
        </w:rPr>
      </w:pPr>
      <w:r w:rsidRPr="008D38F6">
        <w:rPr>
          <w:rFonts w:eastAsia="Calibri" w:cs="Tahoma"/>
          <w:szCs w:val="18"/>
          <w:lang w:val="pt-BR"/>
        </w:rPr>
        <w:t>As licenças adquiridas sob esta concessão incluirão cobertura do Software Assurance.</w:t>
      </w:r>
      <w:r w:rsidR="00FB5496" w:rsidRPr="008D38F6">
        <w:rPr>
          <w:rFonts w:eastAsia="Calibri" w:cs="Tahoma"/>
          <w:szCs w:val="18"/>
          <w:lang w:val="pt-BR"/>
        </w:rPr>
        <w:t xml:space="preserve"> </w:t>
      </w:r>
      <w:r w:rsidRPr="008D38F6">
        <w:rPr>
          <w:rFonts w:eastAsia="Calibri" w:cs="Tahoma"/>
          <w:szCs w:val="18"/>
          <w:lang w:val="pt-BR"/>
        </w:rPr>
        <w:t>Tal cobertura expira quando a cobertura correspondente nas Licenças Qualificadas expirar.</w:t>
      </w:r>
    </w:p>
    <w:p w:rsidR="00156AE7" w:rsidRPr="008D38F6" w:rsidRDefault="00156AE7" w:rsidP="00A76730">
      <w:pPr>
        <w:numPr>
          <w:ilvl w:val="0"/>
          <w:numId w:val="66"/>
        </w:numPr>
        <w:spacing w:after="60"/>
        <w:ind w:left="1440"/>
        <w:rPr>
          <w:lang w:val="pt-BR"/>
        </w:rPr>
      </w:pPr>
      <w:r w:rsidRPr="008D38F6">
        <w:rPr>
          <w:rFonts w:eastAsia="Calibri" w:cs="Tahoma"/>
          <w:szCs w:val="18"/>
          <w:lang w:val="pt-BR"/>
        </w:rPr>
        <w:t>Se os clientes adquiriram direitos perpétuos para usar o software sob as Licenças Qualificadas, as</w:t>
      </w:r>
      <w:r w:rsidR="00A76730" w:rsidRPr="008D38F6">
        <w:rPr>
          <w:rFonts w:eastAsia="Calibri" w:cs="Tahoma"/>
          <w:szCs w:val="18"/>
          <w:lang w:val="pt-BR"/>
        </w:rPr>
        <w:t> </w:t>
      </w:r>
      <w:r w:rsidRPr="008D38F6">
        <w:rPr>
          <w:rFonts w:eastAsia="Calibri" w:cs="Tahoma"/>
          <w:szCs w:val="18"/>
          <w:lang w:val="pt-BR"/>
        </w:rPr>
        <w:t>licenças adquiridas sob essa concessão serão também perpétuas; caso contrário, as licenças adquiridas sob essa concessão expirarão quando as Licenças Qualificadas subjacentes expirarem.</w:t>
      </w:r>
    </w:p>
    <w:p w:rsidR="00156AE7" w:rsidRPr="008D38F6" w:rsidRDefault="00156AE7" w:rsidP="00171927">
      <w:pPr>
        <w:numPr>
          <w:ilvl w:val="0"/>
          <w:numId w:val="66"/>
        </w:numPr>
        <w:spacing w:after="60"/>
        <w:ind w:left="1440"/>
        <w:rPr>
          <w:lang w:val="pt-BR"/>
        </w:rPr>
      </w:pPr>
      <w:r w:rsidRPr="008D38F6">
        <w:rPr>
          <w:rFonts w:eastAsia="Calibri" w:cs="Tahoma"/>
          <w:szCs w:val="18"/>
          <w:lang w:val="pt-BR"/>
        </w:rPr>
        <w:t>Na atualização para o Windows Server 2012 Standard sob essa concessão, as Licenças Qualificadas do Windows Server Enterprise existentes do cliente não serão mais válidas.</w:t>
      </w:r>
    </w:p>
    <w:p w:rsidR="00156AE7" w:rsidRPr="008D38F6" w:rsidRDefault="00156AE7" w:rsidP="00171927">
      <w:pPr>
        <w:numPr>
          <w:ilvl w:val="0"/>
          <w:numId w:val="66"/>
        </w:numPr>
        <w:spacing w:after="60"/>
        <w:ind w:left="1440"/>
        <w:rPr>
          <w:lang w:val="pt-BR"/>
        </w:rPr>
      </w:pPr>
      <w:r w:rsidRPr="008D38F6">
        <w:rPr>
          <w:rFonts w:eastAsia="Calibri" w:cs="Tahoma"/>
          <w:szCs w:val="18"/>
          <w:lang w:val="pt-BR"/>
        </w:rPr>
        <w:t>As licenças do Windows Server 2008 R2 Enterprise adquiridas posteriormente no mesmo prazo de registro, como parte de um processo de adequação (“true-up”) programado do cliente Enterprise, Enterprise Subscription, Open Value Subscription ou EES também são Licenças Qualificadas para os</w:t>
      </w:r>
      <w:r w:rsidR="00185DE6" w:rsidRPr="008D38F6">
        <w:rPr>
          <w:color w:val="000000"/>
          <w:lang w:val="pt-BR"/>
        </w:rPr>
        <w:t> </w:t>
      </w:r>
      <w:r w:rsidRPr="008D38F6">
        <w:rPr>
          <w:rFonts w:eastAsia="Calibri" w:cs="Tahoma"/>
          <w:szCs w:val="18"/>
          <w:lang w:val="pt-BR"/>
        </w:rPr>
        <w:t>propósitos da outorga de licença supracitada.</w:t>
      </w:r>
    </w:p>
    <w:p w:rsidR="00156AE7" w:rsidRPr="008D38F6" w:rsidRDefault="00156AE7" w:rsidP="00171927">
      <w:pPr>
        <w:numPr>
          <w:ilvl w:val="0"/>
          <w:numId w:val="66"/>
        </w:numPr>
        <w:spacing w:after="60"/>
        <w:ind w:left="1440"/>
        <w:rPr>
          <w:lang w:val="pt-BR"/>
        </w:rPr>
      </w:pPr>
      <w:r w:rsidRPr="008D38F6">
        <w:rPr>
          <w:rFonts w:eastAsia="Calibri" w:cs="Tahoma"/>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047339" w:rsidRPr="00416070" w:rsidRDefault="00047339" w:rsidP="00171927">
      <w:pPr>
        <w:pStyle w:val="EndnoteText"/>
        <w:ind w:left="0"/>
      </w:pPr>
    </w:p>
    <w:p w:rsidR="00EF1978" w:rsidRPr="008D38F6" w:rsidRDefault="00BA29A7" w:rsidP="00EF2279">
      <w:pPr>
        <w:rPr>
          <w:lang w:val="pt-BR"/>
        </w:rPr>
      </w:pPr>
      <w:bookmarkStart w:id="1536" w:name="Srv_1102WinSvr08R2Itanium"/>
      <w:bookmarkStart w:id="1537" w:name="_Toc336338371"/>
      <w:bookmarkStart w:id="1538" w:name="_Toc352234430"/>
      <w:bookmarkStart w:id="1539" w:name="Srv_1132WinSvr08R2Itanium"/>
      <w:bookmarkStart w:id="1540" w:name="Srv_117WinSvr08R2Itanium"/>
      <w:bookmarkStart w:id="1541" w:name="Srv_98WinSvr08StdandHyperV"/>
      <w:bookmarkStart w:id="1542" w:name="Srv_99WinSvr08StdandHyperV"/>
      <w:r w:rsidRPr="008D38F6">
        <w:rPr>
          <w:rStyle w:val="Heading3Char"/>
          <w:rFonts w:ascii="Tahoma" w:hAnsi="Tahoma"/>
          <w:caps/>
          <w:color w:val="F66400"/>
          <w:sz w:val="22"/>
          <w:vertAlign w:val="superscript"/>
          <w:lang w:val="pt-BR"/>
        </w:rPr>
        <w:t>104</w:t>
      </w:r>
      <w:r w:rsidRPr="008D38F6">
        <w:rPr>
          <w:rStyle w:val="Heading3Char"/>
          <w:rFonts w:ascii="Tahoma" w:hAnsi="Tahoma"/>
          <w:color w:val="F66400"/>
          <w:sz w:val="22"/>
          <w:lang w:val="pt-BR"/>
        </w:rPr>
        <w:t xml:space="preserve"> Windows Server 2008 R2 para Sistemas Baseados em Itanium</w:t>
      </w:r>
      <w:bookmarkEnd w:id="1536"/>
      <w:bookmarkEnd w:id="1537"/>
      <w:bookmarkEnd w:id="1538"/>
    </w:p>
    <w:bookmarkEnd w:id="1539"/>
    <w:bookmarkEnd w:id="1540"/>
    <w:p w:rsidR="00376D4B" w:rsidRPr="008D38F6" w:rsidRDefault="00376D4B" w:rsidP="007E3162">
      <w:pPr>
        <w:ind w:left="360"/>
        <w:rPr>
          <w:lang w:val="pt-BR"/>
        </w:rPr>
      </w:pPr>
    </w:p>
    <w:p w:rsidR="007E3162" w:rsidRPr="008D38F6" w:rsidRDefault="006533DF" w:rsidP="007E3162">
      <w:pPr>
        <w:spacing w:after="60"/>
        <w:ind w:left="720"/>
        <w:rPr>
          <w:lang w:val="pt-BR"/>
        </w:rPr>
      </w:pPr>
      <w:r w:rsidRPr="008D38F6">
        <w:rPr>
          <w:b/>
          <w:color w:val="000000"/>
          <w:lang w:val="pt-BR"/>
        </w:rPr>
        <w:t>Outorgas de licença associadas ao término da validade da edição do Windows Server para Sistemas Baseados em Itanium</w:t>
      </w:r>
    </w:p>
    <w:p w:rsidR="006533DF" w:rsidRPr="008D38F6" w:rsidRDefault="006533DF" w:rsidP="007E3162">
      <w:pPr>
        <w:ind w:left="720"/>
        <w:rPr>
          <w:lang w:val="pt-BR"/>
        </w:rPr>
      </w:pPr>
      <w:r w:rsidRPr="008D38F6">
        <w:rPr>
          <w:color w:val="000000"/>
          <w:lang w:val="pt-BR"/>
        </w:rPr>
        <w:t>O Windows Server 2008 R2 será a última versão do Windows Server para Sistemas Baseados em Itanium.</w:t>
      </w:r>
      <w:r w:rsidR="00FB5496" w:rsidRPr="008D38F6">
        <w:rPr>
          <w:color w:val="000000"/>
          <w:lang w:val="pt-BR"/>
        </w:rPr>
        <w:t xml:space="preserve"> </w:t>
      </w:r>
      <w:r w:rsidRPr="008D38F6">
        <w:rPr>
          <w:color w:val="000000"/>
          <w:lang w:val="pt-BR"/>
        </w:rPr>
        <w:t xml:space="preserve">Os clientes de licenciamento por volume com Software Assurance ativo para licenças do Windows Server 2008 R2 para Sistemas Baseados em Itanium em </w:t>
      </w:r>
      <w:r w:rsidR="00EB0F1B" w:rsidRPr="008D38F6">
        <w:rPr>
          <w:color w:val="000000"/>
          <w:lang w:val="pt-BR"/>
        </w:rPr>
        <w:t>1</w:t>
      </w:r>
      <w:r w:rsidR="00EB0F1B" w:rsidRPr="008D38F6">
        <w:rPr>
          <w:color w:val="000000"/>
          <w:vertAlign w:val="superscript"/>
          <w:lang w:val="pt-BR"/>
        </w:rPr>
        <w:t>º</w:t>
      </w:r>
      <w:r w:rsidRPr="008D38F6">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poderão</w:t>
      </w:r>
      <w:r w:rsidRPr="008D38F6">
        <w:rPr>
          <w:rFonts w:eastAsia="Calibri" w:cs="Tahoma"/>
          <w:szCs w:val="18"/>
          <w:lang w:val="pt-BR"/>
        </w:rPr>
        <w:t xml:space="preserve"> atualizar para e usar o software Windows Server 2012 Datacenter em vez do Windows Server 2008 R2 Enterprise para Sistemas Baseados em Itanium. Para facilitar essa atualização, para cada duas Licenças Qualificadas que o cliente possui, ele terá uma licença do processador Windows Server 2012 Datacenter mediante a disponibi</w:t>
      </w:r>
      <w:r w:rsidR="00A76730" w:rsidRPr="008D38F6">
        <w:rPr>
          <w:rFonts w:eastAsia="Calibri" w:cs="Tahoma"/>
          <w:szCs w:val="18"/>
          <w:lang w:val="pt-BR"/>
        </w:rPr>
        <w:t>lização do Windows Server 2012.</w:t>
      </w:r>
    </w:p>
    <w:p w:rsidR="007E3162" w:rsidRPr="008D38F6" w:rsidRDefault="007E3162" w:rsidP="007E3162">
      <w:pPr>
        <w:ind w:left="720"/>
        <w:rPr>
          <w:lang w:val="pt-BR"/>
        </w:rPr>
      </w:pPr>
    </w:p>
    <w:p w:rsidR="006533DF" w:rsidRPr="008D38F6" w:rsidRDefault="006533DF" w:rsidP="002A01C2">
      <w:pPr>
        <w:numPr>
          <w:ilvl w:val="0"/>
          <w:numId w:val="70"/>
        </w:numPr>
        <w:tabs>
          <w:tab w:val="clear" w:pos="360"/>
          <w:tab w:val="num" w:pos="1440"/>
        </w:tabs>
        <w:spacing w:after="60"/>
        <w:ind w:left="1440"/>
        <w:rPr>
          <w:lang w:val="pt-BR"/>
        </w:rPr>
      </w:pPr>
      <w:r w:rsidRPr="008D38F6">
        <w:rPr>
          <w:color w:val="000000"/>
          <w:lang w:val="pt-BR"/>
        </w:rPr>
        <w:t>Se um cliente tiver um número ímpar de Licenças Qualificadas, o cliente precisará arredondar para</w:t>
      </w:r>
      <w:r w:rsidR="00185DE6" w:rsidRPr="008D38F6">
        <w:rPr>
          <w:color w:val="000000"/>
          <w:lang w:val="pt-BR"/>
        </w:rPr>
        <w:t> </w:t>
      </w:r>
      <w:r w:rsidRPr="008D38F6">
        <w:rPr>
          <w:color w:val="000000"/>
          <w:lang w:val="pt-BR"/>
        </w:rPr>
        <w:t>baixo para o próximo número par para determinar sua concessão.</w:t>
      </w:r>
      <w:r w:rsidR="00FB5496" w:rsidRPr="008D38F6">
        <w:rPr>
          <w:color w:val="000000"/>
          <w:lang w:val="pt-BR"/>
        </w:rPr>
        <w:t xml:space="preserve"> </w:t>
      </w:r>
      <w:r w:rsidRPr="008D38F6">
        <w:rPr>
          <w:color w:val="000000"/>
          <w:lang w:val="pt-BR"/>
        </w:rPr>
        <w:t xml:space="preserve">Por exemplo, um cliente que tenha três Licenças Qualificadas receberá no total uma licença do </w:t>
      </w:r>
      <w:r w:rsidR="00A76730" w:rsidRPr="008D38F6">
        <w:rPr>
          <w:color w:val="000000"/>
          <w:lang w:val="pt-BR"/>
        </w:rPr>
        <w:t>Windows Server 2012 Datacenter.</w:t>
      </w:r>
    </w:p>
    <w:p w:rsidR="006533DF" w:rsidRPr="00185DE6"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185DE6">
        <w:rPr>
          <w:rFonts w:ascii="Tahoma" w:eastAsia="Calibri" w:hAnsi="Tahoma" w:cs="Tahoma"/>
          <w:sz w:val="18"/>
          <w:szCs w:val="18"/>
        </w:rPr>
        <w:t>As licenças adquiridas sob esta concessão incluirão cobertura do Software Assurance.</w:t>
      </w:r>
      <w:r w:rsidR="00FB5496" w:rsidRPr="00185DE6">
        <w:rPr>
          <w:rFonts w:ascii="Tahoma" w:eastAsia="Calibri" w:hAnsi="Tahoma" w:cs="Tahoma"/>
          <w:sz w:val="18"/>
          <w:szCs w:val="18"/>
        </w:rPr>
        <w:t xml:space="preserve"> </w:t>
      </w:r>
      <w:r w:rsidRPr="00185DE6">
        <w:rPr>
          <w:rFonts w:ascii="Tahoma" w:eastAsia="Calibri" w:hAnsi="Tahoma" w:cs="Tahoma"/>
          <w:sz w:val="18"/>
          <w:szCs w:val="18"/>
        </w:rPr>
        <w:t>Tal cobertura expira quando a cobertura correspondente nas Licenças Qualificadas expirar.</w:t>
      </w:r>
    </w:p>
    <w:p w:rsidR="006533DF" w:rsidRPr="00185DE6"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185DE6">
        <w:rPr>
          <w:rFonts w:ascii="Tahoma" w:eastAsia="Calibri" w:hAnsi="Tahoma" w:cs="Tahoma"/>
          <w:sz w:val="18"/>
          <w:szCs w:val="18"/>
        </w:rPr>
        <w:t>Se os clientes adquiriram direitos perpétuos para usar o software sob as Licenças Qualificadas, as</w:t>
      </w:r>
      <w:r w:rsidR="00185DE6" w:rsidRPr="008D38F6">
        <w:rPr>
          <w:rFonts w:ascii="Tahoma" w:eastAsia="Calibri" w:hAnsi="Tahoma" w:cs="Tahoma"/>
          <w:sz w:val="18"/>
          <w:szCs w:val="18"/>
          <w:lang w:val="pt-BR"/>
        </w:rPr>
        <w:t> </w:t>
      </w:r>
      <w:r w:rsidRPr="00185DE6">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6533DF" w:rsidRPr="008D38F6" w:rsidRDefault="006533DF" w:rsidP="002A01C2">
      <w:pPr>
        <w:numPr>
          <w:ilvl w:val="0"/>
          <w:numId w:val="70"/>
        </w:numPr>
        <w:tabs>
          <w:tab w:val="clear" w:pos="360"/>
          <w:tab w:val="num" w:pos="1440"/>
        </w:tabs>
        <w:spacing w:after="60"/>
        <w:ind w:left="1440"/>
        <w:rPr>
          <w:rFonts w:cs="Tahoma"/>
          <w:szCs w:val="18"/>
          <w:lang w:val="pt-BR"/>
        </w:rPr>
      </w:pPr>
      <w:r w:rsidRPr="008D38F6">
        <w:rPr>
          <w:rFonts w:eastAsia="Calibri" w:cs="Tahoma"/>
          <w:szCs w:val="18"/>
          <w:lang w:val="pt-BR"/>
        </w:rPr>
        <w:t>Na atualização para o Windows Server 2012 Datacenter sob essa concessão, as Licenças Qualificadas do Windows Server 2008 R2 para Sistemas Baseados em Itanium existentes do</w:t>
      </w:r>
      <w:r w:rsidR="00185DE6" w:rsidRPr="008D38F6">
        <w:rPr>
          <w:rFonts w:eastAsia="Calibri" w:cs="Tahoma"/>
          <w:szCs w:val="18"/>
          <w:lang w:val="pt-BR"/>
        </w:rPr>
        <w:t> </w:t>
      </w:r>
      <w:r w:rsidRPr="008D38F6">
        <w:rPr>
          <w:rFonts w:eastAsia="Calibri" w:cs="Tahoma"/>
          <w:szCs w:val="18"/>
          <w:lang w:val="pt-BR"/>
        </w:rPr>
        <w:t>cliente</w:t>
      </w:r>
      <w:r w:rsidR="00185DE6" w:rsidRPr="008D38F6">
        <w:rPr>
          <w:rFonts w:eastAsia="Calibri" w:cs="Tahoma"/>
          <w:szCs w:val="18"/>
          <w:lang w:val="pt-BR"/>
        </w:rPr>
        <w:t> </w:t>
      </w:r>
      <w:r w:rsidRPr="008D38F6">
        <w:rPr>
          <w:rFonts w:eastAsia="Calibri" w:cs="Tahoma"/>
          <w:szCs w:val="18"/>
          <w:lang w:val="pt-BR"/>
        </w:rPr>
        <w:t>não serão mais válidas.</w:t>
      </w:r>
    </w:p>
    <w:p w:rsidR="006533DF" w:rsidRPr="008D38F6" w:rsidRDefault="006533DF" w:rsidP="002A01C2">
      <w:pPr>
        <w:numPr>
          <w:ilvl w:val="0"/>
          <w:numId w:val="70"/>
        </w:numPr>
        <w:tabs>
          <w:tab w:val="clear" w:pos="360"/>
          <w:tab w:val="num" w:pos="1440"/>
        </w:tabs>
        <w:spacing w:after="60"/>
        <w:ind w:left="1440"/>
        <w:rPr>
          <w:rFonts w:cs="Tahoma"/>
          <w:szCs w:val="18"/>
          <w:lang w:val="pt-BR"/>
        </w:rPr>
      </w:pPr>
      <w:r w:rsidRPr="008D38F6">
        <w:rPr>
          <w:rFonts w:cs="Tahoma"/>
          <w:color w:val="000000"/>
          <w:szCs w:val="18"/>
          <w:lang w:val="pt-BR"/>
        </w:rPr>
        <w:t xml:space="preserve">As licenças do Windows Server 2008 R2 para Sistemas Baseados em Itanium </w:t>
      </w:r>
      <w:r w:rsidRPr="008D38F6">
        <w:rPr>
          <w:rFonts w:cs="Tahoma"/>
          <w:bCs/>
          <w:color w:val="000000"/>
          <w:szCs w:val="18"/>
          <w:lang w:val="pt-BR"/>
        </w:rPr>
        <w:t xml:space="preserve">adquiridas posteriormente no mesmo prazo de registro, como parte de um processo de adequação </w:t>
      </w:r>
      <w:r w:rsidR="00185DE6" w:rsidRPr="008D38F6">
        <w:rPr>
          <w:rFonts w:cs="Tahoma"/>
          <w:bCs/>
          <w:color w:val="000000"/>
          <w:szCs w:val="18"/>
          <w:lang w:val="pt-BR"/>
        </w:rPr>
        <w:br/>
      </w:r>
      <w:r w:rsidRPr="008D38F6">
        <w:rPr>
          <w:rFonts w:cs="Tahoma"/>
          <w:bCs/>
          <w:color w:val="000000"/>
          <w:szCs w:val="18"/>
          <w:lang w:val="pt-BR"/>
        </w:rPr>
        <w:t>(“true-up”)</w:t>
      </w:r>
      <w:r w:rsidR="00185DE6" w:rsidRPr="008D38F6">
        <w:rPr>
          <w:rFonts w:cs="Tahoma"/>
          <w:bCs/>
          <w:color w:val="000000"/>
          <w:szCs w:val="18"/>
          <w:lang w:val="pt-BR"/>
        </w:rPr>
        <w:t> </w:t>
      </w:r>
      <w:r w:rsidRPr="008D38F6">
        <w:rPr>
          <w:rFonts w:cs="Tahoma"/>
          <w:bCs/>
          <w:color w:val="000000"/>
          <w:szCs w:val="18"/>
          <w:lang w:val="pt-BR"/>
        </w:rPr>
        <w:t>programado do cliente Enterprise, Enterprise Subscription, Open Value Subscription ou</w:t>
      </w:r>
      <w:r w:rsidR="00185DE6" w:rsidRPr="008D38F6">
        <w:rPr>
          <w:rFonts w:cs="Tahoma"/>
          <w:bCs/>
          <w:color w:val="000000"/>
          <w:szCs w:val="18"/>
          <w:lang w:val="pt-BR"/>
        </w:rPr>
        <w:t> </w:t>
      </w:r>
      <w:r w:rsidRPr="008D38F6">
        <w:rPr>
          <w:rFonts w:cs="Tahoma"/>
          <w:bCs/>
          <w:color w:val="000000"/>
          <w:szCs w:val="18"/>
          <w:lang w:val="pt-BR"/>
        </w:rPr>
        <w:t>EES também são Licenças Qualificadas para os propósitos da outorga de licença supracitada.</w:t>
      </w:r>
    </w:p>
    <w:p w:rsidR="006533DF" w:rsidRPr="008D38F6" w:rsidRDefault="006533DF" w:rsidP="002A01C2">
      <w:pPr>
        <w:numPr>
          <w:ilvl w:val="0"/>
          <w:numId w:val="70"/>
        </w:numPr>
        <w:tabs>
          <w:tab w:val="clear" w:pos="360"/>
          <w:tab w:val="num" w:pos="1440"/>
        </w:tabs>
        <w:spacing w:after="60"/>
        <w:ind w:left="1440"/>
        <w:rPr>
          <w:rFonts w:cs="Tahoma"/>
          <w:szCs w:val="18"/>
          <w:lang w:val="pt-BR"/>
        </w:rPr>
      </w:pPr>
      <w:r w:rsidRPr="008D38F6">
        <w:rPr>
          <w:rFonts w:cs="Tahoma"/>
          <w:bCs/>
          <w:color w:val="000000"/>
          <w:szCs w:val="18"/>
          <w:lang w:val="pt-BR"/>
        </w:rPr>
        <w:t>Não obstante a concessão das licenças do Windows Server 2012 Datacenter e qualquer atualização</w:t>
      </w:r>
      <w:r w:rsidR="00185DE6" w:rsidRPr="008D38F6">
        <w:rPr>
          <w:rFonts w:cs="Tahoma"/>
          <w:bCs/>
          <w:color w:val="000000"/>
          <w:szCs w:val="18"/>
          <w:lang w:val="pt-BR"/>
        </w:rPr>
        <w:t> </w:t>
      </w:r>
      <w:r w:rsidRPr="008D38F6">
        <w:rPr>
          <w:rFonts w:cs="Tahoma"/>
          <w:bCs/>
          <w:color w:val="000000"/>
          <w:szCs w:val="18"/>
          <w:lang w:val="pt-BR"/>
        </w:rPr>
        <w:t>para esta versão, as obrigações de pagar montantes devidos e pendentes pelas</w:t>
      </w:r>
      <w:r w:rsidR="00185DE6" w:rsidRPr="008D38F6">
        <w:rPr>
          <w:rFonts w:cs="Tahoma"/>
          <w:bCs/>
          <w:color w:val="000000"/>
          <w:szCs w:val="18"/>
          <w:lang w:val="pt-BR"/>
        </w:rPr>
        <w:t> </w:t>
      </w:r>
      <w:r w:rsidRPr="008D38F6">
        <w:rPr>
          <w:rFonts w:cs="Tahoma"/>
          <w:bCs/>
          <w:color w:val="000000"/>
          <w:szCs w:val="18"/>
          <w:lang w:val="pt-BR"/>
        </w:rPr>
        <w:t>Licenças Qualificadas e cobertura permanecem em pleno vigor e efeito.</w:t>
      </w:r>
    </w:p>
    <w:p w:rsidR="00D63C1B" w:rsidRPr="008D38F6" w:rsidRDefault="00D63C1B" w:rsidP="007E3162">
      <w:pPr>
        <w:rPr>
          <w:lang w:val="pt-BR"/>
        </w:rPr>
      </w:pPr>
      <w:bookmarkStart w:id="1543" w:name="_117_Windows_Server"/>
      <w:bookmarkEnd w:id="1541"/>
      <w:bookmarkEnd w:id="1542"/>
      <w:bookmarkEnd w:id="1543"/>
    </w:p>
    <w:p w:rsidR="00586FCE" w:rsidRPr="008D38F6" w:rsidRDefault="00586FCE" w:rsidP="00EF2279">
      <w:pPr>
        <w:rPr>
          <w:lang w:val="pt-BR"/>
        </w:rPr>
      </w:pPr>
    </w:p>
    <w:p w:rsidR="00FE1A01" w:rsidRPr="00416070" w:rsidRDefault="00BA29A7" w:rsidP="00EF2279">
      <w:pPr>
        <w:pStyle w:val="Heading3"/>
      </w:pPr>
      <w:bookmarkStart w:id="1544" w:name="_116_Windows_Server"/>
      <w:bookmarkStart w:id="1545" w:name="_Toc336338372"/>
      <w:bookmarkStart w:id="1546" w:name="_Toc352234431"/>
      <w:bookmarkStart w:id="1547" w:name="Srv_101Win2008RemoteCALandExtConn"/>
      <w:bookmarkStart w:id="1548" w:name="Srv_115Win2008RemoteCALandExtConn"/>
      <w:bookmarkStart w:id="1549" w:name="Srv_119Win2008RemoteCALandExtConn"/>
      <w:bookmarkStart w:id="1550" w:name="Srv_101WindowsSvr2008RemoteDesktop"/>
      <w:bookmarkEnd w:id="1544"/>
      <w:r w:rsidRPr="00416070">
        <w:rPr>
          <w:rStyle w:val="Heading3Char"/>
          <w:rFonts w:ascii="Tahoma" w:hAnsi="Tahoma"/>
          <w:b/>
          <w:caps/>
          <w:color w:val="F66400"/>
          <w:sz w:val="22"/>
          <w:vertAlign w:val="superscript"/>
        </w:rPr>
        <w:t>105</w:t>
      </w:r>
      <w:r w:rsidRPr="00615CB9">
        <w:rPr>
          <w:rStyle w:val="Heading3Char"/>
          <w:rFonts w:ascii="Tahoma" w:hAnsi="Tahoma"/>
          <w:b/>
          <w:caps/>
          <w:color w:val="F66400"/>
          <w:sz w:val="22"/>
        </w:rPr>
        <w:t xml:space="preserve"> </w:t>
      </w:r>
      <w:r w:rsidRPr="00416070">
        <w:rPr>
          <w:rFonts w:ascii="Tahoma" w:hAnsi="Tahoma"/>
          <w:color w:val="F66400"/>
          <w:sz w:val="22"/>
        </w:rPr>
        <w:t>CAL do Windows Server 2012</w:t>
      </w:r>
      <w:bookmarkEnd w:id="1545"/>
      <w:bookmarkEnd w:id="1546"/>
    </w:p>
    <w:p w:rsidR="00FE1A01" w:rsidRPr="008D38F6" w:rsidRDefault="00FE1A01" w:rsidP="002A01C2">
      <w:pPr>
        <w:rPr>
          <w:lang w:val="pt-BR"/>
        </w:rPr>
      </w:pPr>
    </w:p>
    <w:p w:rsidR="00FE1A01" w:rsidRPr="008D38F6" w:rsidRDefault="00FE1A01" w:rsidP="002A01C2">
      <w:pPr>
        <w:ind w:left="720"/>
        <w:rPr>
          <w:rFonts w:cs="Tahoma"/>
          <w:szCs w:val="18"/>
          <w:lang w:val="pt-BR"/>
        </w:rPr>
      </w:pPr>
      <w:r w:rsidRPr="008D38F6">
        <w:rPr>
          <w:rFonts w:cs="Tahoma"/>
          <w:szCs w:val="18"/>
          <w:lang w:val="pt-BR"/>
        </w:rPr>
        <w:t>A CAL do Windows Server 2012 é a próxima versão da CAL do Windows Server 2008.</w:t>
      </w:r>
    </w:p>
    <w:p w:rsidR="002A01C2" w:rsidRPr="008D38F6" w:rsidRDefault="002A01C2" w:rsidP="002A01C2">
      <w:pPr>
        <w:ind w:left="720"/>
        <w:rPr>
          <w:rFonts w:cs="Tahoma"/>
          <w:szCs w:val="18"/>
          <w:lang w:val="pt-BR"/>
        </w:rPr>
      </w:pPr>
    </w:p>
    <w:p w:rsidR="002A01C2" w:rsidRPr="008D38F6" w:rsidRDefault="00FE1A01" w:rsidP="002A01C2">
      <w:pPr>
        <w:spacing w:after="60"/>
        <w:ind w:left="720"/>
        <w:rPr>
          <w:rFonts w:cs="Tahoma"/>
          <w:szCs w:val="18"/>
          <w:lang w:val="pt-BR"/>
        </w:rPr>
      </w:pPr>
      <w:r w:rsidRPr="008D38F6">
        <w:rPr>
          <w:rFonts w:eastAsia="Calibri" w:cs="Tahoma"/>
          <w:b/>
          <w:szCs w:val="18"/>
          <w:lang w:val="pt-BR"/>
        </w:rPr>
        <w:t>Usando o Windows Server 2012 como um Servidor Web</w:t>
      </w:r>
    </w:p>
    <w:p w:rsidR="00FE1A01" w:rsidRPr="008D38F6" w:rsidRDefault="00FE1A01" w:rsidP="002A01C2">
      <w:pPr>
        <w:ind w:left="720"/>
        <w:rPr>
          <w:rFonts w:cs="Tahoma"/>
          <w:szCs w:val="18"/>
          <w:lang w:val="pt-BR"/>
        </w:rPr>
      </w:pPr>
      <w:r w:rsidRPr="008D38F6">
        <w:rPr>
          <w:rFonts w:cs="Tahoma"/>
          <w:color w:val="000000"/>
          <w:szCs w:val="18"/>
          <w:lang w:val="pt-BR"/>
        </w:rPr>
        <w:t>Quando o Windows Server 2012 Standard ou Datacenter é usado como um Servidor Web, você não precisa</w:t>
      </w:r>
      <w:r w:rsidR="00185DE6" w:rsidRPr="008D38F6">
        <w:rPr>
          <w:rFonts w:cs="Tahoma"/>
          <w:color w:val="000000"/>
          <w:szCs w:val="18"/>
          <w:lang w:val="pt-BR"/>
        </w:rPr>
        <w:t> </w:t>
      </w:r>
      <w:r w:rsidRPr="008D38F6">
        <w:rPr>
          <w:rFonts w:cs="Tahoma"/>
          <w:color w:val="000000"/>
          <w:szCs w:val="18"/>
          <w:lang w:val="pt-BR"/>
        </w:rPr>
        <w:t>de CALs para acessar o software. Uma “Carga de Trabalho da Web” significa:</w:t>
      </w:r>
    </w:p>
    <w:p w:rsidR="002A01C2" w:rsidRPr="008D38F6" w:rsidRDefault="002A01C2" w:rsidP="002A01C2">
      <w:pPr>
        <w:pStyle w:val="PURBody-Indented"/>
        <w:spacing w:after="0"/>
        <w:ind w:left="720"/>
        <w:rPr>
          <w:rFonts w:ascii="Tahoma" w:hAnsi="Tahoma" w:cs="Tahoma"/>
          <w:sz w:val="18"/>
          <w:szCs w:val="18"/>
          <w:lang w:val="pt-BR"/>
        </w:rPr>
      </w:pPr>
    </w:p>
    <w:p w:rsidR="002A01C2" w:rsidRPr="008D38F6" w:rsidRDefault="006707A3" w:rsidP="002A01C2">
      <w:pPr>
        <w:pStyle w:val="PURBody-Indented"/>
        <w:spacing w:after="60"/>
        <w:ind w:left="720"/>
        <w:rPr>
          <w:rFonts w:ascii="Tahoma" w:hAnsi="Tahoma" w:cs="Tahoma"/>
          <w:sz w:val="18"/>
          <w:szCs w:val="18"/>
          <w:lang w:val="pt-BR"/>
        </w:rPr>
      </w:pPr>
      <w:r w:rsidRPr="008D38F6">
        <w:rPr>
          <w:rFonts w:ascii="Tahoma" w:hAnsi="Tahoma" w:cs="Tahoma"/>
          <w:b/>
          <w:bCs/>
          <w:sz w:val="18"/>
          <w:szCs w:val="18"/>
          <w:lang w:val="pt-BR"/>
        </w:rPr>
        <w:t>Web Workload</w:t>
      </w:r>
      <w:r w:rsidRPr="008D38F6">
        <w:rPr>
          <w:rFonts w:ascii="Tahoma" w:hAnsi="Tahoma" w:cs="Tahoma"/>
          <w:b/>
          <w:sz w:val="18"/>
          <w:szCs w:val="18"/>
          <w:lang w:val="pt-BR"/>
        </w:rPr>
        <w:t xml:space="preserve"> (Soluções da Web na Internet)</w:t>
      </w:r>
    </w:p>
    <w:p w:rsidR="006707A3" w:rsidRPr="008D38F6" w:rsidRDefault="006707A3" w:rsidP="002A01C2">
      <w:pPr>
        <w:pStyle w:val="PURBody-Indented"/>
        <w:spacing w:after="0"/>
        <w:ind w:left="720"/>
        <w:rPr>
          <w:rFonts w:ascii="Tahoma" w:hAnsi="Tahoma" w:cs="Tahoma"/>
          <w:sz w:val="18"/>
          <w:szCs w:val="18"/>
          <w:lang w:val="pt-BR"/>
        </w:rPr>
      </w:pPr>
      <w:r w:rsidRPr="008D38F6">
        <w:rPr>
          <w:rFonts w:ascii="Tahoma" w:hAnsi="Tahoma" w:cs="Tahoma"/>
          <w:sz w:val="18"/>
          <w:szCs w:val="18"/>
          <w:lang w:val="pt-BR"/>
        </w:rPr>
        <w:t>As “Soluções de Web na Internet” são de conhecimento público e são compostas exclusivamente de páginas</w:t>
      </w:r>
      <w:r w:rsidR="00185DE6" w:rsidRPr="008D38F6">
        <w:rPr>
          <w:rFonts w:ascii="Tahoma" w:hAnsi="Tahoma" w:cs="Tahoma"/>
          <w:sz w:val="18"/>
          <w:szCs w:val="18"/>
          <w:lang w:val="pt-BR"/>
        </w:rPr>
        <w:t> </w:t>
      </w:r>
      <w:r w:rsidRPr="008D38F6">
        <w:rPr>
          <w:rFonts w:ascii="Tahoma" w:hAnsi="Tahoma" w:cs="Tahoma"/>
          <w:sz w:val="18"/>
          <w:szCs w:val="18"/>
          <w:lang w:val="pt-BR"/>
        </w:rPr>
        <w:t xml:space="preserve">da Web, sites, aplicativos da Web, serviços da Web e/ou serviços de email do POP3. Esclarecendo melhor, o acesso ao conteúdo, às informações e aos aplicativos oferecidos pelo software em uma solução de Web na Internet não está limitado aos </w:t>
      </w:r>
      <w:r w:rsidR="00A76730" w:rsidRPr="008D38F6">
        <w:rPr>
          <w:rFonts w:ascii="Tahoma" w:hAnsi="Tahoma" w:cs="Tahoma"/>
          <w:sz w:val="18"/>
          <w:szCs w:val="18"/>
          <w:lang w:val="pt-BR"/>
        </w:rPr>
        <w:t>funcionários de suas afiliadas.</w:t>
      </w:r>
    </w:p>
    <w:p w:rsidR="002A01C2" w:rsidRPr="008D38F6" w:rsidRDefault="002A01C2" w:rsidP="002A01C2">
      <w:pPr>
        <w:pStyle w:val="PURBody-Indented"/>
        <w:spacing w:after="0"/>
        <w:ind w:firstLine="450"/>
        <w:rPr>
          <w:rFonts w:ascii="Tahoma" w:hAnsi="Tahoma" w:cs="Tahoma"/>
          <w:sz w:val="18"/>
          <w:szCs w:val="18"/>
          <w:lang w:val="pt-BR"/>
        </w:rPr>
      </w:pPr>
    </w:p>
    <w:p w:rsidR="006707A3" w:rsidRPr="008D38F6" w:rsidRDefault="006707A3" w:rsidP="002A01C2">
      <w:pPr>
        <w:pStyle w:val="PURBody-Indented"/>
        <w:spacing w:after="0"/>
        <w:ind w:firstLine="450"/>
        <w:rPr>
          <w:rFonts w:ascii="Tahoma" w:hAnsi="Tahoma" w:cs="Tahoma"/>
          <w:sz w:val="18"/>
          <w:szCs w:val="18"/>
          <w:lang w:val="pt-BR"/>
        </w:rPr>
      </w:pPr>
      <w:r w:rsidRPr="008D38F6">
        <w:rPr>
          <w:rFonts w:ascii="Tahoma" w:hAnsi="Tahoma" w:cs="Tahoma"/>
          <w:sz w:val="18"/>
          <w:szCs w:val="18"/>
          <w:lang w:val="pt-BR"/>
        </w:rPr>
        <w:t>Você poderá usar o software nas “Soluções da Web na Internet” para executar:</w:t>
      </w:r>
    </w:p>
    <w:p w:rsidR="002A01C2" w:rsidRPr="008D38F6" w:rsidRDefault="002A01C2" w:rsidP="002A01C2">
      <w:pPr>
        <w:pStyle w:val="PURBody-Indented"/>
        <w:spacing w:after="0"/>
        <w:ind w:firstLine="450"/>
        <w:rPr>
          <w:rFonts w:ascii="Tahoma" w:hAnsi="Tahoma" w:cs="Tahoma"/>
          <w:sz w:val="18"/>
          <w:szCs w:val="18"/>
          <w:lang w:val="pt-BR"/>
        </w:rPr>
      </w:pPr>
    </w:p>
    <w:p w:rsidR="006707A3" w:rsidRPr="008D38F6" w:rsidRDefault="006707A3" w:rsidP="002A01C2">
      <w:pPr>
        <w:pStyle w:val="PURBullet-Indented"/>
        <w:numPr>
          <w:ilvl w:val="0"/>
          <w:numId w:val="148"/>
        </w:numPr>
        <w:spacing w:after="60" w:line="240" w:lineRule="auto"/>
        <w:ind w:left="1440" w:hanging="360"/>
        <w:contextualSpacing w:val="0"/>
        <w:rPr>
          <w:rFonts w:ascii="Tahoma" w:hAnsi="Tahoma" w:cs="Tahoma"/>
          <w:spacing w:val="-1"/>
          <w:sz w:val="18"/>
          <w:szCs w:val="18"/>
          <w:lang w:val="pt-BR"/>
        </w:rPr>
      </w:pPr>
      <w:r w:rsidRPr="008D38F6">
        <w:rPr>
          <w:rFonts w:ascii="Tahoma" w:hAnsi="Tahoma" w:cs="Tahoma"/>
          <w:spacing w:val="-1"/>
          <w:sz w:val="18"/>
          <w:szCs w:val="18"/>
          <w:lang w:val="pt-BR"/>
        </w:rPr>
        <w:t>software de servidor Web (por exemplo, o Microsoft Internet Information Services) e gerenciamento de agentes de segurança (por exemplo, o agente System Center Operations Manager).</w:t>
      </w:r>
    </w:p>
    <w:p w:rsidR="006707A3" w:rsidRPr="008D38F6"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lang w:val="pt-BR"/>
        </w:rPr>
      </w:pPr>
      <w:r w:rsidRPr="008D38F6">
        <w:rPr>
          <w:rFonts w:ascii="Tahoma" w:hAnsi="Tahoma" w:cs="Tahoma"/>
          <w:sz w:val="18"/>
          <w:szCs w:val="18"/>
          <w:lang w:val="pt-BR"/>
        </w:rPr>
        <w:t xml:space="preserve">software de mecanismo de banco de dados (por exemplo, Microsoft SQL Server) unicamente para oferecer o </w:t>
      </w:r>
      <w:r w:rsidR="00F00213" w:rsidRPr="008D38F6">
        <w:rPr>
          <w:rFonts w:ascii="Tahoma" w:hAnsi="Tahoma" w:cs="Tahoma"/>
          <w:sz w:val="18"/>
          <w:szCs w:val="18"/>
          <w:lang w:val="pt-BR"/>
        </w:rPr>
        <w:t>suporte a soluções da Internet.</w:t>
      </w:r>
    </w:p>
    <w:p w:rsidR="006707A3" w:rsidRPr="008D38F6" w:rsidRDefault="006707A3" w:rsidP="002A01C2">
      <w:pPr>
        <w:pStyle w:val="PURBullet-Indented"/>
        <w:numPr>
          <w:ilvl w:val="0"/>
          <w:numId w:val="148"/>
        </w:numPr>
        <w:spacing w:after="60" w:line="240" w:lineRule="auto"/>
        <w:ind w:left="1440" w:hanging="360"/>
        <w:contextualSpacing w:val="0"/>
        <w:rPr>
          <w:lang w:val="pt-BR"/>
        </w:rPr>
      </w:pPr>
      <w:r w:rsidRPr="008D38F6">
        <w:rPr>
          <w:rFonts w:ascii="Tahoma" w:hAnsi="Tahoma" w:cs="Tahoma"/>
          <w:sz w:val="18"/>
          <w:szCs w:val="18"/>
          <w:lang w:val="pt-BR"/>
        </w:rPr>
        <w:t>serviço DNS (Domain Name System) para fornecer resolução de nomes da Internet aos endereços IP, desde que não seja a função exclusiva dessa instância do servidor.</w:t>
      </w:r>
    </w:p>
    <w:p w:rsidR="000D5F24" w:rsidRPr="008D38F6" w:rsidRDefault="000D5F24">
      <w:pPr>
        <w:rPr>
          <w:lang w:val="pt-BR"/>
        </w:rPr>
      </w:pPr>
    </w:p>
    <w:p w:rsidR="002A01C2" w:rsidRPr="008D38F6" w:rsidRDefault="00FE1A01" w:rsidP="002A01C2">
      <w:pPr>
        <w:spacing w:after="60"/>
        <w:ind w:left="720"/>
        <w:rPr>
          <w:lang w:val="pt-BR"/>
        </w:rPr>
      </w:pPr>
      <w:r w:rsidRPr="008D38F6">
        <w:rPr>
          <w:rFonts w:eastAsia="Calibri" w:cs="Tahoma"/>
          <w:b/>
          <w:szCs w:val="18"/>
          <w:lang w:val="pt-BR"/>
        </w:rPr>
        <w:t>Usando o Windows Server 2012 para High Performance Computing (HPC)</w:t>
      </w:r>
    </w:p>
    <w:p w:rsidR="00376D4B" w:rsidRPr="008D38F6" w:rsidRDefault="00FE1A01" w:rsidP="002A01C2">
      <w:pPr>
        <w:ind w:left="720"/>
        <w:rPr>
          <w:lang w:val="pt-BR"/>
        </w:rPr>
      </w:pPr>
      <w:r w:rsidRPr="008D38F6">
        <w:rPr>
          <w:color w:val="000000"/>
          <w:lang w:val="pt-BR"/>
        </w:rPr>
        <w:t>Quando o Windows Server 2012 Standard ou Datacenter é usado para High Performance Computing, você</w:t>
      </w:r>
      <w:r w:rsidR="00185DE6" w:rsidRPr="008D38F6">
        <w:rPr>
          <w:color w:val="000000"/>
          <w:lang w:val="pt-BR"/>
        </w:rPr>
        <w:t> </w:t>
      </w:r>
      <w:r w:rsidRPr="008D38F6">
        <w:rPr>
          <w:color w:val="000000"/>
          <w:lang w:val="pt-BR"/>
        </w:rPr>
        <w:t>não precisa de CALs para acessar o software. Uma “Carga de Trabalho High Performance Computing (“HPC”)” significa uma carga de trabalho na qual o software para servidores é usado para executar um Nó</w:t>
      </w:r>
      <w:r w:rsidR="00185DE6" w:rsidRPr="008D38F6">
        <w:rPr>
          <w:color w:val="000000"/>
          <w:lang w:val="pt-BR"/>
        </w:rPr>
        <w:t> </w:t>
      </w:r>
      <w:r w:rsidRPr="008D38F6">
        <w:rPr>
          <w:color w:val="000000"/>
          <w:lang w:val="pt-BR"/>
        </w:rPr>
        <w:t>de Cluster e é usado em conjunto com outro software somente conforme necessário para permitir o</w:t>
      </w:r>
      <w:r w:rsidR="00185DE6" w:rsidRPr="008D38F6">
        <w:rPr>
          <w:color w:val="000000"/>
          <w:lang w:val="pt-BR"/>
        </w:rPr>
        <w:t> </w:t>
      </w:r>
      <w:r w:rsidRPr="008D38F6">
        <w:rPr>
          <w:color w:val="000000"/>
          <w:lang w:val="pt-BR"/>
        </w:rPr>
        <w:t>gerenciamento de sistemas, a segurança, o armazenamento e a melhoria do desempenho de qualquer dispositivo do nó de cluster com o propósito de oferecer suporte aos Aplicativos HPC agrupados. Consulte</w:t>
      </w:r>
      <w:r w:rsidR="00185DE6" w:rsidRPr="008D38F6">
        <w:rPr>
          <w:color w:val="000000"/>
          <w:lang w:val="pt-BR"/>
        </w:rPr>
        <w:t> </w:t>
      </w:r>
      <w:r w:rsidRPr="008D38F6">
        <w:rPr>
          <w:color w:val="000000"/>
          <w:lang w:val="pt-BR"/>
        </w:rPr>
        <w:t>os</w:t>
      </w:r>
      <w:r w:rsidR="00185DE6" w:rsidRPr="008D38F6">
        <w:rPr>
          <w:color w:val="000000"/>
          <w:lang w:val="pt-BR"/>
        </w:rPr>
        <w:t> </w:t>
      </w:r>
      <w:r w:rsidRPr="008D38F6">
        <w:rPr>
          <w:color w:val="000000"/>
          <w:lang w:val="pt-BR"/>
        </w:rPr>
        <w:t>Direitos de Uso de Produto para obter detalhes adicionais.</w:t>
      </w:r>
      <w:bookmarkEnd w:id="1547"/>
      <w:bookmarkEnd w:id="1548"/>
      <w:bookmarkEnd w:id="1549"/>
    </w:p>
    <w:p w:rsidR="00185DE6" w:rsidRPr="008D38F6" w:rsidRDefault="00185DE6" w:rsidP="002A01C2">
      <w:pPr>
        <w:rPr>
          <w:lang w:val="pt-BR"/>
        </w:rPr>
      </w:pPr>
    </w:p>
    <w:p w:rsidR="003E651C" w:rsidRPr="008D38F6" w:rsidRDefault="003E651C" w:rsidP="002A01C2">
      <w:pPr>
        <w:rPr>
          <w:lang w:val="pt-BR"/>
        </w:rPr>
      </w:pPr>
    </w:p>
    <w:p w:rsidR="003E651C" w:rsidRPr="008D38F6" w:rsidRDefault="003E651C" w:rsidP="002A01C2">
      <w:pPr>
        <w:rPr>
          <w:lang w:val="pt-BR"/>
        </w:rPr>
      </w:pPr>
    </w:p>
    <w:p w:rsidR="003E651C" w:rsidRPr="008D38F6" w:rsidRDefault="003E651C" w:rsidP="002A01C2">
      <w:pPr>
        <w:rPr>
          <w:lang w:val="pt-BR"/>
        </w:rPr>
      </w:pPr>
    </w:p>
    <w:p w:rsidR="003E651C" w:rsidRPr="008D38F6" w:rsidRDefault="003E651C" w:rsidP="002A01C2">
      <w:pPr>
        <w:rPr>
          <w:lang w:val="pt-BR"/>
        </w:rPr>
      </w:pPr>
    </w:p>
    <w:p w:rsidR="003E651C" w:rsidRPr="008D38F6" w:rsidRDefault="003E651C" w:rsidP="002A01C2">
      <w:pPr>
        <w:rPr>
          <w:lang w:val="pt-BR"/>
        </w:rPr>
      </w:pPr>
    </w:p>
    <w:p w:rsidR="00185DE6" w:rsidRPr="008D38F6" w:rsidRDefault="00185DE6" w:rsidP="002A01C2">
      <w:pPr>
        <w:rPr>
          <w:lang w:val="pt-BR"/>
        </w:rPr>
      </w:pPr>
    </w:p>
    <w:p w:rsidR="00F745E1" w:rsidRPr="00416070" w:rsidRDefault="00BA29A7" w:rsidP="00F745E1">
      <w:pPr>
        <w:pStyle w:val="Heading3"/>
        <w:ind w:left="360" w:hanging="360"/>
      </w:pPr>
      <w:bookmarkStart w:id="1551" w:name="_114_Windows_Server"/>
      <w:bookmarkStart w:id="1552" w:name="_Toc336338373"/>
      <w:bookmarkStart w:id="1553" w:name="_Toc352234432"/>
      <w:bookmarkStart w:id="1554" w:name="Srv_111WinSvr08R2Datacenter"/>
      <w:bookmarkStart w:id="1555" w:name="Srv_115WinSvr08R2Datacenter"/>
      <w:bookmarkEnd w:id="1551"/>
      <w:r w:rsidRPr="00416070">
        <w:rPr>
          <w:rFonts w:ascii="Tahoma" w:hAnsi="Tahoma"/>
          <w:caps/>
          <w:color w:val="F66400"/>
          <w:sz w:val="22"/>
          <w:vertAlign w:val="superscript"/>
        </w:rPr>
        <w:t>106</w:t>
      </w:r>
      <w:r w:rsidRPr="00615CB9">
        <w:rPr>
          <w:rFonts w:ascii="Tahoma" w:hAnsi="Tahoma"/>
          <w:caps/>
          <w:color w:val="F66400"/>
          <w:sz w:val="22"/>
        </w:rPr>
        <w:t xml:space="preserve"> </w:t>
      </w:r>
      <w:r w:rsidRPr="00416070">
        <w:rPr>
          <w:rFonts w:ascii="Tahoma" w:hAnsi="Tahoma"/>
          <w:color w:val="F66400"/>
          <w:sz w:val="22"/>
        </w:rPr>
        <w:t>Windows Server 2008 R2 Datacenter</w:t>
      </w:r>
      <w:bookmarkEnd w:id="1552"/>
      <w:bookmarkEnd w:id="1553"/>
      <w:r w:rsidRPr="00416070">
        <w:rPr>
          <w:rFonts w:ascii="Tahoma" w:hAnsi="Tahoma"/>
          <w:color w:val="F66400"/>
          <w:sz w:val="22"/>
        </w:rPr>
        <w:t xml:space="preserve"> </w:t>
      </w:r>
    </w:p>
    <w:bookmarkEnd w:id="1554"/>
    <w:bookmarkEnd w:id="1555"/>
    <w:p w:rsidR="00F745E1" w:rsidRPr="008D38F6" w:rsidRDefault="00F745E1" w:rsidP="00F745E1">
      <w:pPr>
        <w:ind w:left="900"/>
        <w:rPr>
          <w:lang w:val="pt-BR"/>
        </w:rPr>
      </w:pPr>
    </w:p>
    <w:p w:rsidR="002A01C2" w:rsidRPr="008D38F6" w:rsidRDefault="00F745E1" w:rsidP="002A01C2">
      <w:pPr>
        <w:spacing w:after="60"/>
        <w:ind w:left="720"/>
        <w:rPr>
          <w:lang w:val="pt-BR"/>
        </w:rPr>
      </w:pPr>
      <w:r w:rsidRPr="008D38F6">
        <w:rPr>
          <w:b/>
          <w:color w:val="000000"/>
          <w:lang w:val="pt-BR"/>
        </w:rPr>
        <w:t>Outorgas de licença associadas à alteração no modelo de licenciamento para Windows Server Datacenter</w:t>
      </w:r>
    </w:p>
    <w:p w:rsidR="00F745E1" w:rsidRPr="008D38F6" w:rsidRDefault="00F745E1" w:rsidP="00F745E1">
      <w:pPr>
        <w:spacing w:after="200"/>
        <w:ind w:left="720"/>
        <w:rPr>
          <w:lang w:val="pt-BR"/>
        </w:rPr>
      </w:pPr>
      <w:r w:rsidRPr="008D38F6">
        <w:rPr>
          <w:color w:val="000000"/>
          <w:lang w:val="pt-BR"/>
        </w:rPr>
        <w:t xml:space="preserve">O Windows Server 2012 Datacenter será licenciado sob um novo modelo de licenciamento no qual cada licença poderá abranger até dois processadores físicos. Os clientes de licenciamento por volume com Software Assurance ativo para licenças do Windows Server 2008 R2 Datacenter em </w:t>
      </w:r>
      <w:r w:rsidR="00EB0F1B" w:rsidRPr="008D38F6">
        <w:rPr>
          <w:color w:val="000000"/>
          <w:lang w:val="pt-BR"/>
        </w:rPr>
        <w:t>1</w:t>
      </w:r>
      <w:r w:rsidR="00EB0F1B" w:rsidRPr="008D38F6">
        <w:rPr>
          <w:color w:val="000000"/>
          <w:vertAlign w:val="superscript"/>
          <w:lang w:val="pt-BR"/>
        </w:rPr>
        <w:t>º</w:t>
      </w:r>
      <w:r w:rsidRPr="008D38F6">
        <w:rPr>
          <w:color w:val="000000"/>
          <w:lang w:val="pt-BR"/>
        </w:rPr>
        <w:t xml:space="preserve"> de setembro de 2012</w:t>
      </w:r>
      <w:r w:rsidR="00185DE6" w:rsidRPr="008D38F6">
        <w:rPr>
          <w:color w:val="000000"/>
          <w:lang w:val="pt-BR"/>
        </w:rPr>
        <w:t> </w:t>
      </w:r>
      <w:r w:rsidRPr="008D38F6">
        <w:rPr>
          <w:color w:val="000000"/>
          <w:lang w:val="pt-BR"/>
        </w:rPr>
        <w:t>ou a partir da data da primeira disponibilização do Windows Server 2012 para download no Volume Licensing Service Center (Centro de Atendimento de Licenciamento por Volume), o que ocorrer primeiro, (“Licenças Qualificadas”) poderão</w:t>
      </w:r>
      <w:r w:rsidRPr="008D38F6">
        <w:rPr>
          <w:rFonts w:eastAsia="Calibri" w:cs="Tahoma"/>
          <w:szCs w:val="18"/>
          <w:lang w:val="pt-BR"/>
        </w:rPr>
        <w:t xml:space="preserve"> atualizar para e usar o software Windows Server 2012 Datacenter em vez</w:t>
      </w:r>
      <w:r w:rsidR="00185DE6" w:rsidRPr="008D38F6">
        <w:rPr>
          <w:color w:val="000000"/>
          <w:lang w:val="pt-BR"/>
        </w:rPr>
        <w:t> </w:t>
      </w:r>
      <w:r w:rsidRPr="008D38F6">
        <w:rPr>
          <w:rFonts w:eastAsia="Calibri" w:cs="Tahoma"/>
          <w:szCs w:val="18"/>
          <w:lang w:val="pt-BR"/>
        </w:rPr>
        <w:t>do Windows Server 2008 R2 Datacenter. Para facilitar essa atualização, para cada duas Licenças Qualificadas que o cliente possui, ele terá uma licença do processador Windows Server 2012 Datacenter mediante a disponibi</w:t>
      </w:r>
      <w:r w:rsidR="00F00213" w:rsidRPr="008D38F6">
        <w:rPr>
          <w:rFonts w:eastAsia="Calibri" w:cs="Tahoma"/>
          <w:szCs w:val="18"/>
          <w:lang w:val="pt-BR"/>
        </w:rPr>
        <w:t>lização do Windows Server 2012.</w:t>
      </w:r>
    </w:p>
    <w:p w:rsidR="00F745E1" w:rsidRPr="008D38F6" w:rsidRDefault="00F745E1" w:rsidP="00C83670">
      <w:pPr>
        <w:numPr>
          <w:ilvl w:val="0"/>
          <w:numId w:val="66"/>
        </w:numPr>
        <w:spacing w:afterLines="60" w:after="144"/>
        <w:ind w:left="1440" w:hanging="274"/>
        <w:rPr>
          <w:lang w:val="pt-BR"/>
        </w:rPr>
      </w:pPr>
      <w:r w:rsidRPr="008D38F6">
        <w:rPr>
          <w:color w:val="000000"/>
          <w:lang w:val="pt-BR"/>
        </w:rPr>
        <w:t>Se um cliente tiver um número ímpar de Licenças Qualificadas, o cliente precisará arredondar para</w:t>
      </w:r>
      <w:r w:rsidR="00185DE6" w:rsidRPr="008D38F6">
        <w:rPr>
          <w:color w:val="000000"/>
          <w:lang w:val="pt-BR"/>
        </w:rPr>
        <w:t> </w:t>
      </w:r>
      <w:r w:rsidRPr="008D38F6">
        <w:rPr>
          <w:color w:val="000000"/>
          <w:lang w:val="pt-BR"/>
        </w:rPr>
        <w:t>baixo para o próximo número par para determinar sua concessão.</w:t>
      </w:r>
      <w:r w:rsidR="00FB5496" w:rsidRPr="008D38F6">
        <w:rPr>
          <w:color w:val="000000"/>
          <w:lang w:val="pt-BR"/>
        </w:rPr>
        <w:t xml:space="preserve"> </w:t>
      </w:r>
      <w:r w:rsidRPr="008D38F6">
        <w:rPr>
          <w:color w:val="000000"/>
          <w:lang w:val="pt-BR"/>
        </w:rPr>
        <w:t xml:space="preserve">Por exemplo, um cliente que tenha três Licenças Qualificadas receberá no total uma licença do </w:t>
      </w:r>
      <w:r w:rsidR="00F00213" w:rsidRPr="008D38F6">
        <w:rPr>
          <w:color w:val="000000"/>
          <w:lang w:val="pt-BR"/>
        </w:rPr>
        <w:t>Windows Server 2012 Datacenter.</w:t>
      </w:r>
    </w:p>
    <w:p w:rsidR="00F745E1" w:rsidRPr="008D38F6" w:rsidRDefault="00F745E1" w:rsidP="00C83670">
      <w:pPr>
        <w:numPr>
          <w:ilvl w:val="0"/>
          <w:numId w:val="66"/>
        </w:numPr>
        <w:tabs>
          <w:tab w:val="left" w:pos="990"/>
        </w:tabs>
        <w:spacing w:afterLines="60" w:after="144"/>
        <w:ind w:left="1440" w:hanging="274"/>
        <w:rPr>
          <w:lang w:val="pt-BR"/>
        </w:rPr>
      </w:pPr>
      <w:r w:rsidRPr="008D38F6">
        <w:rPr>
          <w:rFonts w:eastAsia="Calibri" w:cs="Tahoma"/>
          <w:szCs w:val="18"/>
          <w:lang w:val="pt-BR"/>
        </w:rPr>
        <w:t>As licenças adquiridas sob esta concessão incluirão cobertura do Software Assurance.</w:t>
      </w:r>
      <w:r w:rsidR="00FB5496" w:rsidRPr="008D38F6">
        <w:rPr>
          <w:rFonts w:eastAsia="Calibri" w:cs="Tahoma"/>
          <w:szCs w:val="18"/>
          <w:lang w:val="pt-BR"/>
        </w:rPr>
        <w:t xml:space="preserve"> </w:t>
      </w:r>
      <w:r w:rsidRPr="008D38F6">
        <w:rPr>
          <w:rFonts w:eastAsia="Calibri" w:cs="Tahoma"/>
          <w:szCs w:val="18"/>
          <w:lang w:val="pt-BR"/>
        </w:rPr>
        <w:t>Tal cobertura expira quando a cobertura correspondente nas Licenças Qualificadas expirar.</w:t>
      </w:r>
    </w:p>
    <w:p w:rsidR="00F745E1" w:rsidRPr="008D38F6" w:rsidRDefault="00F745E1" w:rsidP="00C83670">
      <w:pPr>
        <w:numPr>
          <w:ilvl w:val="0"/>
          <w:numId w:val="66"/>
        </w:numPr>
        <w:tabs>
          <w:tab w:val="left" w:pos="990"/>
        </w:tabs>
        <w:spacing w:afterLines="60" w:after="144"/>
        <w:ind w:left="1440" w:hanging="274"/>
        <w:rPr>
          <w:lang w:val="pt-BR"/>
        </w:rPr>
      </w:pPr>
      <w:r w:rsidRPr="008D38F6">
        <w:rPr>
          <w:rFonts w:eastAsia="Calibri" w:cs="Tahoma"/>
          <w:szCs w:val="18"/>
          <w:lang w:val="pt-BR"/>
        </w:rPr>
        <w:t>Se os clientes adquiriram direitos perpétuos para usar o software sob as Licenças Qualificadas, as</w:t>
      </w:r>
      <w:r w:rsidR="00185DE6" w:rsidRPr="008D38F6">
        <w:rPr>
          <w:color w:val="000000"/>
          <w:lang w:val="pt-BR"/>
        </w:rPr>
        <w:t> </w:t>
      </w:r>
      <w:r w:rsidRPr="008D38F6">
        <w:rPr>
          <w:rFonts w:eastAsia="Calibri" w:cs="Tahoma"/>
          <w:szCs w:val="18"/>
          <w:lang w:val="pt-BR"/>
        </w:rPr>
        <w:t>licenças adquiridas sob essa concessão serão também perpétuas; caso contrário, as licenças adquiridas sob essa concessão expirarão quando as Licenças Qualificadas subjacentes expirarem.</w:t>
      </w:r>
    </w:p>
    <w:p w:rsidR="00F745E1" w:rsidRPr="008D38F6" w:rsidRDefault="00F745E1" w:rsidP="00C83670">
      <w:pPr>
        <w:numPr>
          <w:ilvl w:val="0"/>
          <w:numId w:val="70"/>
        </w:numPr>
        <w:spacing w:afterLines="60" w:after="144"/>
        <w:ind w:left="1440" w:hanging="274"/>
        <w:rPr>
          <w:lang w:val="pt-BR"/>
        </w:rPr>
      </w:pPr>
      <w:r w:rsidRPr="008D38F6">
        <w:rPr>
          <w:rFonts w:eastAsia="Calibri" w:cs="Tahoma"/>
          <w:szCs w:val="18"/>
          <w:lang w:val="pt-BR"/>
        </w:rPr>
        <w:t>Na atualização para o Windows Server 2012 Datacenter sob essa concessão, as Licenças Qualificadas do Windows Server 2008 R2 Datacenter existentes do cliente não serão mais válidas.</w:t>
      </w:r>
    </w:p>
    <w:p w:rsidR="00F745E1" w:rsidRPr="008D38F6" w:rsidRDefault="00F745E1" w:rsidP="00C83670">
      <w:pPr>
        <w:numPr>
          <w:ilvl w:val="0"/>
          <w:numId w:val="70"/>
        </w:numPr>
        <w:spacing w:afterLines="60" w:after="144"/>
        <w:ind w:left="1440" w:hanging="274"/>
        <w:rPr>
          <w:lang w:val="pt-BR"/>
        </w:rPr>
      </w:pPr>
      <w:r w:rsidRPr="008D38F6">
        <w:rPr>
          <w:color w:val="000000"/>
          <w:lang w:val="pt-BR"/>
        </w:rPr>
        <w:t xml:space="preserve">As licenças do Windows Server 2008 R2 Datacenter </w:t>
      </w:r>
      <w:r w:rsidRPr="008D38F6">
        <w:rPr>
          <w:rFonts w:cs="Tahoma"/>
          <w:bCs/>
          <w:color w:val="000000"/>
          <w:szCs w:val="18"/>
          <w:lang w:val="pt-BR"/>
        </w:rPr>
        <w:t>adquiridas posteriormente no mesmo prazo de</w:t>
      </w:r>
      <w:r w:rsidR="00185DE6" w:rsidRPr="008D38F6">
        <w:rPr>
          <w:color w:val="000000"/>
          <w:lang w:val="pt-BR"/>
        </w:rPr>
        <w:t> </w:t>
      </w:r>
      <w:r w:rsidRPr="008D38F6">
        <w:rPr>
          <w:rFonts w:cs="Tahoma"/>
          <w:bCs/>
          <w:color w:val="000000"/>
          <w:szCs w:val="18"/>
          <w:lang w:val="pt-BR"/>
        </w:rPr>
        <w:t>registro, como parte de um processo de adequação (“true-up”) programado do cliente Enterprise, Enterprise Subscription, Open Value Subscription ou EES também são Licenças Qualificadas para os propósitos da concessão supracitada.</w:t>
      </w:r>
    </w:p>
    <w:p w:rsidR="00FD1141" w:rsidRPr="008D38F6" w:rsidRDefault="00FD1141" w:rsidP="00C83670">
      <w:pPr>
        <w:numPr>
          <w:ilvl w:val="0"/>
          <w:numId w:val="70"/>
        </w:numPr>
        <w:spacing w:afterLines="60" w:after="144"/>
        <w:ind w:left="1440" w:hanging="274"/>
        <w:rPr>
          <w:lang w:val="pt-BR"/>
        </w:rPr>
      </w:pPr>
      <w:r w:rsidRPr="008D38F6">
        <w:rPr>
          <w:rFonts w:cs="Tahoma"/>
          <w:lang w:val="pt-BR"/>
        </w:rPr>
        <w:t xml:space="preserve">Licenças de um único processador do Windows Server Datacenter adquiridas depois de </w:t>
      </w:r>
      <w:r w:rsidR="00185DE6" w:rsidRPr="008D38F6">
        <w:rPr>
          <w:rFonts w:cs="Tahoma"/>
          <w:lang w:val="pt-BR"/>
        </w:rPr>
        <w:br/>
      </w:r>
      <w:r w:rsidR="00EB0F1B" w:rsidRPr="008D38F6">
        <w:rPr>
          <w:rFonts w:cs="Tahoma"/>
          <w:lang w:val="pt-BR"/>
        </w:rPr>
        <w:t>1</w:t>
      </w:r>
      <w:r w:rsidR="00EB0F1B" w:rsidRPr="008D38F6">
        <w:rPr>
          <w:rFonts w:cs="Tahoma"/>
          <w:vertAlign w:val="superscript"/>
          <w:lang w:val="pt-BR"/>
        </w:rPr>
        <w:t>º</w:t>
      </w:r>
      <w:r w:rsidRPr="008D38F6">
        <w:rPr>
          <w:rFonts w:cs="Tahoma"/>
          <w:lang w:val="pt-BR"/>
        </w:rPr>
        <w:t xml:space="preserve"> de setembro de 2012 com cobertura de Software Assurance também são Licenças Qualificadas</w:t>
      </w:r>
      <w:r w:rsidR="00185DE6" w:rsidRPr="008D38F6">
        <w:rPr>
          <w:rFonts w:cs="Tahoma"/>
          <w:lang w:val="pt-BR"/>
        </w:rPr>
        <w:t> </w:t>
      </w:r>
      <w:r w:rsidRPr="008D38F6">
        <w:rPr>
          <w:rFonts w:cs="Tahoma"/>
          <w:lang w:val="pt-BR"/>
        </w:rPr>
        <w:t>para os propó</w:t>
      </w:r>
      <w:r w:rsidR="00F00213" w:rsidRPr="008D38F6">
        <w:rPr>
          <w:rFonts w:cs="Tahoma"/>
          <w:lang w:val="pt-BR"/>
        </w:rPr>
        <w:t>sitos da concessão supracitada.</w:t>
      </w:r>
    </w:p>
    <w:p w:rsidR="00F745E1" w:rsidRPr="008D38F6" w:rsidRDefault="00F745E1" w:rsidP="00C83670">
      <w:pPr>
        <w:numPr>
          <w:ilvl w:val="0"/>
          <w:numId w:val="70"/>
        </w:numPr>
        <w:spacing w:afterLines="60" w:after="144"/>
        <w:ind w:left="1440" w:hanging="274"/>
        <w:rPr>
          <w:lang w:val="pt-BR"/>
        </w:rPr>
      </w:pPr>
      <w:r w:rsidRPr="008D38F6">
        <w:rPr>
          <w:rFonts w:cs="Tahoma"/>
          <w:bCs/>
          <w:color w:val="000000"/>
          <w:szCs w:val="18"/>
          <w:lang w:val="pt-BR"/>
        </w:rPr>
        <w:t>Não obstante a concessão das licenças do Windows Server 2012 Datacenter e qualquer atualização</w:t>
      </w:r>
      <w:r w:rsidR="00185DE6" w:rsidRPr="008D38F6">
        <w:rPr>
          <w:rFonts w:cs="Tahoma"/>
          <w:bCs/>
          <w:color w:val="000000"/>
          <w:szCs w:val="18"/>
          <w:lang w:val="pt-BR"/>
        </w:rPr>
        <w:t> </w:t>
      </w:r>
      <w:r w:rsidRPr="008D38F6">
        <w:rPr>
          <w:rFonts w:cs="Tahoma"/>
          <w:bCs/>
          <w:color w:val="000000"/>
          <w:szCs w:val="18"/>
          <w:lang w:val="pt-BR"/>
        </w:rPr>
        <w:t>para esta versão, as obrigações de pagar montantes devidos e pendentes pelas</w:t>
      </w:r>
      <w:r w:rsidR="00185DE6" w:rsidRPr="008D38F6">
        <w:rPr>
          <w:rFonts w:cs="Tahoma"/>
          <w:bCs/>
          <w:color w:val="000000"/>
          <w:szCs w:val="18"/>
          <w:lang w:val="pt-BR"/>
        </w:rPr>
        <w:t> </w:t>
      </w:r>
      <w:r w:rsidRPr="008D38F6">
        <w:rPr>
          <w:rFonts w:cs="Tahoma"/>
          <w:bCs/>
          <w:color w:val="000000"/>
          <w:szCs w:val="18"/>
          <w:lang w:val="pt-BR"/>
        </w:rPr>
        <w:t>Licenças Qualificadas e cobertura permanecem em pleno vigor e efeito.</w:t>
      </w:r>
    </w:p>
    <w:p w:rsidR="00376D4B" w:rsidRPr="008D38F6" w:rsidRDefault="00376D4B" w:rsidP="00376D4B">
      <w:pPr>
        <w:ind w:left="720"/>
        <w:rPr>
          <w:lang w:val="pt-BR"/>
        </w:rPr>
      </w:pPr>
    </w:p>
    <w:p w:rsidR="00FD1141" w:rsidRPr="008D38F6" w:rsidRDefault="00BF7C75" w:rsidP="00FD1141">
      <w:pPr>
        <w:ind w:left="720"/>
        <w:rPr>
          <w:lang w:val="pt-BR"/>
        </w:rPr>
      </w:pPr>
      <w:r w:rsidRPr="008D38F6">
        <w:rPr>
          <w:rFonts w:cs="Tahoma"/>
          <w:color w:val="000000"/>
          <w:szCs w:val="18"/>
          <w:lang w:val="pt-BR"/>
        </w:rPr>
        <w:t>Windows Server 2012 Datacenter – 1 SKU de Licença de Processador; o Windows Server 2012 está mudando para um Processador mais o modelo de licenciamento de CAL, com cada licença abrangendo dois</w:t>
      </w:r>
      <w:r w:rsidR="00185DE6" w:rsidRPr="008D38F6">
        <w:rPr>
          <w:rFonts w:cs="Tahoma"/>
          <w:bCs/>
          <w:color w:val="000000"/>
          <w:szCs w:val="18"/>
          <w:lang w:val="pt-BR"/>
        </w:rPr>
        <w:t> </w:t>
      </w:r>
      <w:r w:rsidRPr="008D38F6">
        <w:rPr>
          <w:rFonts w:cs="Tahoma"/>
          <w:color w:val="000000"/>
          <w:szCs w:val="18"/>
          <w:lang w:val="pt-BR"/>
        </w:rPr>
        <w:t>processadores.</w:t>
      </w:r>
      <w:r w:rsidR="00FB5496" w:rsidRPr="008D38F6">
        <w:rPr>
          <w:rFonts w:cs="Tahoma"/>
          <w:color w:val="000000"/>
          <w:szCs w:val="18"/>
          <w:lang w:val="pt-BR"/>
        </w:rPr>
        <w:t xml:space="preserve"> </w:t>
      </w:r>
      <w:r w:rsidRPr="008D38F6">
        <w:rPr>
          <w:rFonts w:cs="Tahoma"/>
          <w:color w:val="000000"/>
          <w:szCs w:val="18"/>
          <w:lang w:val="pt-BR"/>
        </w:rPr>
        <w:t>A oferta no. P71-01031 foi intencionalmente incluída na lista de preços de setembro e</w:t>
      </w:r>
      <w:r w:rsidR="00185DE6" w:rsidRPr="008D38F6">
        <w:rPr>
          <w:rFonts w:cs="Tahoma"/>
          <w:bCs/>
          <w:color w:val="000000"/>
          <w:szCs w:val="18"/>
          <w:lang w:val="pt-BR"/>
        </w:rPr>
        <w:t> </w:t>
      </w:r>
      <w:r w:rsidRPr="008D38F6">
        <w:rPr>
          <w:rFonts w:cs="Tahoma"/>
          <w:color w:val="000000"/>
          <w:szCs w:val="18"/>
          <w:lang w:val="pt-BR"/>
        </w:rPr>
        <w:t>não deve ser usada para nenhum programa que não seja o SPLA.</w:t>
      </w:r>
      <w:r w:rsidR="00FB5496" w:rsidRPr="008D38F6">
        <w:rPr>
          <w:rFonts w:cs="Tahoma"/>
          <w:color w:val="000000"/>
          <w:szCs w:val="18"/>
          <w:lang w:val="pt-BR"/>
        </w:rPr>
        <w:t xml:space="preserve"> </w:t>
      </w:r>
      <w:r w:rsidRPr="008D38F6">
        <w:rPr>
          <w:rFonts w:cs="Tahoma"/>
          <w:color w:val="000000"/>
          <w:szCs w:val="18"/>
          <w:lang w:val="pt-BR"/>
        </w:rPr>
        <w:t>Essa oferta abrange um único processador; os clientes que a adquirirem não serão cobertos pelos direitos de uso atuais.</w:t>
      </w:r>
      <w:r w:rsidR="00FB5496" w:rsidRPr="008D38F6">
        <w:rPr>
          <w:rFonts w:cs="Tahoma"/>
          <w:color w:val="000000"/>
          <w:szCs w:val="18"/>
          <w:lang w:val="pt-BR"/>
        </w:rPr>
        <w:t xml:space="preserve"> </w:t>
      </w:r>
      <w:r w:rsidRPr="008D38F6">
        <w:rPr>
          <w:rFonts w:cs="Tahoma"/>
          <w:color w:val="000000"/>
          <w:szCs w:val="18"/>
          <w:lang w:val="pt-BR"/>
        </w:rPr>
        <w:t>Essa SKU só deve</w:t>
      </w:r>
      <w:r w:rsidR="00185DE6" w:rsidRPr="008D38F6">
        <w:rPr>
          <w:rFonts w:cs="Tahoma"/>
          <w:bCs/>
          <w:color w:val="000000"/>
          <w:szCs w:val="18"/>
          <w:lang w:val="pt-BR"/>
        </w:rPr>
        <w:t> </w:t>
      </w:r>
      <w:r w:rsidRPr="008D38F6">
        <w:rPr>
          <w:rFonts w:cs="Tahoma"/>
          <w:color w:val="000000"/>
          <w:szCs w:val="18"/>
          <w:lang w:val="pt-BR"/>
        </w:rPr>
        <w:t xml:space="preserve">ser usada pelos clientes SPLA. A oferta correta para todos os programas </w:t>
      </w:r>
      <w:r w:rsidRPr="008D38F6">
        <w:rPr>
          <w:rFonts w:cs="Tahoma"/>
          <w:szCs w:val="18"/>
          <w:lang w:val="pt-BR"/>
        </w:rPr>
        <w:t>que não sejam o SPLA é a</w:t>
      </w:r>
      <w:r w:rsidR="00185DE6" w:rsidRPr="008D38F6">
        <w:rPr>
          <w:rFonts w:cs="Tahoma"/>
          <w:bCs/>
          <w:color w:val="000000"/>
          <w:szCs w:val="18"/>
          <w:lang w:val="pt-BR"/>
        </w:rPr>
        <w:t> </w:t>
      </w:r>
      <w:r w:rsidRPr="008D38F6">
        <w:rPr>
          <w:rFonts w:cs="Tahoma"/>
          <w:szCs w:val="18"/>
          <w:lang w:val="pt-BR"/>
        </w:rPr>
        <w:t>oferta no. P71-07280. Os clientes que já adquiriram a oferta no. P71-01031, consulte a concessão de</w:t>
      </w:r>
      <w:r w:rsidR="00185DE6" w:rsidRPr="008D38F6">
        <w:rPr>
          <w:rFonts w:cs="Tahoma"/>
          <w:bCs/>
          <w:color w:val="000000"/>
          <w:szCs w:val="18"/>
          <w:lang w:val="pt-BR"/>
        </w:rPr>
        <w:t> </w:t>
      </w:r>
      <w:r w:rsidRPr="008D38F6">
        <w:rPr>
          <w:rFonts w:cs="Tahoma"/>
          <w:szCs w:val="18"/>
          <w:lang w:val="pt-BR"/>
        </w:rPr>
        <w:t>migração acima.</w:t>
      </w:r>
    </w:p>
    <w:p w:rsidR="00202A44" w:rsidRPr="008D38F6" w:rsidRDefault="00202A44" w:rsidP="00376D4B">
      <w:pPr>
        <w:ind w:left="720"/>
        <w:rPr>
          <w:lang w:val="pt-BR"/>
        </w:rPr>
      </w:pPr>
    </w:p>
    <w:p w:rsidR="00F745E1" w:rsidRPr="008D38F6" w:rsidRDefault="00202A44" w:rsidP="00BA1490">
      <w:pPr>
        <w:pStyle w:val="PURBody-Indented"/>
        <w:ind w:left="720"/>
        <w:rPr>
          <w:lang w:val="pt-BR"/>
        </w:rPr>
      </w:pPr>
      <w:r w:rsidRPr="008D38F6">
        <w:rPr>
          <w:rFonts w:ascii="Tahoma" w:hAnsi="Tahoma" w:cs="Tahoma"/>
          <w:color w:val="000000"/>
          <w:sz w:val="18"/>
          <w:szCs w:val="18"/>
          <w:lang w:val="pt-BR"/>
        </w:rPr>
        <w:t xml:space="preserve">Windows Server 2012 Datacenter: </w:t>
      </w:r>
      <w:r w:rsidRPr="008D38F6">
        <w:rPr>
          <w:rFonts w:ascii="Tahoma" w:hAnsi="Tahoma" w:cs="Tahoma"/>
          <w:sz w:val="18"/>
          <w:szCs w:val="18"/>
          <w:lang w:val="pt-BR"/>
        </w:rPr>
        <w:t>Você poderá executar uma instância do Windows Server Datacenter, Enterprise, Standard ou Essentials (a mesma ou qualquer versão anterior) em vez do Windows Server 2012 Datacenter em qualquer OSE em seu servidor licenciado.</w:t>
      </w:r>
    </w:p>
    <w:p w:rsidR="00185DE6" w:rsidRPr="008D38F6" w:rsidRDefault="00185DE6" w:rsidP="00F745E1">
      <w:pPr>
        <w:pStyle w:val="ListParagraph"/>
        <w:ind w:left="0"/>
        <w:contextualSpacing w:val="0"/>
        <w:rPr>
          <w:rFonts w:ascii="Tahoma" w:eastAsia="SimSun" w:hAnsi="Tahoma" w:cs="Tahoma"/>
          <w:sz w:val="18"/>
          <w:szCs w:val="18"/>
          <w:lang w:val="pt-BR"/>
        </w:rPr>
      </w:pPr>
    </w:p>
    <w:p w:rsidR="003E651C" w:rsidRPr="008D38F6" w:rsidRDefault="003E651C" w:rsidP="00F745E1">
      <w:pPr>
        <w:pStyle w:val="ListParagraph"/>
        <w:ind w:left="0"/>
        <w:contextualSpacing w:val="0"/>
        <w:rPr>
          <w:rFonts w:ascii="Tahoma" w:eastAsia="SimSun" w:hAnsi="Tahoma" w:cs="Tahoma"/>
          <w:sz w:val="18"/>
          <w:szCs w:val="18"/>
          <w:lang w:val="pt-BR"/>
        </w:rPr>
      </w:pPr>
    </w:p>
    <w:p w:rsidR="003E651C" w:rsidRPr="008D38F6" w:rsidRDefault="003E651C" w:rsidP="00F745E1">
      <w:pPr>
        <w:pStyle w:val="ListParagraph"/>
        <w:ind w:left="0"/>
        <w:contextualSpacing w:val="0"/>
        <w:rPr>
          <w:rFonts w:ascii="Tahoma" w:eastAsia="SimSun" w:hAnsi="Tahoma" w:cs="Tahoma"/>
          <w:sz w:val="18"/>
          <w:szCs w:val="18"/>
          <w:lang w:val="pt-BR"/>
        </w:rPr>
      </w:pPr>
    </w:p>
    <w:p w:rsidR="003E651C" w:rsidRPr="008D38F6" w:rsidRDefault="003E651C" w:rsidP="00F745E1">
      <w:pPr>
        <w:pStyle w:val="ListParagraph"/>
        <w:ind w:left="0"/>
        <w:contextualSpacing w:val="0"/>
        <w:rPr>
          <w:rFonts w:ascii="Tahoma" w:eastAsia="SimSun" w:hAnsi="Tahoma" w:cs="Tahoma"/>
          <w:sz w:val="18"/>
          <w:szCs w:val="18"/>
          <w:lang w:val="pt-BR"/>
        </w:rPr>
      </w:pPr>
    </w:p>
    <w:p w:rsidR="00F00213" w:rsidRPr="008D38F6" w:rsidRDefault="00F00213" w:rsidP="00F745E1">
      <w:pPr>
        <w:pStyle w:val="ListParagraph"/>
        <w:ind w:left="0"/>
        <w:contextualSpacing w:val="0"/>
        <w:rPr>
          <w:rFonts w:ascii="Tahoma" w:eastAsia="SimSun" w:hAnsi="Tahoma" w:cs="Tahoma"/>
          <w:sz w:val="18"/>
          <w:szCs w:val="18"/>
          <w:lang w:val="pt-BR"/>
        </w:rPr>
      </w:pPr>
    </w:p>
    <w:p w:rsidR="00F745E1" w:rsidRPr="00416070" w:rsidRDefault="00BA29A7" w:rsidP="00F745E1">
      <w:pPr>
        <w:pStyle w:val="Heading3"/>
      </w:pPr>
      <w:bookmarkStart w:id="1556" w:name="_118_Windows_Server"/>
      <w:bookmarkStart w:id="1557" w:name="_Toc336338374"/>
      <w:bookmarkStart w:id="1558" w:name="_Toc352234433"/>
      <w:bookmarkStart w:id="1559" w:name="Srv_102WindowsSvr08R2Std"/>
      <w:bookmarkStart w:id="1560" w:name="Srv_114WindowsSvr08R2Std"/>
      <w:bookmarkStart w:id="1561" w:name="Srv_118WindowsSvr08R2Std"/>
      <w:bookmarkStart w:id="1562" w:name="Srv_99WindowsSvr08R2ItaniumSys"/>
      <w:bookmarkStart w:id="1563" w:name="Srv_100WindowsSvr08R2ItaniumSys"/>
      <w:bookmarkEnd w:id="1556"/>
      <w:r w:rsidRPr="00416070">
        <w:rPr>
          <w:rStyle w:val="Heading3Char"/>
          <w:rFonts w:ascii="Tahoma" w:hAnsi="Tahoma"/>
          <w:b/>
          <w:caps/>
          <w:color w:val="F66400"/>
          <w:sz w:val="22"/>
          <w:vertAlign w:val="superscript"/>
        </w:rPr>
        <w:t>107</w:t>
      </w:r>
      <w:r w:rsidRPr="00615CB9">
        <w:rPr>
          <w:rStyle w:val="Heading3Char"/>
          <w:rFonts w:ascii="Tahoma" w:hAnsi="Tahoma"/>
          <w:b/>
          <w:caps/>
          <w:color w:val="F66400"/>
          <w:sz w:val="22"/>
        </w:rPr>
        <w:t xml:space="preserve"> </w:t>
      </w:r>
      <w:r w:rsidRPr="00416070">
        <w:rPr>
          <w:rStyle w:val="Heading3Char"/>
          <w:rFonts w:ascii="Tahoma" w:hAnsi="Tahoma"/>
          <w:b/>
          <w:color w:val="F66400"/>
          <w:sz w:val="22"/>
        </w:rPr>
        <w:t>Windows Server 2008 R2 Standard</w:t>
      </w:r>
      <w:bookmarkEnd w:id="1557"/>
      <w:bookmarkEnd w:id="1558"/>
      <w:r w:rsidRPr="00416070">
        <w:rPr>
          <w:rStyle w:val="Heading3Char"/>
          <w:rFonts w:ascii="Tahoma" w:hAnsi="Tahoma"/>
          <w:b/>
          <w:color w:val="F66400"/>
          <w:sz w:val="22"/>
        </w:rPr>
        <w:t xml:space="preserve"> </w:t>
      </w:r>
    </w:p>
    <w:bookmarkEnd w:id="1559"/>
    <w:bookmarkEnd w:id="1560"/>
    <w:bookmarkEnd w:id="1561"/>
    <w:p w:rsidR="00376D4B" w:rsidRPr="008D38F6" w:rsidRDefault="00376D4B" w:rsidP="002A01C2">
      <w:pPr>
        <w:tabs>
          <w:tab w:val="left" w:pos="360"/>
        </w:tabs>
        <w:ind w:left="360"/>
        <w:rPr>
          <w:rFonts w:cs="Tahoma"/>
          <w:szCs w:val="18"/>
          <w:lang w:val="pt-BR"/>
        </w:rPr>
      </w:pPr>
    </w:p>
    <w:p w:rsidR="002A01C2" w:rsidRPr="008D38F6" w:rsidRDefault="00F745E1" w:rsidP="002A01C2">
      <w:pPr>
        <w:spacing w:after="60"/>
        <w:ind w:left="720"/>
        <w:rPr>
          <w:rFonts w:cs="Tahoma"/>
          <w:szCs w:val="18"/>
          <w:lang w:val="pt-BR"/>
        </w:rPr>
      </w:pPr>
      <w:r w:rsidRPr="008D38F6">
        <w:rPr>
          <w:rFonts w:cs="Tahoma"/>
          <w:b/>
          <w:color w:val="000000"/>
          <w:szCs w:val="18"/>
          <w:lang w:val="pt-BR"/>
        </w:rPr>
        <w:t>Outorgas de licença associadas à alteração no modelo de licenciamento para Windows Server</w:t>
      </w:r>
      <w:r w:rsidR="00185DE6" w:rsidRPr="008D38F6">
        <w:rPr>
          <w:rFonts w:cs="Tahoma"/>
          <w:b/>
          <w:color w:val="000000"/>
          <w:szCs w:val="18"/>
          <w:lang w:val="pt-BR"/>
        </w:rPr>
        <w:t> </w:t>
      </w:r>
      <w:r w:rsidRPr="008D38F6">
        <w:rPr>
          <w:rFonts w:cs="Tahoma"/>
          <w:b/>
          <w:color w:val="000000"/>
          <w:szCs w:val="18"/>
          <w:lang w:val="pt-BR"/>
        </w:rPr>
        <w:t>Standard</w:t>
      </w:r>
    </w:p>
    <w:p w:rsidR="00F745E1" w:rsidRPr="008D38F6" w:rsidRDefault="00F745E1" w:rsidP="002A01C2">
      <w:pPr>
        <w:numPr>
          <w:ilvl w:val="0"/>
          <w:numId w:val="66"/>
        </w:numPr>
        <w:tabs>
          <w:tab w:val="left" w:pos="1260"/>
          <w:tab w:val="left" w:pos="1440"/>
        </w:tabs>
        <w:ind w:left="1440"/>
        <w:rPr>
          <w:rFonts w:cs="Tahoma"/>
          <w:szCs w:val="18"/>
          <w:lang w:val="pt-BR"/>
        </w:rPr>
      </w:pPr>
      <w:r w:rsidRPr="008D38F6">
        <w:rPr>
          <w:rFonts w:cs="Tahoma"/>
          <w:color w:val="000000"/>
          <w:szCs w:val="18"/>
          <w:lang w:val="pt-BR"/>
        </w:rPr>
        <w:t xml:space="preserve">O Windows Server 2008 R2 Standard será a última versão do Windows Server licenciada sob o modelo de licenciamento de Servidor/CAL. O Windows Server 2012 Standard será licenciado sob um novo modelo de licenciamento no qual cada licença poderá licenciar até dois processadores físicos. Os clientes de licenciamento por volume com Software Assurance ativo para licenças do Windows Server 2008 R2 Standard em </w:t>
      </w:r>
      <w:r w:rsidR="00EB0F1B" w:rsidRPr="008D38F6">
        <w:rPr>
          <w:rFonts w:cs="Tahoma"/>
          <w:color w:val="000000"/>
          <w:szCs w:val="18"/>
          <w:lang w:val="pt-BR"/>
        </w:rPr>
        <w:t>1</w:t>
      </w:r>
      <w:r w:rsidR="00EB0F1B" w:rsidRPr="008D38F6">
        <w:rPr>
          <w:rFonts w:cs="Tahoma"/>
          <w:color w:val="000000"/>
          <w:szCs w:val="18"/>
          <w:vertAlign w:val="superscript"/>
          <w:lang w:val="pt-BR"/>
        </w:rPr>
        <w:t>º</w:t>
      </w:r>
      <w:r w:rsidRPr="008D38F6">
        <w:rPr>
          <w:rFonts w:cs="Tahoma"/>
          <w:color w:val="000000"/>
          <w:szCs w:val="18"/>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poderão</w:t>
      </w:r>
      <w:r w:rsidRPr="008D38F6">
        <w:rPr>
          <w:rFonts w:eastAsia="Calibri" w:cs="Tahoma"/>
          <w:szCs w:val="18"/>
          <w:lang w:val="pt-BR"/>
        </w:rPr>
        <w:t xml:space="preserve"> atualizar para e usar o software Windows Server 2012 Standard em vez</w:t>
      </w:r>
      <w:r w:rsidR="00185DE6" w:rsidRPr="008D38F6">
        <w:rPr>
          <w:rFonts w:eastAsia="Calibri" w:cs="Tahoma"/>
          <w:szCs w:val="18"/>
          <w:lang w:val="pt-BR"/>
        </w:rPr>
        <w:t> </w:t>
      </w:r>
      <w:r w:rsidRPr="008D38F6">
        <w:rPr>
          <w:rFonts w:eastAsia="Calibri" w:cs="Tahoma"/>
          <w:szCs w:val="18"/>
          <w:lang w:val="pt-BR"/>
        </w:rPr>
        <w:t>do</w:t>
      </w:r>
      <w:r w:rsidR="00185DE6" w:rsidRPr="008D38F6">
        <w:rPr>
          <w:rFonts w:eastAsia="Calibri" w:cs="Tahoma"/>
          <w:szCs w:val="18"/>
          <w:lang w:val="pt-BR"/>
        </w:rPr>
        <w:t> </w:t>
      </w:r>
      <w:r w:rsidRPr="008D38F6">
        <w:rPr>
          <w:rFonts w:eastAsia="Calibri" w:cs="Tahoma"/>
          <w:szCs w:val="18"/>
          <w:lang w:val="pt-BR"/>
        </w:rPr>
        <w:t>Windows Server 2008 R2 Standard. Para facilitar essa atualização, para cada Licença Qualificada que o cliente possui, ele terá, mediante a disponibilização do Windows Server 2012:</w:t>
      </w:r>
    </w:p>
    <w:p w:rsidR="00F745E1" w:rsidRPr="008D38F6" w:rsidRDefault="00F745E1" w:rsidP="002A01C2">
      <w:pPr>
        <w:numPr>
          <w:ilvl w:val="0"/>
          <w:numId w:val="66"/>
        </w:numPr>
        <w:tabs>
          <w:tab w:val="left" w:pos="1260"/>
          <w:tab w:val="left" w:pos="1440"/>
        </w:tabs>
        <w:ind w:left="1440"/>
        <w:rPr>
          <w:rFonts w:cs="Tahoma"/>
          <w:szCs w:val="18"/>
          <w:lang w:val="pt-BR"/>
        </w:rPr>
      </w:pPr>
      <w:r w:rsidRPr="008D38F6">
        <w:rPr>
          <w:rFonts w:eastAsia="Calibri" w:cs="Tahoma"/>
          <w:szCs w:val="18"/>
          <w:lang w:val="pt-BR"/>
        </w:rPr>
        <w:t>Uma licença do Windows Server 2012 Standard OU</w:t>
      </w:r>
    </w:p>
    <w:p w:rsidR="00F745E1" w:rsidRPr="008D38F6" w:rsidRDefault="00F745E1" w:rsidP="002A01C2">
      <w:pPr>
        <w:numPr>
          <w:ilvl w:val="0"/>
          <w:numId w:val="66"/>
        </w:numPr>
        <w:tabs>
          <w:tab w:val="left" w:pos="1260"/>
          <w:tab w:val="left" w:pos="1440"/>
        </w:tabs>
        <w:ind w:left="1440"/>
        <w:rPr>
          <w:rFonts w:cs="Tahoma"/>
          <w:szCs w:val="18"/>
          <w:lang w:val="pt-BR"/>
        </w:rPr>
      </w:pPr>
      <w:r w:rsidRPr="008D38F6">
        <w:rPr>
          <w:rFonts w:eastAsia="Calibri" w:cs="Tahoma"/>
          <w:szCs w:val="18"/>
          <w:lang w:val="pt-BR"/>
        </w:rPr>
        <w:t>Duas licenças do Windows Server 2012 Standard se o número real de processadores físicos no servidor no qual a Licença Qualificada está atribuída exceder duas. (Em tais casos, os clientes devem criar um registro de configuração do hardware físico oferecendo suporte ao software antes da expiração da cobertura de Software Assurance sob o contrato atual, quer usando a ferramenta Microsoft MAP ou qualquer software equivalente. Essa concessão está disponível somente para uma Licença Qualificada por servidor.)</w:t>
      </w:r>
    </w:p>
    <w:p w:rsidR="00F745E1" w:rsidRPr="008D38F6" w:rsidRDefault="00F745E1" w:rsidP="002A01C2">
      <w:pPr>
        <w:numPr>
          <w:ilvl w:val="0"/>
          <w:numId w:val="66"/>
        </w:numPr>
        <w:tabs>
          <w:tab w:val="left" w:pos="1260"/>
          <w:tab w:val="left" w:pos="1440"/>
        </w:tabs>
        <w:ind w:left="1440"/>
        <w:rPr>
          <w:rFonts w:cs="Tahoma"/>
          <w:szCs w:val="18"/>
          <w:lang w:val="pt-BR"/>
        </w:rPr>
      </w:pPr>
      <w:r w:rsidRPr="008D38F6">
        <w:rPr>
          <w:rFonts w:eastAsia="Calibri" w:cs="Tahoma"/>
          <w:szCs w:val="18"/>
          <w:lang w:val="pt-BR"/>
        </w:rPr>
        <w:t>As licenças adquiridas sob esta concessão incluirão cobertura do Software Assurance.</w:t>
      </w:r>
      <w:r w:rsidR="00FB5496" w:rsidRPr="008D38F6">
        <w:rPr>
          <w:rFonts w:eastAsia="Calibri" w:cs="Tahoma"/>
          <w:szCs w:val="18"/>
          <w:lang w:val="pt-BR"/>
        </w:rPr>
        <w:t xml:space="preserve"> </w:t>
      </w:r>
      <w:r w:rsidR="00185DE6" w:rsidRPr="008D38F6">
        <w:rPr>
          <w:rFonts w:eastAsia="Calibri" w:cs="Tahoma"/>
          <w:szCs w:val="18"/>
          <w:lang w:val="pt-BR"/>
        </w:rPr>
        <w:br/>
      </w:r>
      <w:r w:rsidRPr="008D38F6">
        <w:rPr>
          <w:rFonts w:eastAsia="Calibri" w:cs="Tahoma"/>
          <w:szCs w:val="18"/>
          <w:lang w:val="pt-BR"/>
        </w:rPr>
        <w:t>Tal cobertura expira quando a cobertura correspondente nas Licenças Qualificadas expirar.</w:t>
      </w:r>
    </w:p>
    <w:p w:rsidR="00F745E1" w:rsidRPr="008D38F6" w:rsidRDefault="00F745E1" w:rsidP="002A01C2">
      <w:pPr>
        <w:numPr>
          <w:ilvl w:val="0"/>
          <w:numId w:val="66"/>
        </w:numPr>
        <w:tabs>
          <w:tab w:val="left" w:pos="1260"/>
          <w:tab w:val="left" w:pos="1440"/>
        </w:tabs>
        <w:ind w:left="1440"/>
        <w:rPr>
          <w:rFonts w:cs="Tahoma"/>
          <w:szCs w:val="18"/>
          <w:lang w:val="pt-BR"/>
        </w:rPr>
      </w:pPr>
      <w:r w:rsidRPr="008D38F6">
        <w:rPr>
          <w:rFonts w:eastAsia="Calibri" w:cs="Tahoma"/>
          <w:szCs w:val="18"/>
          <w:lang w:val="pt-BR"/>
        </w:rPr>
        <w:t>Se os clientes adquiriram direitos perpétuos para usar o software sob as Licenças Qualificadas, as</w:t>
      </w:r>
      <w:r w:rsidR="00185DE6" w:rsidRPr="008D38F6">
        <w:rPr>
          <w:rFonts w:eastAsia="Calibri" w:cs="Tahoma"/>
          <w:szCs w:val="18"/>
          <w:lang w:val="pt-BR"/>
        </w:rPr>
        <w:t> </w:t>
      </w:r>
      <w:r w:rsidRPr="008D38F6">
        <w:rPr>
          <w:rFonts w:eastAsia="Calibri" w:cs="Tahoma"/>
          <w:szCs w:val="18"/>
          <w:lang w:val="pt-BR"/>
        </w:rPr>
        <w:t>licenças adquiridas sob essa concessão serão também perpétuas; caso contrário, as licenças adquiridas sob essa concessão expirarão quando as Licenças Qualificadas subjacentes expirarem.</w:t>
      </w:r>
    </w:p>
    <w:p w:rsidR="00F745E1" w:rsidRPr="008D38F6" w:rsidRDefault="00F745E1" w:rsidP="002A01C2">
      <w:pPr>
        <w:numPr>
          <w:ilvl w:val="0"/>
          <w:numId w:val="66"/>
        </w:numPr>
        <w:tabs>
          <w:tab w:val="left" w:pos="1260"/>
          <w:tab w:val="left" w:pos="1440"/>
        </w:tabs>
        <w:ind w:left="1440"/>
        <w:rPr>
          <w:rFonts w:cs="Tahoma"/>
          <w:szCs w:val="18"/>
          <w:lang w:val="pt-BR"/>
        </w:rPr>
      </w:pPr>
      <w:r w:rsidRPr="008D38F6">
        <w:rPr>
          <w:rFonts w:eastAsia="Calibri" w:cs="Tahoma"/>
          <w:szCs w:val="18"/>
          <w:lang w:val="pt-BR"/>
        </w:rPr>
        <w:t>Na atualização para o Windows Server 2012 Standard sob essa concessão, as licenças do Windows</w:t>
      </w:r>
      <w:r w:rsidR="00185DE6" w:rsidRPr="008D38F6">
        <w:rPr>
          <w:rFonts w:eastAsia="Calibri" w:cs="Tahoma"/>
          <w:szCs w:val="18"/>
          <w:lang w:val="pt-BR"/>
        </w:rPr>
        <w:t> </w:t>
      </w:r>
      <w:r w:rsidRPr="008D38F6">
        <w:rPr>
          <w:rFonts w:eastAsia="Calibri" w:cs="Tahoma"/>
          <w:szCs w:val="18"/>
          <w:lang w:val="pt-BR"/>
        </w:rPr>
        <w:t>Server 2008 R2 Standard existentes do cliente não serão mais válidas.</w:t>
      </w:r>
    </w:p>
    <w:p w:rsidR="00F745E1" w:rsidRPr="008D38F6" w:rsidRDefault="00F745E1" w:rsidP="002A01C2">
      <w:pPr>
        <w:numPr>
          <w:ilvl w:val="0"/>
          <w:numId w:val="70"/>
        </w:numPr>
        <w:tabs>
          <w:tab w:val="left" w:pos="1440"/>
        </w:tabs>
        <w:ind w:left="1440"/>
        <w:rPr>
          <w:rFonts w:cs="Tahoma"/>
          <w:szCs w:val="18"/>
          <w:lang w:val="pt-BR"/>
        </w:rPr>
      </w:pPr>
      <w:r w:rsidRPr="008D38F6">
        <w:rPr>
          <w:rFonts w:cs="Tahoma"/>
          <w:color w:val="000000"/>
          <w:szCs w:val="18"/>
          <w:lang w:val="pt-BR"/>
        </w:rPr>
        <w:t xml:space="preserve">As licenças do Windows Server 2008 R2 Standard </w:t>
      </w:r>
      <w:r w:rsidRPr="008D38F6">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os</w:t>
      </w:r>
      <w:r w:rsidR="00185DE6" w:rsidRPr="008D38F6">
        <w:rPr>
          <w:rFonts w:cs="Tahoma"/>
          <w:bCs/>
          <w:color w:val="000000"/>
          <w:szCs w:val="18"/>
          <w:lang w:val="pt-BR"/>
        </w:rPr>
        <w:t> </w:t>
      </w:r>
      <w:r w:rsidRPr="008D38F6">
        <w:rPr>
          <w:rFonts w:cs="Tahoma"/>
          <w:bCs/>
          <w:color w:val="000000"/>
          <w:szCs w:val="18"/>
          <w:lang w:val="pt-BR"/>
        </w:rPr>
        <w:t>propósitos da outorga de licença supracitada.</w:t>
      </w:r>
    </w:p>
    <w:p w:rsidR="00F745E1" w:rsidRPr="008D38F6" w:rsidRDefault="00F745E1" w:rsidP="002A01C2">
      <w:pPr>
        <w:numPr>
          <w:ilvl w:val="0"/>
          <w:numId w:val="70"/>
        </w:numPr>
        <w:tabs>
          <w:tab w:val="left" w:pos="1440"/>
        </w:tabs>
        <w:ind w:left="1440"/>
        <w:rPr>
          <w:rFonts w:cs="Tahoma"/>
          <w:szCs w:val="18"/>
          <w:lang w:val="pt-BR"/>
        </w:rPr>
      </w:pPr>
      <w:r w:rsidRPr="008D38F6">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F745E1" w:rsidRPr="008D38F6" w:rsidRDefault="00F745E1" w:rsidP="002A01C2">
      <w:pPr>
        <w:tabs>
          <w:tab w:val="left" w:pos="1440"/>
        </w:tabs>
        <w:ind w:left="1440"/>
        <w:rPr>
          <w:rFonts w:cs="Tahoma"/>
          <w:szCs w:val="18"/>
          <w:lang w:val="pt-BR"/>
        </w:rPr>
      </w:pPr>
    </w:p>
    <w:bookmarkEnd w:id="1562"/>
    <w:bookmarkEnd w:id="1563"/>
    <w:p w:rsidR="002A01C2" w:rsidRPr="008D38F6" w:rsidRDefault="005403C8" w:rsidP="002A01C2">
      <w:pPr>
        <w:pStyle w:val="PURBody-Indented"/>
        <w:spacing w:after="60"/>
        <w:ind w:left="720"/>
        <w:rPr>
          <w:rFonts w:ascii="Tahoma" w:hAnsi="Tahoma" w:cs="Tahoma"/>
          <w:sz w:val="18"/>
          <w:szCs w:val="18"/>
          <w:lang w:val="pt-BR"/>
        </w:rPr>
      </w:pPr>
      <w:r w:rsidRPr="008D38F6">
        <w:rPr>
          <w:rFonts w:ascii="Tahoma" w:hAnsi="Tahoma" w:cs="Tahoma"/>
          <w:b/>
          <w:color w:val="000000"/>
          <w:sz w:val="18"/>
          <w:szCs w:val="18"/>
          <w:lang w:val="pt-BR"/>
        </w:rPr>
        <w:t>Windows Server 2012 Standard</w:t>
      </w:r>
    </w:p>
    <w:p w:rsidR="005403C8" w:rsidRPr="008D38F6" w:rsidRDefault="005403C8" w:rsidP="002A01C2">
      <w:pPr>
        <w:pStyle w:val="PURBody-Indented"/>
        <w:spacing w:after="0"/>
        <w:ind w:left="720"/>
        <w:rPr>
          <w:rFonts w:ascii="Tahoma" w:hAnsi="Tahoma" w:cs="Tahoma"/>
          <w:sz w:val="18"/>
          <w:szCs w:val="18"/>
          <w:lang w:val="pt-BR"/>
        </w:rPr>
      </w:pPr>
      <w:r w:rsidRPr="008D38F6">
        <w:rPr>
          <w:rFonts w:ascii="Tahoma" w:hAnsi="Tahoma" w:cs="Tahoma"/>
          <w:sz w:val="18"/>
          <w:szCs w:val="18"/>
          <w:lang w:val="pt-BR"/>
        </w:rPr>
        <w:t>Você poderá executar uma instância do Windows Server Enterprise, Standard ou Essentials (a mesma ou qualquer versão anterior) em vez do Windows Server 2012 Standard em qualquer OSE em seu servidor licenciado.</w:t>
      </w:r>
    </w:p>
    <w:p w:rsidR="00F00213" w:rsidRPr="008D38F6" w:rsidRDefault="00F00213" w:rsidP="002A01C2">
      <w:pPr>
        <w:pStyle w:val="ListParagraph"/>
        <w:ind w:left="0"/>
        <w:contextualSpacing w:val="0"/>
        <w:rPr>
          <w:rFonts w:ascii="Tahoma" w:hAnsi="Tahoma" w:cs="Tahoma"/>
          <w:sz w:val="18"/>
          <w:szCs w:val="18"/>
          <w:lang w:val="pt-BR"/>
        </w:rPr>
      </w:pPr>
    </w:p>
    <w:p w:rsidR="00F00213" w:rsidRPr="008D38F6" w:rsidRDefault="00F00213" w:rsidP="002A01C2">
      <w:pPr>
        <w:pStyle w:val="ListParagraph"/>
        <w:ind w:left="0"/>
        <w:contextualSpacing w:val="0"/>
        <w:rPr>
          <w:rFonts w:ascii="Tahoma" w:hAnsi="Tahoma" w:cs="Tahoma"/>
          <w:sz w:val="18"/>
          <w:szCs w:val="18"/>
          <w:lang w:val="pt-BR"/>
        </w:rPr>
      </w:pPr>
    </w:p>
    <w:p w:rsidR="00816F76" w:rsidRPr="00416070" w:rsidRDefault="00BA29A7" w:rsidP="00EF2279">
      <w:pPr>
        <w:pStyle w:val="Heading3"/>
      </w:pPr>
      <w:bookmarkStart w:id="1564" w:name="_119_Windows_Web"/>
      <w:bookmarkStart w:id="1565" w:name="_Toc336338375"/>
      <w:bookmarkStart w:id="1566" w:name="_Toc352234434"/>
      <w:bookmarkStart w:id="1567" w:name="Srv_111WinSmallBizSVR2011Addon"/>
      <w:bookmarkStart w:id="1568" w:name="Srv_116WinSmallBizSVR2011Addon"/>
      <w:bookmarkStart w:id="1569" w:name="Srv_120WinSmallBizSVR2011Addon"/>
      <w:bookmarkEnd w:id="1550"/>
      <w:bookmarkEnd w:id="1564"/>
      <w:r w:rsidRPr="00416070">
        <w:rPr>
          <w:rFonts w:ascii="Tahoma" w:hAnsi="Tahoma" w:cs="Tahoma"/>
          <w:caps/>
          <w:color w:val="EE6000"/>
          <w:sz w:val="22"/>
          <w:szCs w:val="18"/>
          <w:vertAlign w:val="superscript"/>
        </w:rPr>
        <w:t>108</w:t>
      </w:r>
      <w:r w:rsidRPr="00416070">
        <w:rPr>
          <w:rFonts w:ascii="Tahoma" w:hAnsi="Tahoma" w:cs="Tahoma"/>
          <w:color w:val="EE6000"/>
          <w:sz w:val="22"/>
          <w:szCs w:val="18"/>
        </w:rPr>
        <w:t xml:space="preserve"> </w:t>
      </w:r>
      <w:r w:rsidRPr="00416070">
        <w:rPr>
          <w:rFonts w:ascii="Tahoma" w:hAnsi="Tahoma"/>
          <w:color w:val="F66400"/>
          <w:sz w:val="22"/>
        </w:rPr>
        <w:t>Windows Web Server</w:t>
      </w:r>
      <w:r w:rsidR="00510A6E" w:rsidRPr="00416070">
        <w:rPr>
          <w:rFonts w:ascii="Tahoma" w:hAnsi="Tahoma"/>
          <w:color w:val="F66400"/>
          <w:sz w:val="22"/>
          <w:vertAlign w:val="superscript"/>
        </w:rPr>
        <w:t>®</w:t>
      </w:r>
      <w:r w:rsidRPr="00416070">
        <w:rPr>
          <w:rFonts w:ascii="Tahoma" w:hAnsi="Tahoma"/>
          <w:color w:val="F66400"/>
          <w:sz w:val="22"/>
        </w:rPr>
        <w:t xml:space="preserve"> 2008 R2</w:t>
      </w:r>
      <w:bookmarkEnd w:id="1565"/>
      <w:bookmarkEnd w:id="1566"/>
    </w:p>
    <w:p w:rsidR="00816F76" w:rsidRPr="008D38F6" w:rsidRDefault="00816F76" w:rsidP="00CE7FAD">
      <w:pPr>
        <w:rPr>
          <w:lang w:val="pt-BR"/>
        </w:rPr>
      </w:pPr>
    </w:p>
    <w:p w:rsidR="00CE7FAD" w:rsidRPr="008D38F6" w:rsidRDefault="00816F76" w:rsidP="00CE7FAD">
      <w:pPr>
        <w:tabs>
          <w:tab w:val="left" w:pos="720"/>
        </w:tabs>
        <w:spacing w:after="60"/>
        <w:ind w:left="720"/>
        <w:rPr>
          <w:lang w:val="pt-BR"/>
        </w:rPr>
      </w:pPr>
      <w:r w:rsidRPr="008D38F6">
        <w:rPr>
          <w:b/>
          <w:color w:val="000000"/>
          <w:lang w:val="pt-BR"/>
        </w:rPr>
        <w:t>Outorgas de licença associadas ao término da validade do Windows Web Server</w:t>
      </w:r>
    </w:p>
    <w:p w:rsidR="00816F76" w:rsidRPr="008D38F6" w:rsidRDefault="00816F76" w:rsidP="00CE7FAD">
      <w:pPr>
        <w:tabs>
          <w:tab w:val="left" w:pos="720"/>
        </w:tabs>
        <w:ind w:left="720"/>
        <w:rPr>
          <w:lang w:val="pt-BR"/>
        </w:rPr>
      </w:pPr>
      <w:r w:rsidRPr="008D38F6">
        <w:rPr>
          <w:color w:val="000000"/>
          <w:lang w:val="pt-BR"/>
        </w:rPr>
        <w:t>O Windows Server 2008 R2 será a última versão da edição do Windows Web Server. Os clientes de licenciamento por volume com Software Assurance ativo para licenças do Windows Web Server 2008 R2 em</w:t>
      </w:r>
      <w:r w:rsidR="00185DE6" w:rsidRPr="008D38F6">
        <w:rPr>
          <w:color w:val="000000"/>
          <w:lang w:val="pt-BR"/>
        </w:rPr>
        <w:t> </w:t>
      </w:r>
      <w:r w:rsidR="00EB0F1B" w:rsidRPr="008D38F6">
        <w:rPr>
          <w:color w:val="000000"/>
          <w:lang w:val="pt-BR"/>
        </w:rPr>
        <w:t>1</w:t>
      </w:r>
      <w:r w:rsidR="00EB0F1B" w:rsidRPr="008D38F6">
        <w:rPr>
          <w:color w:val="000000"/>
          <w:vertAlign w:val="superscript"/>
          <w:lang w:val="pt-BR"/>
        </w:rPr>
        <w:t>º</w:t>
      </w:r>
      <w:r w:rsidRPr="008D38F6">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poderão </w:t>
      </w:r>
      <w:r w:rsidRPr="008D38F6">
        <w:rPr>
          <w:rFonts w:eastAsia="Calibri" w:cs="Tahoma"/>
          <w:szCs w:val="18"/>
          <w:lang w:val="pt-BR"/>
        </w:rPr>
        <w:t>usar o software Windows Server 2012 Standard. Para facilitar tal uso, para cada duas Licenças Qualificadas que o cliente possui, ele terá uma licença do processador Windows Server 2012 Standard mediante a disponibi</w:t>
      </w:r>
      <w:r w:rsidR="00F00213" w:rsidRPr="008D38F6">
        <w:rPr>
          <w:rFonts w:eastAsia="Calibri" w:cs="Tahoma"/>
          <w:szCs w:val="18"/>
          <w:lang w:val="pt-BR"/>
        </w:rPr>
        <w:t>lização do Windows Server 2012.</w:t>
      </w:r>
    </w:p>
    <w:p w:rsidR="00CE7FAD" w:rsidRPr="008D38F6" w:rsidRDefault="00CE7FAD" w:rsidP="00CE7FAD">
      <w:pPr>
        <w:tabs>
          <w:tab w:val="left" w:pos="720"/>
        </w:tabs>
        <w:ind w:left="720"/>
        <w:rPr>
          <w:lang w:val="pt-BR"/>
        </w:rPr>
      </w:pPr>
    </w:p>
    <w:p w:rsidR="00816F76" w:rsidRPr="008D38F6" w:rsidRDefault="00816F76" w:rsidP="00CE7FAD">
      <w:pPr>
        <w:numPr>
          <w:ilvl w:val="0"/>
          <w:numId w:val="70"/>
        </w:numPr>
        <w:tabs>
          <w:tab w:val="clear" w:pos="360"/>
          <w:tab w:val="num" w:pos="1440"/>
        </w:tabs>
        <w:spacing w:after="60"/>
        <w:ind w:left="1440"/>
        <w:rPr>
          <w:lang w:val="pt-BR"/>
        </w:rPr>
      </w:pPr>
      <w:r w:rsidRPr="008D38F6">
        <w:rPr>
          <w:color w:val="000000"/>
          <w:lang w:val="pt-BR"/>
        </w:rPr>
        <w:t>Se um cliente tiver um número ímpar de licenças do Web Server, o cliente precisará arredondar para cima para o próximo número par para determinar sua concessão.</w:t>
      </w:r>
      <w:r w:rsidR="00FB5496" w:rsidRPr="008D38F6">
        <w:rPr>
          <w:color w:val="000000"/>
          <w:lang w:val="pt-BR"/>
        </w:rPr>
        <w:t xml:space="preserve"> </w:t>
      </w:r>
      <w:r w:rsidRPr="008D38F6">
        <w:rPr>
          <w:color w:val="000000"/>
          <w:lang w:val="pt-BR"/>
        </w:rPr>
        <w:t>Por exemplo, um cliente que tenha três licenças do Web Server receberá no total duas licenças do Windows Server 2012 Standard.</w:t>
      </w:r>
    </w:p>
    <w:p w:rsidR="00816F76" w:rsidRPr="008D38F6" w:rsidRDefault="00816F76" w:rsidP="00CE7FAD">
      <w:pPr>
        <w:numPr>
          <w:ilvl w:val="0"/>
          <w:numId w:val="70"/>
        </w:numPr>
        <w:tabs>
          <w:tab w:val="clear" w:pos="360"/>
          <w:tab w:val="num" w:pos="1440"/>
        </w:tabs>
        <w:spacing w:after="60"/>
        <w:ind w:left="1440"/>
        <w:rPr>
          <w:rFonts w:cs="Tahoma"/>
          <w:szCs w:val="18"/>
          <w:lang w:val="pt-BR"/>
        </w:rPr>
      </w:pPr>
      <w:r w:rsidRPr="008D38F6">
        <w:rPr>
          <w:rFonts w:eastAsia="Calibri" w:cs="Tahoma"/>
          <w:szCs w:val="18"/>
          <w:lang w:val="pt-BR"/>
        </w:rPr>
        <w:t>Na atualização para o Windows Server 2012 Standard sob essa concessão, as licenças existentes do Windows Web Server 2008 R2 do cliente permanecerão válidas.</w:t>
      </w:r>
    </w:p>
    <w:p w:rsidR="00816F76" w:rsidRPr="00F00213"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F00213">
        <w:rPr>
          <w:rFonts w:ascii="Tahoma" w:eastAsia="Calibri" w:hAnsi="Tahoma" w:cs="Tahoma"/>
          <w:sz w:val="18"/>
          <w:szCs w:val="18"/>
        </w:rPr>
        <w:t>As licenças adquiridas sob esta concessão incluirão cobertura do Software Assurance.</w:t>
      </w:r>
      <w:r w:rsidR="00FB5496" w:rsidRPr="00F00213">
        <w:rPr>
          <w:rFonts w:ascii="Tahoma" w:eastAsia="Calibri" w:hAnsi="Tahoma" w:cs="Tahoma"/>
          <w:sz w:val="18"/>
          <w:szCs w:val="18"/>
        </w:rPr>
        <w:t xml:space="preserve"> </w:t>
      </w:r>
      <w:r w:rsidRPr="00F00213">
        <w:rPr>
          <w:rFonts w:ascii="Tahoma" w:eastAsia="Calibri" w:hAnsi="Tahoma" w:cs="Tahoma"/>
          <w:sz w:val="18"/>
          <w:szCs w:val="18"/>
        </w:rPr>
        <w:t>Tal cobertura expira quando a cobertura correspondente nas Licenças Qualificadas expirar.</w:t>
      </w:r>
    </w:p>
    <w:p w:rsidR="00816F76" w:rsidRPr="00F00213"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F00213">
        <w:rPr>
          <w:rFonts w:ascii="Tahoma" w:eastAsia="Calibri" w:hAnsi="Tahoma" w:cs="Tahoma"/>
          <w:sz w:val="18"/>
          <w:szCs w:val="18"/>
        </w:rPr>
        <w:t>Se os clientes adquiriram direitos perpétuos para usar o software sob as Licenças Qualificadas, as</w:t>
      </w:r>
      <w:r w:rsidR="00185DE6" w:rsidRPr="008D38F6">
        <w:rPr>
          <w:rFonts w:ascii="Tahoma" w:eastAsia="Calibri" w:hAnsi="Tahoma" w:cs="Tahoma"/>
          <w:sz w:val="18"/>
          <w:szCs w:val="18"/>
          <w:lang w:val="pt-BR"/>
        </w:rPr>
        <w:t> </w:t>
      </w:r>
      <w:r w:rsidRPr="00F00213">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816F76" w:rsidRPr="008D38F6" w:rsidRDefault="00816F76" w:rsidP="00CE7FAD">
      <w:pPr>
        <w:numPr>
          <w:ilvl w:val="0"/>
          <w:numId w:val="70"/>
        </w:numPr>
        <w:tabs>
          <w:tab w:val="clear" w:pos="360"/>
          <w:tab w:val="num" w:pos="1440"/>
        </w:tabs>
        <w:spacing w:after="60"/>
        <w:ind w:left="1440"/>
        <w:rPr>
          <w:rFonts w:cs="Tahoma"/>
          <w:szCs w:val="18"/>
          <w:lang w:val="pt-BR"/>
        </w:rPr>
      </w:pPr>
      <w:r w:rsidRPr="008D38F6">
        <w:rPr>
          <w:rFonts w:cs="Tahoma"/>
          <w:color w:val="000000"/>
          <w:szCs w:val="18"/>
          <w:lang w:val="pt-BR"/>
        </w:rPr>
        <w:t xml:space="preserve">As licenças do Windows Web Server 2008 R2 </w:t>
      </w:r>
      <w:r w:rsidRPr="008D38F6">
        <w:rPr>
          <w:rFonts w:cs="Tahoma"/>
          <w:bCs/>
          <w:color w:val="000000"/>
          <w:szCs w:val="18"/>
          <w:lang w:val="pt-BR"/>
        </w:rPr>
        <w:t>adquiridas posteriormente no mesmo prazo de registro, como parte de um processo de adequação (“true-up”) programado do cliente Enterprise, Enterprise Subscription, Open Value Subscription ou EES também são Licenças Qualificadas para os</w:t>
      </w:r>
      <w:r w:rsidR="00185DE6" w:rsidRPr="008D38F6">
        <w:rPr>
          <w:rFonts w:cs="Tahoma"/>
          <w:bCs/>
          <w:color w:val="000000"/>
          <w:szCs w:val="18"/>
          <w:lang w:val="pt-BR"/>
        </w:rPr>
        <w:t> </w:t>
      </w:r>
      <w:r w:rsidRPr="008D38F6">
        <w:rPr>
          <w:rFonts w:cs="Tahoma"/>
          <w:bCs/>
          <w:color w:val="000000"/>
          <w:szCs w:val="18"/>
          <w:lang w:val="pt-BR"/>
        </w:rPr>
        <w:t>propó</w:t>
      </w:r>
      <w:r w:rsidR="00F00213" w:rsidRPr="008D38F6">
        <w:rPr>
          <w:rFonts w:cs="Tahoma"/>
          <w:bCs/>
          <w:color w:val="000000"/>
          <w:szCs w:val="18"/>
          <w:lang w:val="pt-BR"/>
        </w:rPr>
        <w:t>sitos da concessão supracitada.</w:t>
      </w:r>
    </w:p>
    <w:p w:rsidR="00816F76" w:rsidRPr="008D38F6" w:rsidRDefault="00816F76" w:rsidP="00CE7FAD">
      <w:pPr>
        <w:numPr>
          <w:ilvl w:val="0"/>
          <w:numId w:val="70"/>
        </w:numPr>
        <w:tabs>
          <w:tab w:val="clear" w:pos="360"/>
          <w:tab w:val="num" w:pos="1440"/>
        </w:tabs>
        <w:spacing w:after="60"/>
        <w:ind w:left="1440"/>
        <w:rPr>
          <w:rFonts w:cs="Tahoma"/>
          <w:szCs w:val="18"/>
          <w:lang w:val="pt-BR"/>
        </w:rPr>
      </w:pPr>
      <w:r w:rsidRPr="008D38F6">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rsidR="00CE7FAD" w:rsidRPr="008D38F6" w:rsidRDefault="00CE7FAD" w:rsidP="00CE7FAD">
      <w:pPr>
        <w:ind w:left="1440"/>
        <w:rPr>
          <w:lang w:val="pt-BR"/>
        </w:rPr>
      </w:pPr>
    </w:p>
    <w:p w:rsidR="00CE7FAD" w:rsidRPr="008D38F6" w:rsidRDefault="00816F76" w:rsidP="00CE7FAD">
      <w:pPr>
        <w:spacing w:after="60"/>
        <w:ind w:left="720"/>
        <w:rPr>
          <w:lang w:val="pt-BR"/>
        </w:rPr>
      </w:pPr>
      <w:r w:rsidRPr="008D38F6">
        <w:rPr>
          <w:rFonts w:eastAsia="Calibri" w:cs="Tahoma"/>
          <w:b/>
          <w:szCs w:val="18"/>
          <w:lang w:val="pt-BR"/>
        </w:rPr>
        <w:t>Informações adicionais sobre o uso do Windows Server 2012 como um Servidor Web</w:t>
      </w:r>
    </w:p>
    <w:p w:rsidR="00816F76" w:rsidRPr="008D38F6" w:rsidRDefault="00816F76" w:rsidP="00CE7FAD">
      <w:pPr>
        <w:ind w:left="720"/>
        <w:rPr>
          <w:lang w:val="pt-BR"/>
        </w:rPr>
      </w:pPr>
      <w:r w:rsidRPr="008D38F6">
        <w:rPr>
          <w:rFonts w:eastAsia="Calibri" w:cs="Tahoma"/>
          <w:szCs w:val="18"/>
          <w:lang w:val="pt-BR"/>
        </w:rPr>
        <w:t xml:space="preserve">Quando o Windows Server 2012 Standard ou Datacenter é usado como um Servidor Web, você não precisa de CALs para acessar o software. Uma </w:t>
      </w:r>
      <w:r w:rsidRPr="008D38F6">
        <w:rPr>
          <w:lang w:val="pt-BR"/>
        </w:rPr>
        <w:t>“Carga de Trabalho da Web” significa uma carga de trabalho na qual</w:t>
      </w:r>
      <w:r w:rsidRPr="008D38F6">
        <w:rPr>
          <w:bCs/>
          <w:lang w:val="pt-BR"/>
        </w:rPr>
        <w:t xml:space="preserve"> </w:t>
      </w:r>
      <w:r w:rsidRPr="008D38F6">
        <w:rPr>
          <w:lang w:val="pt-BR"/>
        </w:rPr>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8D38F6">
        <w:rPr>
          <w:u w:val="single"/>
          <w:lang w:val="pt-BR"/>
        </w:rPr>
        <w:t xml:space="preserve"> </w:t>
      </w:r>
      <w:r w:rsidRPr="008D38F6">
        <w:rPr>
          <w:lang w:val="pt-BR"/>
        </w:rPr>
        <w:t>limitado para seus funcionários.</w:t>
      </w:r>
      <w:r w:rsidR="00FB5496" w:rsidRPr="008D38F6">
        <w:rPr>
          <w:lang w:val="pt-BR"/>
        </w:rPr>
        <w:t xml:space="preserve"> </w:t>
      </w:r>
      <w:r w:rsidRPr="008D38F6">
        <w:rPr>
          <w:rFonts w:eastAsia="Calibri" w:cs="Tahoma"/>
          <w:szCs w:val="18"/>
          <w:lang w:val="pt-BR"/>
        </w:rPr>
        <w:t>Consulte os Direitos de Uso de Produto para obter detalhes adicionais.</w:t>
      </w:r>
    </w:p>
    <w:p w:rsidR="00816F76" w:rsidRPr="008D38F6" w:rsidRDefault="00816F76" w:rsidP="00CE7FAD">
      <w:pPr>
        <w:rPr>
          <w:lang w:val="pt-BR"/>
        </w:rPr>
      </w:pPr>
    </w:p>
    <w:p w:rsidR="002512D3" w:rsidRPr="008D38F6" w:rsidRDefault="002512D3">
      <w:pPr>
        <w:rPr>
          <w:lang w:val="pt-BR"/>
        </w:rPr>
      </w:pPr>
      <w:bookmarkStart w:id="1570" w:name="_Toc336338376"/>
    </w:p>
    <w:p w:rsidR="00532ABF" w:rsidRPr="00416070" w:rsidRDefault="00BA29A7" w:rsidP="00EF2279">
      <w:pPr>
        <w:pStyle w:val="Heading2"/>
        <w:ind w:hanging="720"/>
      </w:pPr>
      <w:bookmarkStart w:id="1571" w:name="_109_Windows_Small"/>
      <w:bookmarkStart w:id="1572" w:name="_Toc352234435"/>
      <w:bookmarkEnd w:id="1571"/>
      <w:r w:rsidRPr="00416070">
        <w:rPr>
          <w:rFonts w:ascii="Tahoma" w:hAnsi="Tahoma" w:cs="Tahoma"/>
          <w:caps/>
          <w:color w:val="F8701C"/>
          <w:sz w:val="22"/>
          <w:szCs w:val="22"/>
          <w:vertAlign w:val="superscript"/>
        </w:rPr>
        <w:t>109</w:t>
      </w:r>
      <w:r w:rsidRPr="00416070">
        <w:rPr>
          <w:rFonts w:ascii="Tahoma" w:hAnsi="Tahoma" w:cs="Tahoma"/>
          <w:color w:val="F8701C"/>
          <w:sz w:val="22"/>
          <w:szCs w:val="22"/>
        </w:rPr>
        <w:t xml:space="preserve"> Windows Small Business Server (SBS) 2008 Premium</w:t>
      </w:r>
      <w:bookmarkEnd w:id="1570"/>
      <w:bookmarkEnd w:id="1572"/>
    </w:p>
    <w:bookmarkEnd w:id="1567"/>
    <w:bookmarkEnd w:id="1568"/>
    <w:bookmarkEnd w:id="1569"/>
    <w:p w:rsidR="00515A83" w:rsidRPr="00416070" w:rsidRDefault="00515A83" w:rsidP="00EF2279">
      <w:pPr>
        <w:ind w:left="900"/>
      </w:pPr>
    </w:p>
    <w:p w:rsidR="00532ABF" w:rsidRPr="008D38F6" w:rsidRDefault="00532ABF" w:rsidP="00376D4B">
      <w:pPr>
        <w:ind w:left="720"/>
        <w:rPr>
          <w:lang w:val="pt-BR"/>
        </w:rPr>
      </w:pPr>
      <w:r w:rsidRPr="008D38F6">
        <w:rPr>
          <w:lang w:val="pt-BR"/>
        </w:rPr>
        <w:t xml:space="preserve">Os clientes com cobertura de Software Assurance ativa para licenças do SBS 2008 Premium, a partir de </w:t>
      </w:r>
      <w:r w:rsidR="00185DE6" w:rsidRPr="008D38F6">
        <w:rPr>
          <w:lang w:val="pt-BR"/>
        </w:rPr>
        <w:br/>
      </w:r>
      <w:r w:rsidR="00EB0F1B" w:rsidRPr="008D38F6">
        <w:rPr>
          <w:lang w:val="pt-BR"/>
        </w:rPr>
        <w:t>1</w:t>
      </w:r>
      <w:r w:rsidR="00EB0F1B" w:rsidRPr="008D38F6">
        <w:rPr>
          <w:vertAlign w:val="superscript"/>
          <w:lang w:val="pt-BR"/>
        </w:rPr>
        <w:t>º</w:t>
      </w:r>
      <w:r w:rsidRPr="008D38F6">
        <w:rPr>
          <w:lang w:val="pt-BR"/>
        </w:rPr>
        <w:t xml:space="preserve"> 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FB5496" w:rsidRPr="008D38F6">
        <w:rPr>
          <w:lang w:val="pt-BR"/>
        </w:rPr>
        <w:t xml:space="preserve"> </w:t>
      </w:r>
      <w:r w:rsidRPr="008D38F6">
        <w:rPr>
          <w:lang w:val="pt-BR"/>
        </w:rPr>
        <w:t xml:space="preserve">A partir de </w:t>
      </w:r>
      <w:r w:rsidR="00EB0F1B" w:rsidRPr="008D38F6">
        <w:rPr>
          <w:lang w:val="pt-BR"/>
        </w:rPr>
        <w:t>1</w:t>
      </w:r>
      <w:r w:rsidR="00EB0F1B" w:rsidRPr="008D38F6">
        <w:rPr>
          <w:vertAlign w:val="superscript"/>
          <w:lang w:val="pt-BR"/>
        </w:rPr>
        <w:t>º</w:t>
      </w:r>
      <w:r w:rsidRPr="008D38F6">
        <w:rPr>
          <w:lang w:val="pt-BR"/>
        </w:rPr>
        <w:t xml:space="preserve"> de janeiro de 2011 para cada licença qualificada do SBS 2008 Premium que possuir, o cliente será considerado possuidor de uma licença para cada SBS 2011 Standard e SBS 2011 Premium Add-on com cobertura de Software Assurance ativa.</w:t>
      </w:r>
    </w:p>
    <w:p w:rsidR="00532ABF" w:rsidRPr="008D38F6" w:rsidRDefault="00532ABF" w:rsidP="00376D4B">
      <w:pPr>
        <w:ind w:left="720"/>
        <w:rPr>
          <w:lang w:val="pt-BR"/>
        </w:rPr>
      </w:pPr>
    </w:p>
    <w:p w:rsidR="00532ABF" w:rsidRPr="008D38F6" w:rsidRDefault="00532ABF" w:rsidP="00376D4B">
      <w:pPr>
        <w:ind w:left="720"/>
        <w:rPr>
          <w:lang w:val="pt-BR"/>
        </w:rPr>
      </w:pPr>
      <w:r w:rsidRPr="008D38F6">
        <w:rPr>
          <w:lang w:val="pt-BR"/>
        </w:rPr>
        <w:t>Os clientes com cobertura de Software Assurance ativa para Pacote de CALs do SBS 2008 para Usuários e</w:t>
      </w:r>
      <w:r w:rsidR="00185DE6" w:rsidRPr="008D38F6">
        <w:rPr>
          <w:lang w:val="pt-BR"/>
        </w:rPr>
        <w:t> </w:t>
      </w:r>
      <w:r w:rsidRPr="008D38F6">
        <w:rPr>
          <w:lang w:val="pt-BR"/>
        </w:rPr>
        <w:t xml:space="preserve">Dispositivos Premium, a partir de </w:t>
      </w:r>
      <w:r w:rsidR="00EB0F1B" w:rsidRPr="008D38F6">
        <w:rPr>
          <w:lang w:val="pt-BR"/>
        </w:rPr>
        <w:t>1</w:t>
      </w:r>
      <w:r w:rsidR="00EB0F1B" w:rsidRPr="008D38F6">
        <w:rPr>
          <w:vertAlign w:val="superscript"/>
          <w:lang w:val="pt-BR"/>
        </w:rPr>
        <w:t>º</w:t>
      </w:r>
      <w:r w:rsidRPr="008D38F6">
        <w:rPr>
          <w:lang w:val="pt-BR"/>
        </w:rPr>
        <w:t xml:space="preserve"> de janeiro de 2011, estarão qualificados para acessar os softwares Complemento do SBS 2011 Standard e SBS 2011 Premium (e qualquer versão posterior desses softwares disponibilizada durante o prazo atual da cobertura de Software Assurance).</w:t>
      </w:r>
      <w:r w:rsidR="00FB5496" w:rsidRPr="008D38F6">
        <w:rPr>
          <w:lang w:val="pt-BR"/>
        </w:rPr>
        <w:t xml:space="preserve"> </w:t>
      </w:r>
      <w:r w:rsidRPr="008D38F6">
        <w:rPr>
          <w:lang w:val="pt-BR"/>
        </w:rPr>
        <w:t xml:space="preserve">A partir de </w:t>
      </w:r>
      <w:r w:rsidR="00EB0F1B" w:rsidRPr="008D38F6">
        <w:rPr>
          <w:lang w:val="pt-BR"/>
        </w:rPr>
        <w:t>1</w:t>
      </w:r>
      <w:r w:rsidR="00EB0F1B" w:rsidRPr="008D38F6">
        <w:rPr>
          <w:vertAlign w:val="superscript"/>
          <w:lang w:val="pt-BR"/>
        </w:rPr>
        <w:t>º</w:t>
      </w:r>
      <w:r w:rsidRPr="008D38F6">
        <w:rPr>
          <w:lang w:val="pt-BR"/>
        </w:rPr>
        <w:t xml:space="preserve"> de janeiro de 2011, para cada Pacote de CALs do SBS 2008 qualificada para Usuários e Dispositivos Premium, o cliente será considerado possuidor de um Pacote de CALs do SBS 2011 e um Pacote de CALS Complementares do</w:t>
      </w:r>
      <w:r w:rsidR="00185DE6" w:rsidRPr="008D38F6">
        <w:rPr>
          <w:lang w:val="pt-BR"/>
        </w:rPr>
        <w:t> </w:t>
      </w:r>
      <w:r w:rsidRPr="008D38F6">
        <w:rPr>
          <w:lang w:val="pt-BR"/>
        </w:rPr>
        <w:t>SBS 2011 Premium com cobertu</w:t>
      </w:r>
      <w:r w:rsidR="008C1816" w:rsidRPr="008D38F6">
        <w:rPr>
          <w:lang w:val="pt-BR"/>
        </w:rPr>
        <w:t>ra de Software Assurance ativa.</w:t>
      </w:r>
    </w:p>
    <w:p w:rsidR="00532ABF" w:rsidRPr="008D38F6" w:rsidRDefault="00532ABF" w:rsidP="00376D4B">
      <w:pPr>
        <w:ind w:left="720"/>
        <w:rPr>
          <w:lang w:val="pt-BR"/>
        </w:rPr>
      </w:pPr>
      <w:r w:rsidRPr="008D38F6">
        <w:rPr>
          <w:lang w:val="pt-BR"/>
        </w:rPr>
        <w:t>O direito de usar o software sob esta oferta expirará quando o direito de usar o software sob as licenças qualificadas expirar.</w:t>
      </w:r>
      <w:r w:rsidR="00FB5496" w:rsidRPr="008D38F6">
        <w:rPr>
          <w:lang w:val="pt-BR"/>
        </w:rPr>
        <w:t xml:space="preserve"> </w:t>
      </w:r>
      <w:r w:rsidRPr="008D38F6">
        <w:rPr>
          <w:lang w:val="pt-BR"/>
        </w:rPr>
        <w:t>O uso do software do cliente sob esta oferta está sujeito aos termos e às condições do</w:t>
      </w:r>
      <w:r w:rsidR="00185DE6" w:rsidRPr="008D38F6">
        <w:rPr>
          <w:lang w:val="pt-BR"/>
        </w:rPr>
        <w:t> </w:t>
      </w:r>
      <w:r w:rsidRPr="008D38F6">
        <w:rPr>
          <w:lang w:val="pt-BR"/>
        </w:rPr>
        <w:t>contrato de licenciamento por volume do cliente, aos direitos de uso de produto para SBS 2011 Standard</w:t>
      </w:r>
      <w:r w:rsidR="00185DE6" w:rsidRPr="008D38F6">
        <w:rPr>
          <w:lang w:val="pt-BR"/>
        </w:rPr>
        <w:t> </w:t>
      </w:r>
      <w:r w:rsidRPr="008D38F6">
        <w:rPr>
          <w:lang w:val="pt-BR"/>
        </w:rPr>
        <w:t>e SBS 2011 Premium Add-on e estes termos e condições.</w:t>
      </w:r>
      <w:r w:rsidR="00FB5496" w:rsidRPr="008D38F6">
        <w:rPr>
          <w:lang w:val="pt-BR"/>
        </w:rPr>
        <w:t xml:space="preserve"> </w:t>
      </w:r>
      <w:r w:rsidRPr="008D38F6">
        <w:rPr>
          <w:lang w:val="pt-BR"/>
        </w:rPr>
        <w:t>Esta nota de condição do produto junto</w:t>
      </w:r>
      <w:r w:rsidR="00185DE6" w:rsidRPr="008D38F6">
        <w:rPr>
          <w:lang w:val="pt-BR"/>
        </w:rPr>
        <w:t> </w:t>
      </w:r>
      <w:r w:rsidRPr="008D38F6">
        <w:rPr>
          <w:lang w:val="pt-BR"/>
        </w:rPr>
        <w:t>com a evidência das licenças qualificadas comprovam os direitos concedidos sob esta oferta.</w:t>
      </w:r>
      <w:r w:rsidR="00FB5496" w:rsidRPr="008D38F6">
        <w:rPr>
          <w:lang w:val="pt-BR"/>
        </w:rPr>
        <w:t xml:space="preserve"> </w:t>
      </w:r>
      <w:r w:rsidRPr="008D38F6">
        <w:rPr>
          <w:lang w:val="pt-BR"/>
        </w:rPr>
        <w:t>Quando</w:t>
      </w:r>
      <w:r w:rsidR="00185DE6" w:rsidRPr="008D38F6">
        <w:rPr>
          <w:lang w:val="pt-BR"/>
        </w:rPr>
        <w:t> </w:t>
      </w:r>
      <w:r w:rsidRPr="008D38F6">
        <w:rPr>
          <w:lang w:val="pt-BR"/>
        </w:rPr>
        <w:t>a cobertura sobre a licença qualificada expirar na licença qualificada, o cliente estará qualificado para renovar o Software Assurance para licenças do SBS Premium Add-on e CAL Suites.</w:t>
      </w:r>
    </w:p>
    <w:p w:rsidR="00185DE6" w:rsidRPr="008D38F6" w:rsidRDefault="00185DE6" w:rsidP="00EF2279">
      <w:pPr>
        <w:ind w:left="900"/>
        <w:rPr>
          <w:lang w:val="pt-BR"/>
        </w:rPr>
      </w:pPr>
    </w:p>
    <w:p w:rsidR="003E651C" w:rsidRPr="008D38F6" w:rsidRDefault="003E651C" w:rsidP="00EF2279">
      <w:pPr>
        <w:ind w:left="900"/>
        <w:rPr>
          <w:lang w:val="pt-BR"/>
        </w:rPr>
      </w:pPr>
    </w:p>
    <w:p w:rsidR="003E651C" w:rsidRPr="008D38F6" w:rsidRDefault="003E651C" w:rsidP="00EF2279">
      <w:pPr>
        <w:ind w:left="900"/>
        <w:rPr>
          <w:lang w:val="pt-BR"/>
        </w:rPr>
      </w:pPr>
    </w:p>
    <w:p w:rsidR="003E651C" w:rsidRPr="008D38F6" w:rsidRDefault="003E651C" w:rsidP="00EF2279">
      <w:pPr>
        <w:ind w:left="900"/>
        <w:rPr>
          <w:lang w:val="pt-BR"/>
        </w:rPr>
      </w:pPr>
    </w:p>
    <w:p w:rsidR="003E651C" w:rsidRPr="008D38F6" w:rsidRDefault="003E651C" w:rsidP="00EF2279">
      <w:pPr>
        <w:ind w:left="900"/>
        <w:rPr>
          <w:lang w:val="pt-BR"/>
        </w:rPr>
      </w:pPr>
    </w:p>
    <w:p w:rsidR="003E651C" w:rsidRPr="008D38F6" w:rsidRDefault="003E651C" w:rsidP="00EF2279">
      <w:pPr>
        <w:ind w:left="900"/>
        <w:rPr>
          <w:lang w:val="pt-BR"/>
        </w:rPr>
      </w:pPr>
    </w:p>
    <w:p w:rsidR="003E651C" w:rsidRPr="008D38F6" w:rsidRDefault="003E651C" w:rsidP="00EF2279">
      <w:pPr>
        <w:ind w:left="900"/>
        <w:rPr>
          <w:lang w:val="pt-BR"/>
        </w:rPr>
      </w:pPr>
    </w:p>
    <w:p w:rsidR="003E651C" w:rsidRPr="008D38F6" w:rsidRDefault="003E651C" w:rsidP="00EF2279">
      <w:pPr>
        <w:ind w:left="900"/>
        <w:rPr>
          <w:lang w:val="pt-BR"/>
        </w:rPr>
      </w:pPr>
    </w:p>
    <w:p w:rsidR="00185DE6" w:rsidRPr="008D38F6" w:rsidRDefault="00185DE6" w:rsidP="00EF2279">
      <w:pPr>
        <w:ind w:left="900"/>
        <w:rPr>
          <w:lang w:val="pt-BR"/>
        </w:rPr>
      </w:pPr>
    </w:p>
    <w:p w:rsidR="00296B89" w:rsidRPr="00416070" w:rsidRDefault="00BA29A7" w:rsidP="00EF2279">
      <w:pPr>
        <w:pStyle w:val="Heading3"/>
      </w:pPr>
      <w:bookmarkStart w:id="1573" w:name="_119_Windows_Small"/>
      <w:bookmarkStart w:id="1574" w:name="_Toc336338377"/>
      <w:bookmarkStart w:id="1575" w:name="_Toc352234436"/>
      <w:bookmarkStart w:id="1576" w:name="Srv_117WinSmallBizSVR2011Addon"/>
      <w:bookmarkStart w:id="1577" w:name="Srv_121WinSmallBizSVR2011Addon"/>
      <w:bookmarkEnd w:id="1573"/>
      <w:r w:rsidRPr="00416070">
        <w:rPr>
          <w:rFonts w:ascii="Tahoma" w:hAnsi="Tahoma" w:cs="Tahoma"/>
          <w:caps/>
          <w:color w:val="FF6D09"/>
          <w:sz w:val="22"/>
          <w:vertAlign w:val="superscript"/>
        </w:rPr>
        <w:t>110</w:t>
      </w:r>
      <w:r w:rsidRPr="00416070">
        <w:rPr>
          <w:rFonts w:ascii="Tahoma" w:hAnsi="Tahoma" w:cs="Tahoma"/>
          <w:color w:val="FF6D09"/>
          <w:sz w:val="22"/>
        </w:rPr>
        <w:t xml:space="preserve"> Windows Small Business Server (SBS) 2011 Standard</w:t>
      </w:r>
      <w:bookmarkEnd w:id="1574"/>
      <w:bookmarkEnd w:id="1575"/>
    </w:p>
    <w:bookmarkEnd w:id="1576"/>
    <w:bookmarkEnd w:id="1577"/>
    <w:p w:rsidR="00296B89" w:rsidRPr="00416070" w:rsidRDefault="00296B89" w:rsidP="00CE7FAD">
      <w:pPr>
        <w:ind w:left="900"/>
      </w:pPr>
    </w:p>
    <w:p w:rsidR="00CE7FAD" w:rsidRPr="008D38F6" w:rsidRDefault="00836655" w:rsidP="00CE7FAD">
      <w:pPr>
        <w:spacing w:after="60"/>
        <w:ind w:left="720"/>
        <w:rPr>
          <w:lang w:val="pt-BR"/>
        </w:rPr>
      </w:pPr>
      <w:r w:rsidRPr="008D38F6">
        <w:rPr>
          <w:b/>
          <w:color w:val="000000"/>
          <w:lang w:val="pt-BR"/>
        </w:rPr>
        <w:t>Outorgas de licença associadas ao término da validade do SBS 2011 Standard</w:t>
      </w:r>
    </w:p>
    <w:p w:rsidR="00CE7FAD" w:rsidRPr="008D38F6" w:rsidRDefault="00836655" w:rsidP="00CE7FAD">
      <w:pPr>
        <w:ind w:left="720"/>
        <w:rPr>
          <w:lang w:val="pt-BR"/>
        </w:rPr>
      </w:pPr>
      <w:r w:rsidRPr="008D38F6">
        <w:rPr>
          <w:color w:val="000000"/>
          <w:lang w:val="pt-BR"/>
        </w:rPr>
        <w:t xml:space="preserve">O SBS 2011 Standard será a última versão do SBS Standard. Os clientes de licenciamento por volume com Software Assurance para licenças Padrão do SBS 2011 ativas (“Licenças Qualificadas”) terão permissão para atualizar e </w:t>
      </w:r>
      <w:r w:rsidRPr="008D38F6">
        <w:rPr>
          <w:rFonts w:eastAsia="Calibri" w:cs="Tahoma"/>
          <w:szCs w:val="18"/>
          <w:lang w:val="pt-BR"/>
        </w:rPr>
        <w:t>usar o software Windows Server Standard e Exchange Server Standard no lugar do SBS 2011. Para facilitar tal uso, para cada Licença Qualificada que o cliente possui, o cliente receberá uma licença para cada licença do Windows Server Standard e uma licença para Exchange Server 2010 Standard, conforme p</w:t>
      </w:r>
      <w:r w:rsidR="008C1816" w:rsidRPr="008D38F6">
        <w:rPr>
          <w:rFonts w:eastAsia="Calibri" w:cs="Tahoma"/>
          <w:szCs w:val="18"/>
          <w:lang w:val="pt-BR"/>
        </w:rPr>
        <w:t>ode ser visto na tabela abaixo.</w:t>
      </w:r>
    </w:p>
    <w:p w:rsidR="00CE7FAD" w:rsidRPr="008D38F6" w:rsidRDefault="00CE7FAD" w:rsidP="00CE7FAD">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41607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070" w:rsidRDefault="00836655" w:rsidP="000A5032">
            <w:pPr>
              <w:spacing w:after="200" w:line="276" w:lineRule="auto"/>
              <w:rPr>
                <w:rFonts w:eastAsia="Calibri" w:cs="Tahoma"/>
                <w:szCs w:val="18"/>
              </w:rPr>
            </w:pPr>
            <w:r w:rsidRPr="00416070">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070" w:rsidRDefault="00836655" w:rsidP="000A5032">
            <w:pPr>
              <w:spacing w:after="200" w:line="276" w:lineRule="auto"/>
              <w:rPr>
                <w:rFonts w:eastAsia="Calibri" w:cs="Tahoma"/>
                <w:szCs w:val="18"/>
              </w:rPr>
            </w:pPr>
            <w:r w:rsidRPr="00416070">
              <w:rPr>
                <w:b/>
                <w:color w:val="000000"/>
              </w:rPr>
              <w:t>Outorga de Licença</w:t>
            </w:r>
          </w:p>
        </w:tc>
      </w:tr>
      <w:tr w:rsidR="009E5BF9" w:rsidRPr="002B5F9E"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185DE6">
            <w:pPr>
              <w:spacing w:line="276" w:lineRule="auto"/>
              <w:rPr>
                <w:rFonts w:eastAsia="Calibri" w:cs="Tahoma"/>
                <w:szCs w:val="18"/>
                <w:lang w:val="pt-BR"/>
              </w:rPr>
            </w:pPr>
            <w:r w:rsidRPr="008D38F6">
              <w:rPr>
                <w:rFonts w:eastAsia="Calibri" w:cs="Tahoma"/>
                <w:szCs w:val="18"/>
                <w:lang w:val="pt-BR"/>
              </w:rPr>
              <w:t>SBS 2011 Standard com cobertura do Software</w:t>
            </w:r>
            <w:r w:rsidR="00185DE6" w:rsidRPr="008D38F6">
              <w:rPr>
                <w:rFonts w:eastAsia="Calibri" w:cs="Tahoma"/>
                <w:szCs w:val="18"/>
                <w:lang w:val="pt-BR"/>
              </w:rPr>
              <w:t> </w:t>
            </w:r>
            <w:r w:rsidRPr="008D38F6">
              <w:rPr>
                <w:rFonts w:eastAsia="Calibri" w:cs="Tahoma"/>
                <w:szCs w:val="18"/>
                <w:lang w:val="pt-BR"/>
              </w:rPr>
              <w:t>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9E5BF9" w:rsidP="000D5F24">
            <w:pPr>
              <w:spacing w:line="276" w:lineRule="auto"/>
              <w:rPr>
                <w:lang w:val="pt-BR"/>
              </w:rPr>
            </w:pPr>
            <w:r w:rsidRPr="008D38F6">
              <w:rPr>
                <w:rFonts w:eastAsia="Calibri" w:cs="Tahoma"/>
                <w:szCs w:val="18"/>
                <w:lang w:val="pt-BR"/>
              </w:rPr>
              <w:t>Duas licenças do Windows Server 2008 R2 com Software</w:t>
            </w:r>
            <w:r w:rsidR="00185DE6" w:rsidRPr="008D38F6">
              <w:rPr>
                <w:rFonts w:eastAsia="Calibri" w:cs="Tahoma"/>
                <w:szCs w:val="18"/>
                <w:lang w:val="pt-BR"/>
              </w:rPr>
              <w:t> </w:t>
            </w:r>
            <w:r w:rsidRPr="008D38F6">
              <w:rPr>
                <w:rFonts w:eastAsia="Calibri" w:cs="Tahoma"/>
                <w:szCs w:val="18"/>
                <w:lang w:val="pt-BR"/>
              </w:rPr>
              <w:t>Assurance</w:t>
            </w:r>
          </w:p>
          <w:p w:rsidR="00836655" w:rsidRPr="008D38F6" w:rsidRDefault="009E5BF9" w:rsidP="000D5F24">
            <w:pPr>
              <w:spacing w:line="276" w:lineRule="auto"/>
              <w:rPr>
                <w:rFonts w:eastAsia="Calibri" w:cs="Tahoma"/>
                <w:szCs w:val="18"/>
                <w:lang w:val="pt-BR"/>
              </w:rPr>
            </w:pPr>
            <w:r w:rsidRPr="008D38F6">
              <w:rPr>
                <w:rFonts w:eastAsia="Calibri" w:cs="Tahoma"/>
                <w:szCs w:val="18"/>
                <w:lang w:val="pt-BR"/>
              </w:rPr>
              <w:t>Uma licença do Exchange Server 2010 Standard com</w:t>
            </w:r>
            <w:r w:rsidR="00185DE6" w:rsidRPr="008D38F6">
              <w:rPr>
                <w:rFonts w:eastAsia="Calibri" w:cs="Tahoma"/>
                <w:szCs w:val="18"/>
                <w:lang w:val="pt-BR"/>
              </w:rPr>
              <w:t> </w:t>
            </w:r>
            <w:r w:rsidRPr="008D38F6">
              <w:rPr>
                <w:rFonts w:eastAsia="Calibri" w:cs="Tahoma"/>
                <w:szCs w:val="18"/>
                <w:lang w:val="pt-BR"/>
              </w:rPr>
              <w:t>Software Assurance</w:t>
            </w:r>
          </w:p>
        </w:tc>
      </w:tr>
      <w:tr w:rsidR="009E5BF9" w:rsidRPr="002B5F9E"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185DE6">
            <w:pPr>
              <w:spacing w:line="276" w:lineRule="auto"/>
              <w:rPr>
                <w:rFonts w:eastAsia="Calibri" w:cs="Tahoma"/>
                <w:szCs w:val="18"/>
                <w:lang w:val="pt-BR"/>
              </w:rPr>
            </w:pPr>
            <w:r w:rsidRPr="008D38F6">
              <w:rPr>
                <w:rFonts w:eastAsia="Calibri" w:cs="Tahoma"/>
                <w:szCs w:val="18"/>
                <w:lang w:val="pt-BR"/>
              </w:rPr>
              <w:t>SBS 2011 Standard com cobertura do Software</w:t>
            </w:r>
            <w:r w:rsidR="00185DE6" w:rsidRPr="008D38F6">
              <w:rPr>
                <w:rFonts w:eastAsia="Calibri" w:cs="Tahoma"/>
                <w:szCs w:val="18"/>
                <w:lang w:val="pt-BR"/>
              </w:rPr>
              <w:t> </w:t>
            </w:r>
            <w:r w:rsidRPr="008D38F6">
              <w:rPr>
                <w:rFonts w:eastAsia="Calibri" w:cs="Tahoma"/>
                <w:szCs w:val="18"/>
                <w:lang w:val="pt-BR"/>
              </w:rPr>
              <w:t xml:space="preserve">Assurance em ou depois de </w:t>
            </w:r>
            <w:r w:rsidR="00185DE6" w:rsidRPr="008D38F6">
              <w:rPr>
                <w:rFonts w:eastAsia="Calibri" w:cs="Tahoma"/>
                <w:szCs w:val="18"/>
                <w:lang w:val="pt-BR"/>
              </w:rPr>
              <w:br/>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9E5BF9" w:rsidP="000D5F24">
            <w:pPr>
              <w:spacing w:line="276" w:lineRule="auto"/>
              <w:rPr>
                <w:lang w:val="pt-BR"/>
              </w:rPr>
            </w:pPr>
            <w:r w:rsidRPr="008D38F6">
              <w:rPr>
                <w:rFonts w:eastAsia="Calibri" w:cs="Tahoma"/>
                <w:szCs w:val="18"/>
                <w:lang w:val="pt-BR"/>
              </w:rPr>
              <w:t>Duas licenças do Windows Server 2012 com Software</w:t>
            </w:r>
            <w:r w:rsidR="00185DE6" w:rsidRPr="008D38F6">
              <w:rPr>
                <w:rFonts w:eastAsia="Calibri" w:cs="Tahoma"/>
                <w:szCs w:val="18"/>
                <w:lang w:val="pt-BR"/>
              </w:rPr>
              <w:t> </w:t>
            </w:r>
            <w:r w:rsidRPr="008D38F6">
              <w:rPr>
                <w:rFonts w:eastAsia="Calibri" w:cs="Tahoma"/>
                <w:szCs w:val="18"/>
                <w:lang w:val="pt-BR"/>
              </w:rPr>
              <w:t>Assurance</w:t>
            </w:r>
          </w:p>
          <w:p w:rsidR="00836655" w:rsidRPr="008D38F6" w:rsidRDefault="009E5BF9" w:rsidP="000D5F24">
            <w:pPr>
              <w:spacing w:line="276" w:lineRule="auto"/>
              <w:rPr>
                <w:rFonts w:eastAsia="Calibri" w:cs="Tahoma"/>
                <w:szCs w:val="18"/>
                <w:lang w:val="pt-BR"/>
              </w:rPr>
            </w:pPr>
            <w:r w:rsidRPr="008D38F6">
              <w:rPr>
                <w:rFonts w:eastAsia="Calibri" w:cs="Tahoma"/>
                <w:szCs w:val="18"/>
                <w:lang w:val="pt-BR"/>
              </w:rPr>
              <w:t>Uma licença do Exchange Server 2010 Standard com</w:t>
            </w:r>
            <w:r w:rsidR="00185DE6" w:rsidRPr="008D38F6">
              <w:rPr>
                <w:rFonts w:eastAsia="Calibri" w:cs="Tahoma"/>
                <w:szCs w:val="18"/>
                <w:lang w:val="pt-BR"/>
              </w:rPr>
              <w:t> </w:t>
            </w:r>
            <w:r w:rsidRPr="008D38F6">
              <w:rPr>
                <w:rFonts w:eastAsia="Calibri" w:cs="Tahoma"/>
                <w:szCs w:val="18"/>
                <w:lang w:val="pt-BR"/>
              </w:rPr>
              <w:t>Software Assurance</w:t>
            </w:r>
          </w:p>
        </w:tc>
      </w:tr>
    </w:tbl>
    <w:p w:rsidR="00CE7FAD" w:rsidRPr="008D38F6" w:rsidRDefault="00CE7FAD" w:rsidP="00CE7FAD">
      <w:pPr>
        <w:spacing w:after="100" w:afterAutospacing="1" w:line="276" w:lineRule="auto"/>
        <w:ind w:left="720"/>
        <w:contextualSpacing/>
        <w:rPr>
          <w:rFonts w:cs="Tahoma"/>
          <w:szCs w:val="18"/>
          <w:lang w:val="pt-BR"/>
        </w:rPr>
      </w:pPr>
    </w:p>
    <w:p w:rsidR="00836655" w:rsidRPr="008D38F6" w:rsidRDefault="00836655" w:rsidP="00CE7FAD">
      <w:pPr>
        <w:ind w:left="720"/>
        <w:rPr>
          <w:rFonts w:cs="Tahoma"/>
          <w:szCs w:val="18"/>
          <w:lang w:val="pt-BR"/>
        </w:rPr>
      </w:pPr>
      <w:r w:rsidRPr="008D38F6">
        <w:rPr>
          <w:rFonts w:eastAsia="Calibri" w:cs="Tahoma"/>
          <w:szCs w:val="18"/>
          <w:lang w:val="pt-BR"/>
        </w:rPr>
        <w:t>A cobertura do Software Assurance incluída com a concessão supracitada expira quando a cobertura correspondente nas Licenças Qualificadas expirar. Como uma exceção, os clientes com Software Assurance em Licenças de Qualificação que expiram em agosto de 2012 poderão, até 31 de dezembro de 2012, renovar o Software Assurance nas licenças do Windows Server e Exchange Server concedidas sob esta</w:t>
      </w:r>
      <w:r w:rsidR="00185DE6" w:rsidRPr="008D38F6">
        <w:rPr>
          <w:rFonts w:eastAsia="Calibri" w:cs="Tahoma"/>
          <w:szCs w:val="18"/>
          <w:lang w:val="pt-BR"/>
        </w:rPr>
        <w:t> </w:t>
      </w:r>
      <w:r w:rsidRPr="008D38F6">
        <w:rPr>
          <w:rFonts w:eastAsia="Calibri" w:cs="Tahoma"/>
          <w:szCs w:val="18"/>
          <w:lang w:val="pt-BR"/>
        </w:rPr>
        <w:t>oferta.</w:t>
      </w:r>
    </w:p>
    <w:p w:rsidR="00CE7FAD" w:rsidRPr="00185DE6" w:rsidRDefault="00CE7FAD" w:rsidP="00CE7FAD">
      <w:pPr>
        <w:pStyle w:val="ListParagraph"/>
        <w:contextualSpacing w:val="0"/>
        <w:rPr>
          <w:rFonts w:ascii="Tahoma" w:hAnsi="Tahoma" w:cs="Tahoma"/>
          <w:sz w:val="18"/>
          <w:szCs w:val="18"/>
        </w:rPr>
      </w:pPr>
    </w:p>
    <w:p w:rsidR="00836655" w:rsidRPr="00185DE6" w:rsidRDefault="00836655" w:rsidP="00CE7FAD">
      <w:pPr>
        <w:pStyle w:val="ListParagraph"/>
        <w:contextualSpacing w:val="0"/>
        <w:rPr>
          <w:rFonts w:ascii="Tahoma" w:hAnsi="Tahoma" w:cs="Tahoma"/>
          <w:sz w:val="18"/>
          <w:szCs w:val="18"/>
        </w:rPr>
      </w:pPr>
      <w:r w:rsidRPr="00185DE6">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CE7FAD" w:rsidRPr="00185DE6" w:rsidRDefault="00CE7FAD" w:rsidP="00CE7FAD">
      <w:pPr>
        <w:pStyle w:val="ListParagraph"/>
        <w:contextualSpacing w:val="0"/>
        <w:rPr>
          <w:rFonts w:ascii="Tahoma" w:hAnsi="Tahoma" w:cs="Tahoma"/>
          <w:sz w:val="18"/>
          <w:szCs w:val="18"/>
        </w:rPr>
      </w:pPr>
    </w:p>
    <w:p w:rsidR="00836655" w:rsidRPr="00185DE6" w:rsidRDefault="00836655" w:rsidP="00CE7FAD">
      <w:pPr>
        <w:pStyle w:val="ListParagraph"/>
        <w:contextualSpacing w:val="0"/>
        <w:rPr>
          <w:rFonts w:ascii="Tahoma" w:hAnsi="Tahoma" w:cs="Tahoma"/>
          <w:sz w:val="18"/>
          <w:szCs w:val="18"/>
        </w:rPr>
      </w:pPr>
      <w:r w:rsidRPr="00185DE6">
        <w:rPr>
          <w:rFonts w:ascii="Tahoma" w:eastAsia="Calibri" w:hAnsi="Tahoma" w:cs="Tahoma"/>
          <w:sz w:val="18"/>
          <w:szCs w:val="18"/>
        </w:rPr>
        <w:t>Para cada Licença Qualificada adquirida sob Open Value Subscription, um cliente pode comprar uma licença do SBS 2011 Padrão, conforme cotado ou:</w:t>
      </w:r>
    </w:p>
    <w:p w:rsidR="00CE7FAD" w:rsidRPr="00185DE6" w:rsidRDefault="00CE7FAD" w:rsidP="00CE7FAD">
      <w:pPr>
        <w:pStyle w:val="ListParagraph"/>
        <w:contextualSpacing w:val="0"/>
        <w:rPr>
          <w:rFonts w:ascii="Tahoma" w:hAnsi="Tahoma" w:cs="Tahoma"/>
          <w:sz w:val="18"/>
          <w:szCs w:val="18"/>
        </w:rPr>
      </w:pPr>
    </w:p>
    <w:p w:rsidR="00836655" w:rsidRPr="00185DE6" w:rsidRDefault="009E5BF9" w:rsidP="00CE7FAD">
      <w:pPr>
        <w:pStyle w:val="ListParagraph"/>
        <w:numPr>
          <w:ilvl w:val="1"/>
          <w:numId w:val="123"/>
        </w:numPr>
        <w:tabs>
          <w:tab w:val="clear" w:pos="1440"/>
        </w:tabs>
        <w:contextualSpacing w:val="0"/>
        <w:rPr>
          <w:rFonts w:ascii="Tahoma" w:hAnsi="Tahoma" w:cs="Tahoma"/>
          <w:sz w:val="18"/>
          <w:szCs w:val="18"/>
        </w:rPr>
      </w:pPr>
      <w:r w:rsidRPr="00185DE6">
        <w:rPr>
          <w:rFonts w:ascii="Tahoma" w:eastAsia="Calibri" w:hAnsi="Tahoma" w:cs="Tahoma"/>
          <w:sz w:val="18"/>
          <w:szCs w:val="18"/>
        </w:rPr>
        <w:t xml:space="preserve">Duas licenças do Windows Server 2012 Standard e uma licença do Exchange Server 2010 Standard para contratos que expiram em ou depois de </w:t>
      </w:r>
      <w:r w:rsidR="00EB0F1B" w:rsidRPr="00185DE6">
        <w:rPr>
          <w:rFonts w:ascii="Tahoma" w:eastAsia="Calibri" w:hAnsi="Tahoma" w:cs="Tahoma"/>
          <w:sz w:val="18"/>
          <w:szCs w:val="18"/>
        </w:rPr>
        <w:t>1</w:t>
      </w:r>
      <w:r w:rsidR="00EB0F1B" w:rsidRPr="0005355D">
        <w:rPr>
          <w:rFonts w:ascii="Tahoma" w:eastAsia="Calibri" w:hAnsi="Tahoma" w:cs="Tahoma"/>
          <w:sz w:val="18"/>
          <w:szCs w:val="18"/>
          <w:vertAlign w:val="superscript"/>
        </w:rPr>
        <w:t>º</w:t>
      </w:r>
      <w:r w:rsidRPr="00185DE6">
        <w:rPr>
          <w:rFonts w:ascii="Tahoma" w:eastAsia="Calibri" w:hAnsi="Tahoma" w:cs="Tahoma"/>
          <w:sz w:val="18"/>
          <w:szCs w:val="18"/>
        </w:rPr>
        <w:t xml:space="preserve"> de agosto de 2012 ou</w:t>
      </w:r>
    </w:p>
    <w:p w:rsidR="00836655" w:rsidRPr="00185DE6" w:rsidRDefault="009E5BF9" w:rsidP="00CE7FAD">
      <w:pPr>
        <w:pStyle w:val="ListParagraph"/>
        <w:numPr>
          <w:ilvl w:val="1"/>
          <w:numId w:val="123"/>
        </w:numPr>
        <w:tabs>
          <w:tab w:val="clear" w:pos="1440"/>
        </w:tabs>
        <w:contextualSpacing w:val="0"/>
        <w:rPr>
          <w:rFonts w:ascii="Tahoma" w:hAnsi="Tahoma" w:cs="Tahoma"/>
          <w:sz w:val="18"/>
          <w:szCs w:val="18"/>
        </w:rPr>
      </w:pPr>
      <w:r w:rsidRPr="00185DE6">
        <w:rPr>
          <w:rFonts w:ascii="Tahoma" w:eastAsia="Calibri" w:hAnsi="Tahoma" w:cs="Tahoma"/>
          <w:sz w:val="18"/>
          <w:szCs w:val="18"/>
        </w:rPr>
        <w:t>Duas licenças do Windows Server 2008 R2 Standard e uma licença do Exchange Server 2010 Standard para contratos que expiram em julho de 2012.</w:t>
      </w:r>
    </w:p>
    <w:p w:rsidR="00CE7FAD" w:rsidRPr="008D38F6" w:rsidRDefault="00CE7FAD" w:rsidP="00CE7FAD">
      <w:pPr>
        <w:ind w:left="720"/>
        <w:rPr>
          <w:rFonts w:cs="Tahoma"/>
          <w:szCs w:val="18"/>
          <w:lang w:val="pt-BR"/>
        </w:rPr>
      </w:pPr>
    </w:p>
    <w:p w:rsidR="00836655" w:rsidRPr="008D38F6" w:rsidRDefault="00836655" w:rsidP="00CE7FAD">
      <w:pPr>
        <w:ind w:left="720"/>
        <w:rPr>
          <w:rFonts w:cs="Tahoma"/>
          <w:szCs w:val="18"/>
          <w:lang w:val="pt-BR"/>
        </w:rPr>
      </w:pPr>
      <w:r w:rsidRPr="008D38F6">
        <w:rPr>
          <w:rFonts w:eastAsia="Calibri" w:cs="Tahoma"/>
          <w:szCs w:val="18"/>
          <w:lang w:val="pt-BR"/>
        </w:rPr>
        <w:t>Na atualização para o Windows Server Standard e Exchange Server 2010 Standard sob essa concessão, as</w:t>
      </w:r>
      <w:r w:rsidR="00185DE6" w:rsidRPr="008D38F6">
        <w:rPr>
          <w:rFonts w:eastAsia="Calibri" w:cs="Tahoma"/>
          <w:szCs w:val="18"/>
          <w:lang w:val="pt-BR"/>
        </w:rPr>
        <w:t> </w:t>
      </w:r>
      <w:r w:rsidRPr="008D38F6">
        <w:rPr>
          <w:rFonts w:eastAsia="Calibri" w:cs="Tahoma"/>
          <w:szCs w:val="18"/>
          <w:lang w:val="pt-BR"/>
        </w:rPr>
        <w:t>Licenças Qualificadas do SBS Standard existentes do cliente não serão mais válidas.</w:t>
      </w:r>
    </w:p>
    <w:p w:rsidR="00CE7FAD" w:rsidRPr="008D38F6" w:rsidRDefault="00CE7FAD" w:rsidP="00CE7FAD">
      <w:pPr>
        <w:ind w:left="720"/>
        <w:rPr>
          <w:rFonts w:cs="Tahoma"/>
          <w:szCs w:val="18"/>
          <w:lang w:val="pt-BR"/>
        </w:rPr>
      </w:pPr>
    </w:p>
    <w:p w:rsidR="00836655" w:rsidRPr="008D38F6" w:rsidRDefault="00836655" w:rsidP="008C1816">
      <w:pPr>
        <w:ind w:left="720"/>
        <w:rPr>
          <w:rFonts w:cs="Tahoma"/>
          <w:szCs w:val="18"/>
          <w:lang w:val="pt-BR"/>
        </w:rPr>
      </w:pPr>
      <w:r w:rsidRPr="008D38F6">
        <w:rPr>
          <w:rFonts w:cs="Tahoma"/>
          <w:color w:val="000000"/>
          <w:szCs w:val="18"/>
          <w:lang w:val="pt-BR"/>
        </w:rPr>
        <w:t xml:space="preserve">As licenças do SBS 2011 Standard </w:t>
      </w:r>
      <w:r w:rsidRPr="008D38F6">
        <w:rPr>
          <w:rFonts w:cs="Tahoma"/>
          <w:bCs/>
          <w:color w:val="000000"/>
          <w:szCs w:val="18"/>
          <w:lang w:val="pt-BR"/>
        </w:rPr>
        <w:t>adquiridas posteriormente no mesmo prazo de registro, como parte de</w:t>
      </w:r>
      <w:r w:rsidR="00185DE6" w:rsidRPr="008D38F6">
        <w:rPr>
          <w:rFonts w:cs="Tahoma"/>
          <w:bCs/>
          <w:color w:val="000000"/>
          <w:szCs w:val="18"/>
          <w:lang w:val="pt-BR"/>
        </w:rPr>
        <w:t> </w:t>
      </w:r>
      <w:r w:rsidRPr="008D38F6">
        <w:rPr>
          <w:rFonts w:cs="Tahoma"/>
          <w:bCs/>
          <w:color w:val="000000"/>
          <w:szCs w:val="18"/>
          <w:lang w:val="pt-BR"/>
        </w:rPr>
        <w:t>um processo de adequação (“true-up”) programado do cliente Open Value Subscription ou EES também</w:t>
      </w:r>
      <w:r w:rsidR="008C1816" w:rsidRPr="008D38F6">
        <w:rPr>
          <w:rFonts w:cs="Tahoma"/>
          <w:bCs/>
          <w:color w:val="000000"/>
          <w:szCs w:val="18"/>
          <w:lang w:val="pt-BR"/>
        </w:rPr>
        <w:t> </w:t>
      </w:r>
      <w:r w:rsidRPr="008D38F6">
        <w:rPr>
          <w:rFonts w:cs="Tahoma"/>
          <w:bCs/>
          <w:color w:val="000000"/>
          <w:szCs w:val="18"/>
          <w:lang w:val="pt-BR"/>
        </w:rPr>
        <w:t>são Licenças Qualificadas para os propósitos da concessão supracitada.</w:t>
      </w:r>
    </w:p>
    <w:p w:rsidR="00D16723" w:rsidRPr="008D38F6" w:rsidRDefault="00D16723" w:rsidP="00CE7FAD">
      <w:pPr>
        <w:ind w:left="720"/>
        <w:rPr>
          <w:rFonts w:cs="Tahoma"/>
          <w:szCs w:val="18"/>
          <w:lang w:val="pt-BR"/>
        </w:rPr>
      </w:pPr>
    </w:p>
    <w:p w:rsidR="00F00213" w:rsidRPr="008D38F6" w:rsidRDefault="00F00213" w:rsidP="00CE7FAD">
      <w:pPr>
        <w:ind w:left="720"/>
        <w:rPr>
          <w:rFonts w:cs="Tahoma"/>
          <w:szCs w:val="18"/>
          <w:lang w:val="pt-BR"/>
        </w:rPr>
      </w:pPr>
    </w:p>
    <w:p w:rsidR="00E06578" w:rsidRPr="00416070" w:rsidRDefault="00BA29A7" w:rsidP="00EF2279">
      <w:pPr>
        <w:pStyle w:val="Heading2"/>
        <w:ind w:left="0"/>
      </w:pPr>
      <w:bookmarkStart w:id="1578" w:name="_100_SBS_2008"/>
      <w:bookmarkStart w:id="1579" w:name="_101_SBS_2008"/>
      <w:bookmarkStart w:id="1580" w:name="_105_SBS_2008"/>
      <w:bookmarkStart w:id="1581" w:name="_125_Windows_Web"/>
      <w:bookmarkStart w:id="1582" w:name="_122_Windows_Small"/>
      <w:bookmarkStart w:id="1583" w:name="_120_Windows_Small"/>
      <w:bookmarkStart w:id="1584" w:name="_110_Windows_Small"/>
      <w:bookmarkStart w:id="1585" w:name="_111_Pacote_de"/>
      <w:bookmarkStart w:id="1586" w:name="_Toc336338378"/>
      <w:bookmarkStart w:id="1587" w:name="_Toc352234437"/>
      <w:bookmarkEnd w:id="1578"/>
      <w:bookmarkEnd w:id="1579"/>
      <w:bookmarkEnd w:id="1580"/>
      <w:bookmarkEnd w:id="1581"/>
      <w:bookmarkEnd w:id="1582"/>
      <w:bookmarkEnd w:id="1583"/>
      <w:bookmarkEnd w:id="1584"/>
      <w:bookmarkEnd w:id="1585"/>
      <w:r w:rsidRPr="00416070">
        <w:rPr>
          <w:rFonts w:ascii="Tahoma" w:hAnsi="Tahoma" w:cs="Tahoma"/>
          <w:caps/>
          <w:color w:val="EE6000"/>
          <w:sz w:val="22"/>
          <w:szCs w:val="18"/>
          <w:vertAlign w:val="superscript"/>
        </w:rPr>
        <w:t>111</w:t>
      </w:r>
      <w:r w:rsidRPr="00615CB9">
        <w:rPr>
          <w:rFonts w:ascii="Tahoma" w:hAnsi="Tahoma" w:cs="Tahoma"/>
          <w:caps/>
          <w:color w:val="EE6000"/>
          <w:sz w:val="22"/>
          <w:szCs w:val="18"/>
        </w:rPr>
        <w:t xml:space="preserve"> </w:t>
      </w:r>
      <w:r w:rsidRPr="00416070">
        <w:rPr>
          <w:rFonts w:ascii="Tahoma" w:hAnsi="Tahoma" w:cs="Tahoma"/>
          <w:color w:val="F8701C"/>
          <w:sz w:val="22"/>
          <w:szCs w:val="22"/>
        </w:rPr>
        <w:t>Pacote de CALs do Windows Small Business Server (SBS) 2011</w:t>
      </w:r>
      <w:bookmarkEnd w:id="1586"/>
      <w:bookmarkEnd w:id="1587"/>
    </w:p>
    <w:p w:rsidR="00E06578" w:rsidRPr="00416070" w:rsidRDefault="00E06578" w:rsidP="000F0F4D">
      <w:pPr>
        <w:ind w:left="900"/>
      </w:pPr>
    </w:p>
    <w:p w:rsidR="000F0F4D" w:rsidRPr="008D38F6" w:rsidRDefault="00836655" w:rsidP="000F0F4D">
      <w:pPr>
        <w:spacing w:after="60"/>
        <w:ind w:left="720"/>
        <w:rPr>
          <w:lang w:val="pt-BR"/>
        </w:rPr>
      </w:pPr>
      <w:r w:rsidRPr="008D38F6">
        <w:rPr>
          <w:b/>
          <w:color w:val="000000"/>
          <w:lang w:val="pt-BR"/>
        </w:rPr>
        <w:t>Outorgas de licença associadas ao término da validade do Pacote de CALs do SBS 2011</w:t>
      </w:r>
    </w:p>
    <w:p w:rsidR="00836655" w:rsidRPr="008D38F6" w:rsidRDefault="00836655" w:rsidP="000F0F4D">
      <w:pPr>
        <w:ind w:left="720"/>
        <w:rPr>
          <w:lang w:val="pt-BR"/>
        </w:rPr>
      </w:pPr>
      <w:r w:rsidRPr="008D38F6">
        <w:rPr>
          <w:lang w:val="pt-BR"/>
        </w:rPr>
        <w:t>Os clientes com cobertura do Software Assurance ativa para o Pacote de CALs do SBS 2011 (“CALs Qualificadas”) estão qualificados para acessar o software Windows Server Standard e Exchange Server 2010 Standard.</w:t>
      </w:r>
      <w:r w:rsidR="00FB5496" w:rsidRPr="008D38F6">
        <w:rPr>
          <w:lang w:val="pt-BR"/>
        </w:rPr>
        <w:t xml:space="preserve"> </w:t>
      </w:r>
      <w:r w:rsidRPr="008D38F6">
        <w:rPr>
          <w:rFonts w:eastAsia="Calibri" w:cs="Tahoma"/>
          <w:szCs w:val="18"/>
          <w:lang w:val="pt-BR"/>
        </w:rPr>
        <w:t>Para facilitar tal acesso, para cada CAL Qualificada que o cliente possui, ele receberá uma CAL para cada licença do Windows Server e Exchange Server 2010, como pod</w:t>
      </w:r>
      <w:r w:rsidR="008C1816" w:rsidRPr="008D38F6">
        <w:rPr>
          <w:rFonts w:eastAsia="Calibri" w:cs="Tahoma"/>
          <w:szCs w:val="18"/>
          <w:lang w:val="pt-BR"/>
        </w:rPr>
        <w:t>e ser visto na tabela a seguir.</w:t>
      </w:r>
    </w:p>
    <w:p w:rsidR="000F0F4D" w:rsidRPr="008D38F6" w:rsidRDefault="000F0F4D" w:rsidP="00155B9B">
      <w:pPr>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41607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070" w:rsidRDefault="00836655" w:rsidP="000A5032">
            <w:pPr>
              <w:spacing w:after="200" w:line="276" w:lineRule="auto"/>
              <w:rPr>
                <w:rFonts w:eastAsia="Calibri" w:cs="Tahoma"/>
                <w:szCs w:val="18"/>
              </w:rPr>
            </w:pPr>
            <w:r w:rsidRPr="00416070">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070" w:rsidRDefault="00836655" w:rsidP="000A5032">
            <w:pPr>
              <w:spacing w:after="200" w:line="276" w:lineRule="auto"/>
              <w:rPr>
                <w:rFonts w:eastAsia="Calibri" w:cs="Tahoma"/>
                <w:szCs w:val="18"/>
              </w:rPr>
            </w:pPr>
            <w:r w:rsidRPr="00416070">
              <w:rPr>
                <w:b/>
                <w:color w:val="000000"/>
              </w:rPr>
              <w:t>Outorga de Licença</w:t>
            </w:r>
          </w:p>
        </w:tc>
      </w:tr>
      <w:tr w:rsidR="00836655" w:rsidRPr="002B5F9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185DE6">
            <w:pPr>
              <w:spacing w:line="276" w:lineRule="auto"/>
              <w:rPr>
                <w:rFonts w:eastAsia="Calibri" w:cs="Tahoma"/>
                <w:szCs w:val="18"/>
                <w:lang w:val="pt-BR"/>
              </w:rPr>
            </w:pPr>
            <w:r w:rsidRPr="008D38F6">
              <w:rPr>
                <w:rFonts w:eastAsia="Calibri" w:cs="Tahoma"/>
                <w:szCs w:val="18"/>
                <w:lang w:val="pt-BR"/>
              </w:rPr>
              <w:t>Pacote de CALs do SBS 2011 com cobertura</w:t>
            </w:r>
            <w:r w:rsidR="00185DE6" w:rsidRPr="008D38F6">
              <w:rPr>
                <w:rFonts w:eastAsia="Calibri" w:cs="Tahoma"/>
                <w:szCs w:val="18"/>
                <w:lang w:val="pt-BR"/>
              </w:rPr>
              <w:t> </w:t>
            </w:r>
            <w:r w:rsidRPr="008D38F6">
              <w:rPr>
                <w:rFonts w:eastAsia="Calibri" w:cs="Tahoma"/>
                <w:szCs w:val="18"/>
                <w:lang w:val="pt-BR"/>
              </w:rPr>
              <w:t xml:space="preserve">do Software Assurance até </w:t>
            </w:r>
            <w:r w:rsidR="00600389" w:rsidRPr="008D38F6">
              <w:rPr>
                <w:rFonts w:eastAsia="Calibri" w:cs="Tahoma"/>
                <w:szCs w:val="18"/>
                <w:lang w:val="pt-BR"/>
              </w:rPr>
              <w:br/>
            </w:r>
            <w:r w:rsidRPr="008D38F6">
              <w:rPr>
                <w:rFonts w:eastAsia="Calibri" w:cs="Tahoma"/>
                <w:szCs w:val="18"/>
                <w:lang w:val="pt-BR"/>
              </w:rPr>
              <w:t>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CA14C9">
            <w:pPr>
              <w:spacing w:line="276" w:lineRule="auto"/>
              <w:rPr>
                <w:lang w:val="pt-BR"/>
              </w:rPr>
            </w:pPr>
            <w:r w:rsidRPr="008D38F6">
              <w:rPr>
                <w:rFonts w:eastAsia="Calibri" w:cs="Tahoma"/>
                <w:szCs w:val="18"/>
                <w:lang w:val="pt-BR"/>
              </w:rPr>
              <w:t>CAL do Windows Server 2008 R2</w:t>
            </w:r>
          </w:p>
          <w:p w:rsidR="00836655" w:rsidRPr="008D38F6" w:rsidRDefault="00836655" w:rsidP="00CA14C9">
            <w:pPr>
              <w:spacing w:line="276" w:lineRule="auto"/>
              <w:rPr>
                <w:rFonts w:eastAsia="Calibri" w:cs="Tahoma"/>
                <w:szCs w:val="18"/>
                <w:lang w:val="pt-BR"/>
              </w:rPr>
            </w:pPr>
            <w:r w:rsidRPr="008D38F6">
              <w:rPr>
                <w:rFonts w:eastAsia="Calibri" w:cs="Tahoma"/>
                <w:szCs w:val="18"/>
                <w:lang w:val="pt-BR"/>
              </w:rPr>
              <w:t>CAL do Exchange Server 2010</w:t>
            </w:r>
          </w:p>
        </w:tc>
      </w:tr>
      <w:tr w:rsidR="00836655" w:rsidRPr="002B5F9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CA14C9">
            <w:pPr>
              <w:spacing w:line="276" w:lineRule="auto"/>
              <w:rPr>
                <w:rFonts w:eastAsia="Calibri" w:cs="Tahoma"/>
                <w:szCs w:val="18"/>
                <w:lang w:val="pt-BR"/>
              </w:rPr>
            </w:pPr>
            <w:r w:rsidRPr="008D38F6">
              <w:rPr>
                <w:rFonts w:eastAsia="Calibri" w:cs="Tahoma"/>
                <w:szCs w:val="18"/>
                <w:lang w:val="pt-BR"/>
              </w:rPr>
              <w:t xml:space="preserve">Pacote de CALs do SBS 2011 com cobertura do Software Assurance em ou depois de </w:t>
            </w:r>
            <w:r w:rsidR="00185DE6" w:rsidRPr="008D38F6">
              <w:rPr>
                <w:rFonts w:eastAsia="Calibri" w:cs="Tahoma"/>
                <w:szCs w:val="18"/>
                <w:lang w:val="pt-BR"/>
              </w:rPr>
              <w:br/>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CA14C9">
            <w:pPr>
              <w:spacing w:line="276" w:lineRule="auto"/>
              <w:rPr>
                <w:lang w:val="pt-BR"/>
              </w:rPr>
            </w:pPr>
            <w:r w:rsidRPr="008D38F6">
              <w:rPr>
                <w:rFonts w:eastAsia="Calibri" w:cs="Tahoma"/>
                <w:szCs w:val="18"/>
                <w:lang w:val="pt-BR"/>
              </w:rPr>
              <w:t>CAL do Windows Server 2012 com Software Assurance</w:t>
            </w:r>
          </w:p>
          <w:p w:rsidR="00836655" w:rsidRPr="008D38F6" w:rsidRDefault="00836655" w:rsidP="00CA14C9">
            <w:pPr>
              <w:spacing w:line="276" w:lineRule="auto"/>
              <w:rPr>
                <w:rFonts w:eastAsia="Calibri" w:cs="Tahoma"/>
                <w:szCs w:val="18"/>
                <w:lang w:val="pt-BR"/>
              </w:rPr>
            </w:pPr>
            <w:r w:rsidRPr="008D38F6">
              <w:rPr>
                <w:rFonts w:eastAsia="Calibri" w:cs="Tahoma"/>
                <w:szCs w:val="18"/>
                <w:lang w:val="pt-BR"/>
              </w:rPr>
              <w:t>CAL do Exchange Server 2010 com Software Assurance</w:t>
            </w:r>
          </w:p>
        </w:tc>
      </w:tr>
    </w:tbl>
    <w:p w:rsidR="000F0F4D" w:rsidRPr="00600389" w:rsidRDefault="000F0F4D" w:rsidP="000F0F4D">
      <w:pPr>
        <w:pStyle w:val="ListParagraph"/>
        <w:contextualSpacing w:val="0"/>
        <w:rPr>
          <w:rFonts w:ascii="Tahoma" w:hAnsi="Tahoma" w:cs="Tahoma"/>
          <w:sz w:val="18"/>
          <w:szCs w:val="18"/>
        </w:rPr>
      </w:pPr>
    </w:p>
    <w:p w:rsidR="00836655" w:rsidRPr="00600389" w:rsidRDefault="00836655" w:rsidP="000F0F4D">
      <w:pPr>
        <w:pStyle w:val="ListParagraph"/>
        <w:contextualSpacing w:val="0"/>
        <w:rPr>
          <w:rFonts w:ascii="Tahoma" w:hAnsi="Tahoma" w:cs="Tahoma"/>
          <w:sz w:val="18"/>
          <w:szCs w:val="18"/>
        </w:rPr>
      </w:pPr>
      <w:r w:rsidRPr="00600389">
        <w:rPr>
          <w:rFonts w:ascii="Tahoma" w:eastAsia="Calibri" w:hAnsi="Tahoma" w:cs="Tahoma"/>
          <w:sz w:val="18"/>
          <w:szCs w:val="18"/>
        </w:rPr>
        <w:t>A cobertura do Software Assurance incluída com a concessão supracitada expira quando a cobertura correspondente nas CALs Qualificadas expirar. Como uma exceção, os clientes com Software Assurance em</w:t>
      </w:r>
      <w:r w:rsidR="00600389" w:rsidRPr="008D38F6">
        <w:rPr>
          <w:rFonts w:ascii="Tahoma" w:eastAsia="Calibri" w:hAnsi="Tahoma" w:cs="Tahoma"/>
          <w:sz w:val="18"/>
          <w:szCs w:val="18"/>
          <w:lang w:val="pt-BR"/>
        </w:rPr>
        <w:t> </w:t>
      </w:r>
      <w:r w:rsidRPr="00600389">
        <w:rPr>
          <w:rFonts w:ascii="Tahoma" w:eastAsia="Calibri" w:hAnsi="Tahoma" w:cs="Tahoma"/>
          <w:sz w:val="18"/>
          <w:szCs w:val="18"/>
        </w:rPr>
        <w:t>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rsidR="000F0F4D" w:rsidRPr="00600389" w:rsidRDefault="000F0F4D" w:rsidP="000F0F4D">
      <w:pPr>
        <w:pStyle w:val="ListParagraph"/>
        <w:contextualSpacing w:val="0"/>
        <w:rPr>
          <w:rFonts w:ascii="Tahoma" w:hAnsi="Tahoma" w:cs="Tahoma"/>
          <w:sz w:val="18"/>
          <w:szCs w:val="18"/>
        </w:rPr>
      </w:pPr>
    </w:p>
    <w:p w:rsidR="00836655" w:rsidRPr="00600389" w:rsidRDefault="00836655" w:rsidP="000F0F4D">
      <w:pPr>
        <w:pStyle w:val="ListParagraph"/>
        <w:contextualSpacing w:val="0"/>
        <w:rPr>
          <w:rFonts w:ascii="Tahoma" w:hAnsi="Tahoma" w:cs="Tahoma"/>
          <w:sz w:val="18"/>
          <w:szCs w:val="18"/>
        </w:rPr>
      </w:pPr>
      <w:r w:rsidRPr="00600389">
        <w:rPr>
          <w:rFonts w:ascii="Tahoma" w:eastAsia="Calibri" w:hAnsi="Tahoma" w:cs="Tahoma"/>
          <w:sz w:val="18"/>
          <w:szCs w:val="18"/>
        </w:rPr>
        <w:t>Se os clientes adquiriram direitos perpétuos de acordo com CALs Qualificadas, as CALs adquiridas sob essa</w:t>
      </w:r>
      <w:r w:rsidR="00600389" w:rsidRPr="008D38F6">
        <w:rPr>
          <w:rFonts w:ascii="Tahoma" w:eastAsia="Calibri" w:hAnsi="Tahoma" w:cs="Tahoma"/>
          <w:sz w:val="18"/>
          <w:szCs w:val="18"/>
          <w:lang w:val="pt-BR"/>
        </w:rPr>
        <w:t> </w:t>
      </w:r>
      <w:r w:rsidRPr="00600389">
        <w:rPr>
          <w:rFonts w:ascii="Tahoma" w:eastAsia="Calibri" w:hAnsi="Tahoma" w:cs="Tahoma"/>
          <w:sz w:val="18"/>
          <w:szCs w:val="18"/>
        </w:rPr>
        <w:t>concessão serão também perpétuas; caso contrário, as CALs adquiridas sob essa concessão expirarão</w:t>
      </w:r>
      <w:r w:rsidR="00600389" w:rsidRPr="008D38F6">
        <w:rPr>
          <w:rFonts w:ascii="Tahoma" w:eastAsia="Calibri" w:hAnsi="Tahoma" w:cs="Tahoma"/>
          <w:sz w:val="18"/>
          <w:szCs w:val="18"/>
          <w:lang w:val="pt-BR"/>
        </w:rPr>
        <w:t> </w:t>
      </w:r>
      <w:r w:rsidRPr="00600389">
        <w:rPr>
          <w:rFonts w:ascii="Tahoma" w:eastAsia="Calibri" w:hAnsi="Tahoma" w:cs="Tahoma"/>
          <w:sz w:val="18"/>
          <w:szCs w:val="18"/>
        </w:rPr>
        <w:t>quando as CALs Qualificadas subjacentes expirarem.</w:t>
      </w:r>
    </w:p>
    <w:p w:rsidR="000F0F4D" w:rsidRPr="00600389" w:rsidRDefault="000F0F4D" w:rsidP="000F0F4D">
      <w:pPr>
        <w:pStyle w:val="ListParagraph"/>
        <w:contextualSpacing w:val="0"/>
        <w:rPr>
          <w:rFonts w:ascii="Tahoma" w:hAnsi="Tahoma" w:cs="Tahoma"/>
          <w:sz w:val="18"/>
          <w:szCs w:val="18"/>
        </w:rPr>
      </w:pPr>
    </w:p>
    <w:p w:rsidR="00836655" w:rsidRPr="00600389" w:rsidRDefault="00836655" w:rsidP="000F0F4D">
      <w:pPr>
        <w:pStyle w:val="ListParagraph"/>
        <w:contextualSpacing w:val="0"/>
        <w:rPr>
          <w:rFonts w:ascii="Tahoma" w:hAnsi="Tahoma" w:cs="Tahoma"/>
          <w:sz w:val="18"/>
          <w:szCs w:val="18"/>
        </w:rPr>
      </w:pPr>
      <w:r w:rsidRPr="00600389">
        <w:rPr>
          <w:rFonts w:ascii="Tahoma" w:eastAsia="Calibri" w:hAnsi="Tahoma" w:cs="Tahoma"/>
          <w:sz w:val="18"/>
          <w:szCs w:val="18"/>
        </w:rPr>
        <w:t>Para cada CAL Qualificada adquirida sob Open Value Subscription, um cliente pode comprar um Pacote de</w:t>
      </w:r>
      <w:r w:rsidR="00600389" w:rsidRPr="008D38F6">
        <w:rPr>
          <w:rFonts w:ascii="Tahoma" w:eastAsia="Calibri" w:hAnsi="Tahoma" w:cs="Tahoma"/>
          <w:sz w:val="18"/>
          <w:szCs w:val="18"/>
          <w:lang w:val="pt-BR"/>
        </w:rPr>
        <w:t> </w:t>
      </w:r>
      <w:r w:rsidRPr="00600389">
        <w:rPr>
          <w:rFonts w:ascii="Tahoma" w:eastAsia="Calibri" w:hAnsi="Tahoma" w:cs="Tahoma"/>
          <w:sz w:val="18"/>
          <w:szCs w:val="18"/>
        </w:rPr>
        <w:t>CALs do SBS 2011, conforme cotado ou:</w:t>
      </w:r>
    </w:p>
    <w:p w:rsidR="000F0F4D" w:rsidRPr="00600389" w:rsidRDefault="000F0F4D" w:rsidP="000F0F4D">
      <w:pPr>
        <w:pStyle w:val="ListParagraph"/>
        <w:contextualSpacing w:val="0"/>
        <w:rPr>
          <w:rFonts w:ascii="Tahoma" w:hAnsi="Tahoma" w:cs="Tahoma"/>
          <w:sz w:val="18"/>
          <w:szCs w:val="18"/>
        </w:rPr>
      </w:pPr>
    </w:p>
    <w:p w:rsidR="00836655" w:rsidRPr="00600389" w:rsidRDefault="00836655" w:rsidP="000F0F4D">
      <w:pPr>
        <w:pStyle w:val="ListParagraph"/>
        <w:numPr>
          <w:ilvl w:val="1"/>
          <w:numId w:val="123"/>
        </w:numPr>
        <w:tabs>
          <w:tab w:val="clear" w:pos="1440"/>
        </w:tabs>
        <w:spacing w:after="60"/>
        <w:ind w:left="1800"/>
        <w:contextualSpacing w:val="0"/>
        <w:rPr>
          <w:rFonts w:ascii="Tahoma" w:hAnsi="Tahoma" w:cs="Tahoma"/>
          <w:sz w:val="18"/>
          <w:szCs w:val="18"/>
        </w:rPr>
      </w:pPr>
      <w:r w:rsidRPr="00600389">
        <w:rPr>
          <w:rFonts w:ascii="Tahoma" w:eastAsia="Calibri" w:hAnsi="Tahoma" w:cs="Tahoma"/>
          <w:sz w:val="18"/>
          <w:szCs w:val="18"/>
        </w:rPr>
        <w:t xml:space="preserve">Uma CAL para cada Windows Server 2012 Standard e Exchange Server 2010 para contratos que expiram em ou depois de </w:t>
      </w:r>
      <w:r w:rsidR="00EB0F1B" w:rsidRPr="00600389">
        <w:rPr>
          <w:rFonts w:ascii="Tahoma" w:eastAsia="Calibri" w:hAnsi="Tahoma" w:cs="Tahoma"/>
          <w:sz w:val="18"/>
          <w:szCs w:val="18"/>
        </w:rPr>
        <w:t>1</w:t>
      </w:r>
      <w:r w:rsidR="00EB0F1B" w:rsidRPr="0005355D">
        <w:rPr>
          <w:rFonts w:ascii="Tahoma" w:eastAsia="Calibri" w:hAnsi="Tahoma" w:cs="Tahoma"/>
          <w:sz w:val="18"/>
          <w:szCs w:val="18"/>
          <w:vertAlign w:val="superscript"/>
        </w:rPr>
        <w:t>º</w:t>
      </w:r>
      <w:r w:rsidRPr="00600389">
        <w:rPr>
          <w:rFonts w:ascii="Tahoma" w:eastAsia="Calibri" w:hAnsi="Tahoma" w:cs="Tahoma"/>
          <w:sz w:val="18"/>
          <w:szCs w:val="18"/>
        </w:rPr>
        <w:t xml:space="preserve"> de agosto de 2012 e</w:t>
      </w:r>
    </w:p>
    <w:p w:rsidR="00836655" w:rsidRPr="00600389" w:rsidRDefault="00836655" w:rsidP="000F0F4D">
      <w:pPr>
        <w:pStyle w:val="ListParagraph"/>
        <w:numPr>
          <w:ilvl w:val="1"/>
          <w:numId w:val="123"/>
        </w:numPr>
        <w:tabs>
          <w:tab w:val="clear" w:pos="1440"/>
        </w:tabs>
        <w:spacing w:after="60"/>
        <w:ind w:left="1800"/>
        <w:contextualSpacing w:val="0"/>
        <w:rPr>
          <w:rFonts w:ascii="Tahoma" w:hAnsi="Tahoma" w:cs="Tahoma"/>
          <w:sz w:val="18"/>
          <w:szCs w:val="18"/>
        </w:rPr>
      </w:pPr>
      <w:r w:rsidRPr="00600389">
        <w:rPr>
          <w:rFonts w:ascii="Tahoma" w:eastAsia="Calibri" w:hAnsi="Tahoma" w:cs="Tahoma"/>
          <w:sz w:val="18"/>
          <w:szCs w:val="18"/>
        </w:rPr>
        <w:t>Uma CAL para cada Windows Server 2008 e Exchange Server 2010 Standard para contratos que expiram em julho de 2012.</w:t>
      </w:r>
    </w:p>
    <w:p w:rsidR="000F0F4D" w:rsidRPr="008D38F6" w:rsidRDefault="000F0F4D" w:rsidP="000F0F4D">
      <w:pPr>
        <w:ind w:left="720"/>
        <w:rPr>
          <w:rFonts w:cs="Tahoma"/>
          <w:szCs w:val="18"/>
          <w:lang w:val="pt-BR"/>
        </w:rPr>
      </w:pPr>
    </w:p>
    <w:p w:rsidR="00836655" w:rsidRPr="008D38F6" w:rsidRDefault="00836655" w:rsidP="000F0F4D">
      <w:pPr>
        <w:ind w:left="720"/>
        <w:rPr>
          <w:rFonts w:cs="Tahoma"/>
          <w:szCs w:val="18"/>
          <w:lang w:val="pt-BR"/>
        </w:rPr>
      </w:pPr>
      <w:r w:rsidRPr="008D38F6">
        <w:rPr>
          <w:rFonts w:eastAsia="Calibri" w:cs="Tahoma"/>
          <w:szCs w:val="18"/>
          <w:lang w:val="pt-BR"/>
        </w:rPr>
        <w:t>No uso da CAL do Windows Server e CAL Padrão do Exchange Server 2010 sob essa concessão, as CALs Qualificadas do Pacote de CALs do SBS 2011 padrão existentes dos clientes não serão mais válidas.</w:t>
      </w:r>
    </w:p>
    <w:p w:rsidR="000F0F4D" w:rsidRPr="008D38F6" w:rsidRDefault="000F0F4D" w:rsidP="000F0F4D">
      <w:pPr>
        <w:ind w:left="720"/>
        <w:rPr>
          <w:rFonts w:cs="Tahoma"/>
          <w:szCs w:val="18"/>
          <w:lang w:val="pt-BR"/>
        </w:rPr>
      </w:pPr>
    </w:p>
    <w:p w:rsidR="00836655" w:rsidRPr="008D38F6" w:rsidRDefault="00836655" w:rsidP="000F0F4D">
      <w:pPr>
        <w:ind w:left="720"/>
        <w:rPr>
          <w:rFonts w:cs="Tahoma"/>
          <w:szCs w:val="18"/>
          <w:lang w:val="pt-BR"/>
        </w:rPr>
      </w:pPr>
      <w:r w:rsidRPr="008D38F6">
        <w:rPr>
          <w:rFonts w:cs="Tahoma"/>
          <w:color w:val="000000"/>
          <w:szCs w:val="18"/>
          <w:lang w:val="pt-BR"/>
        </w:rPr>
        <w:t>O Pacote de CAL do SBS 2011</w:t>
      </w:r>
      <w:r w:rsidRPr="008D38F6">
        <w:rPr>
          <w:rFonts w:cs="Tahoma"/>
          <w:bCs/>
          <w:color w:val="000000"/>
          <w:szCs w:val="18"/>
          <w:lang w:val="pt-BR"/>
        </w:rPr>
        <w:t xml:space="preserve"> adquirido posteriormente no mesmo prazo de registro, como parte de um processo de adequação (“true-up”) programado do cliente Open Value Subscription ou EES também são CALs Qualificadas para os propósitos da concessão supracitada.</w:t>
      </w:r>
      <w:r w:rsidRPr="008D38F6">
        <w:rPr>
          <w:rFonts w:eastAsia="Calibri" w:cs="Tahoma"/>
          <w:szCs w:val="18"/>
          <w:lang w:val="pt-BR"/>
        </w:rPr>
        <w:t xml:space="preserve"> </w:t>
      </w:r>
    </w:p>
    <w:p w:rsidR="009B1D83" w:rsidRPr="008D38F6" w:rsidRDefault="009B1D83" w:rsidP="000F0F4D">
      <w:pPr>
        <w:ind w:left="900"/>
        <w:rPr>
          <w:rFonts w:cs="Tahoma"/>
          <w:szCs w:val="18"/>
          <w:lang w:val="pt-BR"/>
        </w:rPr>
      </w:pPr>
    </w:p>
    <w:p w:rsidR="00586FCE" w:rsidRPr="008D38F6" w:rsidRDefault="00586FCE" w:rsidP="000F0F4D">
      <w:pPr>
        <w:ind w:left="900"/>
        <w:rPr>
          <w:lang w:val="pt-BR"/>
        </w:rPr>
      </w:pPr>
    </w:p>
    <w:p w:rsidR="009B1D83" w:rsidRPr="00416070" w:rsidRDefault="00BA29A7" w:rsidP="009B1D83">
      <w:pPr>
        <w:pStyle w:val="Heading2"/>
        <w:ind w:hanging="720"/>
      </w:pPr>
      <w:bookmarkStart w:id="1588" w:name="_112_Complemento_do"/>
      <w:bookmarkStart w:id="1589" w:name="Srv_122WinSmallBizSVR2011Addon"/>
      <w:bookmarkStart w:id="1590" w:name="_Toc336338379"/>
      <w:bookmarkStart w:id="1591" w:name="_Toc352234438"/>
      <w:bookmarkStart w:id="1592" w:name="Srv_112WinSmallBizSVR2011Addon"/>
      <w:bookmarkStart w:id="1593" w:name="Srv_118WinSmallBizSVR2011Addon"/>
      <w:bookmarkEnd w:id="1588"/>
      <w:r w:rsidRPr="00416070">
        <w:rPr>
          <w:rFonts w:ascii="Tahoma" w:hAnsi="Tahoma" w:cs="Tahoma"/>
          <w:caps/>
          <w:color w:val="EE6000"/>
          <w:sz w:val="22"/>
          <w:szCs w:val="18"/>
          <w:vertAlign w:val="superscript"/>
        </w:rPr>
        <w:t>112</w:t>
      </w:r>
      <w:r w:rsidRPr="00615CB9">
        <w:rPr>
          <w:rFonts w:ascii="Tahoma" w:hAnsi="Tahoma" w:cs="Tahoma"/>
          <w:caps/>
          <w:color w:val="EE6000"/>
          <w:sz w:val="22"/>
          <w:szCs w:val="18"/>
        </w:rPr>
        <w:t xml:space="preserve"> </w:t>
      </w:r>
      <w:r w:rsidRPr="00416070">
        <w:rPr>
          <w:rFonts w:ascii="Tahoma" w:hAnsi="Tahoma" w:cs="Tahoma"/>
          <w:color w:val="EE6000"/>
          <w:sz w:val="22"/>
          <w:szCs w:val="18"/>
        </w:rPr>
        <w:t>Complemento do Windows Small Business Server (SBS) 2011 Premium</w:t>
      </w:r>
      <w:bookmarkEnd w:id="1589"/>
      <w:bookmarkEnd w:id="1590"/>
      <w:bookmarkEnd w:id="1591"/>
    </w:p>
    <w:bookmarkEnd w:id="1592"/>
    <w:bookmarkEnd w:id="1593"/>
    <w:p w:rsidR="009B1D83" w:rsidRPr="00416070" w:rsidRDefault="009B1D83" w:rsidP="000F0F4D">
      <w:pPr>
        <w:ind w:left="900"/>
      </w:pPr>
    </w:p>
    <w:p w:rsidR="000F0F4D" w:rsidRPr="008D38F6" w:rsidRDefault="00836655" w:rsidP="000F0F4D">
      <w:pPr>
        <w:spacing w:after="60"/>
        <w:ind w:left="720"/>
        <w:rPr>
          <w:lang w:val="pt-BR"/>
        </w:rPr>
      </w:pPr>
      <w:r w:rsidRPr="008D38F6">
        <w:rPr>
          <w:b/>
          <w:color w:val="000000"/>
          <w:lang w:val="pt-BR"/>
        </w:rPr>
        <w:t>Outorgas de licença associadas ao término da validade do Complemento do SBS 2011 Premium</w:t>
      </w:r>
    </w:p>
    <w:p w:rsidR="00836655" w:rsidRPr="008D38F6" w:rsidRDefault="00836655" w:rsidP="000F0F4D">
      <w:pPr>
        <w:ind w:left="720"/>
        <w:rPr>
          <w:lang w:val="pt-BR"/>
        </w:rPr>
      </w:pPr>
      <w:r w:rsidRPr="008D38F6">
        <w:rPr>
          <w:color w:val="000000"/>
          <w:lang w:val="pt-BR"/>
        </w:rPr>
        <w:t xml:space="preserve">O Complemento do SBS 2011 Premium será a última versão do Complemento do SBS Premium. Os clientes de licenciamento por volume com Software Assurance ativo para licenças do Complemento do SBS 2011 Premium (“Licenças Qualificadas”) poderão atualizar e </w:t>
      </w:r>
      <w:r w:rsidRPr="008D38F6">
        <w:rPr>
          <w:rFonts w:eastAsia="Calibri" w:cs="Tahoma"/>
          <w:szCs w:val="18"/>
          <w:lang w:val="pt-BR"/>
        </w:rPr>
        <w:t>usar os softwares Windows Server Standard e SQL Server 2012 Standard em vez do SBS 2011 Premium. Para facilitar tal uso, para cada licença Qualificada que</w:t>
      </w:r>
      <w:r w:rsidR="00600389" w:rsidRPr="008D38F6">
        <w:rPr>
          <w:rFonts w:eastAsia="Calibri" w:cs="Tahoma"/>
          <w:szCs w:val="18"/>
          <w:lang w:val="pt-BR"/>
        </w:rPr>
        <w:t> </w:t>
      </w:r>
      <w:r w:rsidRPr="008D38F6">
        <w:rPr>
          <w:rFonts w:eastAsia="Calibri" w:cs="Tahoma"/>
          <w:szCs w:val="18"/>
          <w:lang w:val="pt-BR"/>
        </w:rPr>
        <w:t>o cliente possui, ele receberá uma licença para cada licença do Windows Server e SQL Server 2012 (licenciada sob o modelo de Servidor/CAL), como pod</w:t>
      </w:r>
      <w:r w:rsidR="008C1816" w:rsidRPr="008D38F6">
        <w:rPr>
          <w:rFonts w:eastAsia="Calibri" w:cs="Tahoma"/>
          <w:szCs w:val="18"/>
          <w:lang w:val="pt-BR"/>
        </w:rPr>
        <w:t>e ser visto na tabela a seguir.</w:t>
      </w:r>
    </w:p>
    <w:p w:rsidR="0004051B" w:rsidRPr="008D38F6" w:rsidRDefault="0004051B" w:rsidP="000F0F4D">
      <w:pPr>
        <w:ind w:left="720"/>
        <w:rPr>
          <w:lang w:val="pt-B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416070"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070" w:rsidRDefault="00836655" w:rsidP="00D16723">
            <w:pPr>
              <w:keepNext/>
              <w:spacing w:after="200" w:line="276" w:lineRule="auto"/>
              <w:rPr>
                <w:rFonts w:eastAsia="Calibri" w:cs="Tahoma"/>
                <w:szCs w:val="18"/>
              </w:rPr>
            </w:pPr>
            <w:r w:rsidRPr="00416070">
              <w:rPr>
                <w:b/>
                <w:color w:val="000000"/>
              </w:rPr>
              <w:t>Licenças Qualificadas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070" w:rsidRDefault="00836655" w:rsidP="00D16723">
            <w:pPr>
              <w:keepNext/>
              <w:spacing w:after="200" w:line="276" w:lineRule="auto"/>
              <w:rPr>
                <w:rFonts w:eastAsia="Calibri" w:cs="Tahoma"/>
                <w:szCs w:val="18"/>
              </w:rPr>
            </w:pPr>
            <w:r w:rsidRPr="00416070">
              <w:rPr>
                <w:b/>
                <w:color w:val="000000"/>
              </w:rPr>
              <w:t>Outorga de Licença</w:t>
            </w:r>
          </w:p>
        </w:tc>
      </w:tr>
      <w:tr w:rsidR="00836655" w:rsidRPr="002B5F9E"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D16723">
            <w:pPr>
              <w:keepNext/>
              <w:spacing w:line="276" w:lineRule="auto"/>
              <w:rPr>
                <w:rFonts w:eastAsia="Calibri" w:cs="Tahoma"/>
                <w:szCs w:val="18"/>
                <w:lang w:val="pt-BR"/>
              </w:rPr>
            </w:pPr>
            <w:r w:rsidRPr="008D38F6">
              <w:rPr>
                <w:rFonts w:eastAsia="Calibri" w:cs="Tahoma"/>
                <w:szCs w:val="18"/>
                <w:lang w:val="pt-BR"/>
              </w:rPr>
              <w:t>Complemento do SBS 2011 Premium com cobertura do</w:t>
            </w:r>
            <w:r w:rsidR="00600389" w:rsidRPr="008D38F6">
              <w:rPr>
                <w:rFonts w:eastAsia="Calibri" w:cs="Tahoma"/>
                <w:szCs w:val="18"/>
                <w:lang w:val="pt-BR"/>
              </w:rPr>
              <w:t> </w:t>
            </w:r>
            <w:r w:rsidRPr="008D38F6">
              <w:rPr>
                <w:rFonts w:eastAsia="Calibri" w:cs="Tahoma"/>
                <w:szCs w:val="18"/>
                <w:lang w:val="pt-BR"/>
              </w:rPr>
              <w:t>Software Assurance até 31 de julho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D16723">
            <w:pPr>
              <w:keepNext/>
              <w:spacing w:line="276" w:lineRule="auto"/>
              <w:rPr>
                <w:lang w:val="pt-BR"/>
              </w:rPr>
            </w:pPr>
            <w:r w:rsidRPr="008D38F6">
              <w:rPr>
                <w:rFonts w:eastAsia="Calibri" w:cs="Tahoma"/>
                <w:szCs w:val="18"/>
                <w:lang w:val="pt-BR"/>
              </w:rPr>
              <w:t xml:space="preserve">CAL do Windows Server 2008 R2 </w:t>
            </w:r>
          </w:p>
          <w:p w:rsidR="00836655" w:rsidRPr="008D38F6" w:rsidRDefault="00836655" w:rsidP="00D16723">
            <w:pPr>
              <w:keepNext/>
              <w:spacing w:line="276" w:lineRule="auto"/>
              <w:rPr>
                <w:rFonts w:eastAsia="Calibri" w:cs="Tahoma"/>
                <w:szCs w:val="18"/>
                <w:lang w:val="pt-BR"/>
              </w:rPr>
            </w:pPr>
            <w:r w:rsidRPr="008D38F6">
              <w:rPr>
                <w:rFonts w:eastAsia="Calibri" w:cs="Tahoma"/>
                <w:szCs w:val="18"/>
                <w:lang w:val="pt-BR"/>
              </w:rPr>
              <w:t xml:space="preserve">SQL Server 2012 </w:t>
            </w:r>
          </w:p>
        </w:tc>
      </w:tr>
      <w:tr w:rsidR="00836655" w:rsidRPr="00416070"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D16723">
            <w:pPr>
              <w:keepNext/>
              <w:spacing w:line="276" w:lineRule="auto"/>
              <w:rPr>
                <w:rFonts w:eastAsia="Calibri" w:cs="Tahoma"/>
                <w:szCs w:val="18"/>
                <w:lang w:val="pt-BR"/>
              </w:rPr>
            </w:pPr>
            <w:r w:rsidRPr="008D38F6">
              <w:rPr>
                <w:rFonts w:eastAsia="Calibri" w:cs="Tahoma"/>
                <w:szCs w:val="18"/>
                <w:lang w:val="pt-BR"/>
              </w:rPr>
              <w:t>Complemento do SBS 2011 Premium com cobertura do</w:t>
            </w:r>
            <w:r w:rsidR="00600389" w:rsidRPr="008D38F6">
              <w:rPr>
                <w:rFonts w:eastAsia="Calibri" w:cs="Tahoma"/>
                <w:szCs w:val="18"/>
                <w:lang w:val="pt-BR"/>
              </w:rPr>
              <w:t> </w:t>
            </w:r>
            <w:r w:rsidRPr="008D38F6">
              <w:rPr>
                <w:rFonts w:eastAsia="Calibri" w:cs="Tahoma"/>
                <w:szCs w:val="18"/>
                <w:lang w:val="pt-BR"/>
              </w:rPr>
              <w:t xml:space="preserve">Software Assurance em ou depois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16070" w:rsidRDefault="00836655" w:rsidP="00D16723">
            <w:pPr>
              <w:keepNext/>
              <w:spacing w:line="276" w:lineRule="auto"/>
            </w:pPr>
            <w:r w:rsidRPr="00416070">
              <w:rPr>
                <w:rFonts w:eastAsia="Calibri" w:cs="Tahoma"/>
                <w:szCs w:val="18"/>
              </w:rPr>
              <w:t>Windows Server 2012 com Software Assurance</w:t>
            </w:r>
          </w:p>
          <w:p w:rsidR="00836655" w:rsidRPr="00416070" w:rsidRDefault="00836655" w:rsidP="00D16723">
            <w:pPr>
              <w:keepNext/>
              <w:spacing w:line="276" w:lineRule="auto"/>
              <w:rPr>
                <w:rFonts w:eastAsia="Calibri" w:cs="Tahoma"/>
                <w:szCs w:val="18"/>
              </w:rPr>
            </w:pPr>
            <w:r w:rsidRPr="00416070">
              <w:rPr>
                <w:rFonts w:eastAsia="Calibri" w:cs="Tahoma"/>
                <w:szCs w:val="18"/>
              </w:rPr>
              <w:t>SQL Server 2012 com Software Assurance</w:t>
            </w:r>
          </w:p>
        </w:tc>
      </w:tr>
    </w:tbl>
    <w:p w:rsidR="000F0F4D" w:rsidRDefault="000F0F4D" w:rsidP="000F0F4D">
      <w:pPr>
        <w:pStyle w:val="ListParagraph"/>
        <w:spacing w:after="100" w:afterAutospacing="1"/>
        <w:rPr>
          <w:rFonts w:ascii="Tahoma" w:hAnsi="Tahoma" w:cs="Tahoma"/>
          <w:sz w:val="18"/>
          <w:szCs w:val="18"/>
          <w:lang w:val="en-US"/>
        </w:rPr>
      </w:pPr>
    </w:p>
    <w:p w:rsidR="0020393F" w:rsidRPr="0020393F" w:rsidRDefault="0020393F" w:rsidP="000F0F4D">
      <w:pPr>
        <w:pStyle w:val="ListParagraph"/>
        <w:spacing w:after="100" w:afterAutospacing="1"/>
        <w:rPr>
          <w:rFonts w:ascii="Tahoma" w:hAnsi="Tahoma" w:cs="Tahoma"/>
          <w:sz w:val="18"/>
          <w:szCs w:val="18"/>
          <w:lang w:val="en-US"/>
        </w:rPr>
      </w:pPr>
    </w:p>
    <w:p w:rsidR="00836655" w:rsidRPr="00F00213" w:rsidRDefault="00836655" w:rsidP="000F0F4D">
      <w:pPr>
        <w:pStyle w:val="ListParagraph"/>
        <w:contextualSpacing w:val="0"/>
        <w:rPr>
          <w:rFonts w:ascii="Tahoma" w:hAnsi="Tahoma" w:cs="Tahoma"/>
          <w:sz w:val="18"/>
          <w:szCs w:val="18"/>
        </w:rPr>
      </w:pPr>
      <w:r w:rsidRPr="00F00213">
        <w:rPr>
          <w:rFonts w:ascii="Tahoma" w:eastAsia="Calibri" w:hAnsi="Tahoma" w:cs="Tahoma"/>
          <w:sz w:val="18"/>
          <w:szCs w:val="18"/>
        </w:rPr>
        <w:t xml:space="preserve">A cobertura do Software Assurance incluída com a concessão supracitada expira quando a cobertura correspondente nas Licenças Qualificadas expirar. Como uma exceção, os clientes com Software Assurance em Licenças de Qualificação que expiram em </w:t>
      </w:r>
      <w:r w:rsidRPr="00F00213">
        <w:rPr>
          <w:rStyle w:val="CommentReference"/>
          <w:rFonts w:ascii="Tahoma" w:hAnsi="Tahoma" w:cs="Tahoma"/>
          <w:sz w:val="18"/>
          <w:szCs w:val="18"/>
        </w:rPr>
        <w:t>agosto de 2</w:t>
      </w:r>
      <w:r w:rsidRPr="00F00213">
        <w:rPr>
          <w:rFonts w:ascii="Tahoma" w:eastAsia="Calibri" w:hAnsi="Tahoma" w:cs="Tahoma"/>
          <w:sz w:val="18"/>
          <w:szCs w:val="18"/>
        </w:rPr>
        <w:t>012 poderão, até 31 de dezembro de 2012, renovar o Software Assurance nas licenças concedidas sob esta oferta.</w:t>
      </w:r>
    </w:p>
    <w:p w:rsidR="000F0F4D" w:rsidRPr="00F00213" w:rsidRDefault="000F0F4D" w:rsidP="000F0F4D">
      <w:pPr>
        <w:pStyle w:val="ListParagraph"/>
        <w:contextualSpacing w:val="0"/>
        <w:rPr>
          <w:rFonts w:ascii="Tahoma" w:hAnsi="Tahoma" w:cs="Tahoma"/>
          <w:sz w:val="18"/>
          <w:szCs w:val="18"/>
        </w:rPr>
      </w:pPr>
    </w:p>
    <w:p w:rsidR="00836655" w:rsidRPr="008D38F6" w:rsidRDefault="00836655" w:rsidP="000F0F4D">
      <w:pPr>
        <w:spacing w:line="276" w:lineRule="auto"/>
        <w:ind w:left="720"/>
        <w:rPr>
          <w:rFonts w:cs="Tahoma"/>
          <w:szCs w:val="18"/>
          <w:lang w:val="pt-BR"/>
        </w:rPr>
      </w:pPr>
      <w:r w:rsidRPr="008D38F6">
        <w:rPr>
          <w:rFonts w:cs="Tahoma"/>
          <w:color w:val="000000"/>
          <w:szCs w:val="18"/>
          <w:lang w:val="pt-BR"/>
        </w:rPr>
        <w:t>Os clientes cuja cobertura do Software Assurance em Licenças Qualificadas que expiram em julho de 2012 poderão</w:t>
      </w:r>
      <w:r w:rsidRPr="008D38F6">
        <w:rPr>
          <w:rFonts w:eastAsia="Calibri" w:cs="Tahoma"/>
          <w:szCs w:val="18"/>
          <w:lang w:val="pt-BR"/>
        </w:rPr>
        <w:t>, até 31 de dezembro de 2012, adquirir o Software Assurance nas licenças concedidas sob esta</w:t>
      </w:r>
      <w:r w:rsidR="00600389" w:rsidRPr="008D38F6">
        <w:rPr>
          <w:rFonts w:eastAsia="Calibri" w:cs="Tahoma"/>
          <w:szCs w:val="18"/>
          <w:lang w:val="pt-BR"/>
        </w:rPr>
        <w:t> </w:t>
      </w:r>
      <w:r w:rsidRPr="008D38F6">
        <w:rPr>
          <w:rFonts w:eastAsia="Calibri" w:cs="Tahoma"/>
          <w:szCs w:val="18"/>
          <w:lang w:val="pt-BR"/>
        </w:rPr>
        <w:t>oferta.</w:t>
      </w:r>
    </w:p>
    <w:p w:rsidR="000F0F4D" w:rsidRPr="008D38F6" w:rsidRDefault="000F0F4D" w:rsidP="000F0F4D">
      <w:pPr>
        <w:spacing w:line="276" w:lineRule="auto"/>
        <w:ind w:left="720"/>
        <w:rPr>
          <w:rFonts w:cs="Tahoma"/>
          <w:szCs w:val="18"/>
          <w:lang w:val="pt-BR"/>
        </w:rPr>
      </w:pPr>
    </w:p>
    <w:p w:rsidR="00836655" w:rsidRPr="00F00213" w:rsidRDefault="00836655" w:rsidP="000F0F4D">
      <w:pPr>
        <w:pStyle w:val="ListParagraph"/>
        <w:contextualSpacing w:val="0"/>
        <w:rPr>
          <w:rFonts w:ascii="Tahoma" w:hAnsi="Tahoma" w:cs="Tahoma"/>
          <w:sz w:val="18"/>
          <w:szCs w:val="18"/>
        </w:rPr>
      </w:pPr>
      <w:r w:rsidRPr="00F00213">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0F0F4D" w:rsidRPr="00F00213" w:rsidRDefault="000F0F4D" w:rsidP="000F0F4D">
      <w:pPr>
        <w:pStyle w:val="ListParagraph"/>
        <w:contextualSpacing w:val="0"/>
        <w:rPr>
          <w:rFonts w:ascii="Tahoma" w:hAnsi="Tahoma" w:cs="Tahoma"/>
          <w:sz w:val="18"/>
          <w:szCs w:val="18"/>
        </w:rPr>
      </w:pPr>
    </w:p>
    <w:p w:rsidR="00836655" w:rsidRPr="00F00213" w:rsidRDefault="00836655" w:rsidP="000F0F4D">
      <w:pPr>
        <w:pStyle w:val="ListParagraph"/>
        <w:contextualSpacing w:val="0"/>
        <w:rPr>
          <w:rFonts w:ascii="Tahoma" w:hAnsi="Tahoma" w:cs="Tahoma"/>
          <w:sz w:val="18"/>
          <w:szCs w:val="18"/>
        </w:rPr>
      </w:pPr>
      <w:r w:rsidRPr="00F00213">
        <w:rPr>
          <w:rFonts w:ascii="Tahoma" w:eastAsia="Calibri" w:hAnsi="Tahoma" w:cs="Tahoma"/>
          <w:sz w:val="18"/>
          <w:szCs w:val="18"/>
        </w:rPr>
        <w:t>Para cada Licença Qualificada adquirida sob Open Value Subscription, um cliente pode comprar uma licença do Complemento do SBS 2011 Premium, conforme cotado ou:</w:t>
      </w:r>
    </w:p>
    <w:p w:rsidR="000F0F4D" w:rsidRPr="00F00213" w:rsidRDefault="000F0F4D" w:rsidP="000F0F4D">
      <w:pPr>
        <w:pStyle w:val="ListParagraph"/>
        <w:contextualSpacing w:val="0"/>
        <w:rPr>
          <w:rFonts w:ascii="Tahoma" w:hAnsi="Tahoma" w:cs="Tahoma"/>
          <w:sz w:val="18"/>
          <w:szCs w:val="18"/>
        </w:rPr>
      </w:pPr>
    </w:p>
    <w:p w:rsidR="00836655" w:rsidRPr="00F00213" w:rsidRDefault="00836655" w:rsidP="000F0F4D">
      <w:pPr>
        <w:pStyle w:val="ListParagraph"/>
        <w:numPr>
          <w:ilvl w:val="1"/>
          <w:numId w:val="123"/>
        </w:numPr>
        <w:tabs>
          <w:tab w:val="clear" w:pos="1440"/>
        </w:tabs>
        <w:spacing w:after="60"/>
        <w:contextualSpacing w:val="0"/>
        <w:rPr>
          <w:rFonts w:ascii="Tahoma" w:hAnsi="Tahoma" w:cs="Tahoma"/>
          <w:sz w:val="18"/>
          <w:szCs w:val="18"/>
        </w:rPr>
      </w:pPr>
      <w:r w:rsidRPr="00F00213">
        <w:rPr>
          <w:rFonts w:ascii="Tahoma" w:eastAsia="Calibri" w:hAnsi="Tahoma" w:cs="Tahoma"/>
          <w:sz w:val="18"/>
          <w:szCs w:val="18"/>
        </w:rPr>
        <w:t xml:space="preserve">Uma licença para cada Windows Server 2012 Standard e SQL Server 2012 Standard </w:t>
      </w:r>
      <w:r w:rsidR="00600389" w:rsidRPr="008D38F6">
        <w:rPr>
          <w:rFonts w:ascii="Tahoma" w:eastAsia="Calibri" w:hAnsi="Tahoma" w:cs="Tahoma"/>
          <w:sz w:val="18"/>
          <w:szCs w:val="18"/>
          <w:lang w:val="pt-BR"/>
        </w:rPr>
        <w:br/>
      </w:r>
      <w:r w:rsidRPr="00F00213">
        <w:rPr>
          <w:rFonts w:ascii="Tahoma" w:eastAsia="Calibri" w:hAnsi="Tahoma" w:cs="Tahoma"/>
          <w:sz w:val="18"/>
          <w:szCs w:val="18"/>
        </w:rPr>
        <w:t>(licenciada sob</w:t>
      </w:r>
      <w:r w:rsidR="00600389" w:rsidRPr="008D38F6">
        <w:rPr>
          <w:rFonts w:ascii="Tahoma" w:eastAsia="Calibri" w:hAnsi="Tahoma" w:cs="Tahoma"/>
          <w:sz w:val="18"/>
          <w:szCs w:val="18"/>
          <w:lang w:val="pt-BR"/>
        </w:rPr>
        <w:t> </w:t>
      </w:r>
      <w:r w:rsidRPr="00F00213">
        <w:rPr>
          <w:rFonts w:ascii="Tahoma" w:eastAsia="Calibri" w:hAnsi="Tahoma" w:cs="Tahoma"/>
          <w:sz w:val="18"/>
          <w:szCs w:val="18"/>
        </w:rPr>
        <w:t xml:space="preserve">o modelo de licenciamento Servidor-CAL) para contratos que expiram </w:t>
      </w:r>
      <w:r w:rsidR="00600389" w:rsidRPr="008D38F6">
        <w:rPr>
          <w:rFonts w:ascii="Tahoma" w:eastAsia="Calibri" w:hAnsi="Tahoma" w:cs="Tahoma"/>
          <w:sz w:val="18"/>
          <w:szCs w:val="18"/>
          <w:lang w:val="pt-BR"/>
        </w:rPr>
        <w:br/>
      </w:r>
      <w:r w:rsidRPr="00F00213">
        <w:rPr>
          <w:rFonts w:ascii="Tahoma" w:eastAsia="Calibri" w:hAnsi="Tahoma" w:cs="Tahoma"/>
          <w:sz w:val="18"/>
          <w:szCs w:val="18"/>
        </w:rPr>
        <w:t xml:space="preserve">em ou depois de </w:t>
      </w:r>
      <w:r w:rsidR="00EB0F1B" w:rsidRPr="00F00213">
        <w:rPr>
          <w:rFonts w:ascii="Tahoma" w:eastAsia="Calibri" w:hAnsi="Tahoma" w:cs="Tahoma"/>
          <w:sz w:val="18"/>
          <w:szCs w:val="18"/>
        </w:rPr>
        <w:t>1</w:t>
      </w:r>
      <w:r w:rsidR="00EB0F1B" w:rsidRPr="00F00213">
        <w:rPr>
          <w:rFonts w:ascii="Tahoma" w:eastAsia="Calibri" w:hAnsi="Tahoma" w:cs="Tahoma"/>
          <w:sz w:val="18"/>
          <w:szCs w:val="18"/>
          <w:vertAlign w:val="superscript"/>
        </w:rPr>
        <w:t>º</w:t>
      </w:r>
      <w:r w:rsidRPr="00F00213">
        <w:rPr>
          <w:rFonts w:ascii="Tahoma" w:eastAsia="Calibri" w:hAnsi="Tahoma" w:cs="Tahoma"/>
          <w:sz w:val="18"/>
          <w:szCs w:val="18"/>
        </w:rPr>
        <w:t xml:space="preserve"> de agosto de 2012 ou</w:t>
      </w:r>
    </w:p>
    <w:p w:rsidR="00836655" w:rsidRPr="00F00213" w:rsidRDefault="00836655" w:rsidP="000F0F4D">
      <w:pPr>
        <w:pStyle w:val="ListParagraph"/>
        <w:numPr>
          <w:ilvl w:val="1"/>
          <w:numId w:val="123"/>
        </w:numPr>
        <w:tabs>
          <w:tab w:val="clear" w:pos="1440"/>
        </w:tabs>
        <w:spacing w:after="60"/>
        <w:contextualSpacing w:val="0"/>
        <w:rPr>
          <w:rFonts w:ascii="Tahoma" w:hAnsi="Tahoma" w:cs="Tahoma"/>
          <w:sz w:val="18"/>
          <w:szCs w:val="18"/>
        </w:rPr>
      </w:pPr>
      <w:r w:rsidRPr="00F00213">
        <w:rPr>
          <w:rFonts w:ascii="Tahoma" w:eastAsia="Calibri" w:hAnsi="Tahoma" w:cs="Tahoma"/>
          <w:sz w:val="18"/>
          <w:szCs w:val="18"/>
        </w:rPr>
        <w:t>Uma licença para cada Windows Server 2008 R2 Standard e SQL Server 2012 Standard (licenciada sob o modelo de licenciamento Servidor-CAL) para contratos que expiram em julho de 2012.</w:t>
      </w:r>
    </w:p>
    <w:p w:rsidR="000F0F4D" w:rsidRPr="008D38F6" w:rsidRDefault="000F0F4D" w:rsidP="000F0F4D">
      <w:pPr>
        <w:spacing w:line="276" w:lineRule="auto"/>
        <w:ind w:left="720"/>
        <w:rPr>
          <w:rFonts w:cs="Tahoma"/>
          <w:szCs w:val="18"/>
          <w:lang w:val="pt-BR"/>
        </w:rPr>
      </w:pPr>
    </w:p>
    <w:p w:rsidR="00836655" w:rsidRPr="008D38F6" w:rsidRDefault="00836655" w:rsidP="000F0F4D">
      <w:pPr>
        <w:spacing w:line="276" w:lineRule="auto"/>
        <w:ind w:left="720"/>
        <w:rPr>
          <w:rFonts w:cs="Tahoma"/>
          <w:szCs w:val="18"/>
          <w:lang w:val="pt-BR"/>
        </w:rPr>
      </w:pPr>
      <w:r w:rsidRPr="008D38F6">
        <w:rPr>
          <w:rFonts w:eastAsia="Calibri" w:cs="Tahoma"/>
          <w:szCs w:val="18"/>
          <w:lang w:val="pt-BR"/>
        </w:rPr>
        <w:t>Na atualização para o Windows Server Standard e SQL Server 2012 Standard sob essa concessão, as Licenças Qualificadas do Complemento do SBS Premium existentes do cliente não serão mais válidas.</w:t>
      </w:r>
    </w:p>
    <w:p w:rsidR="000F0F4D" w:rsidRPr="008D38F6" w:rsidRDefault="000F0F4D" w:rsidP="000F0F4D">
      <w:pPr>
        <w:spacing w:line="276" w:lineRule="auto"/>
        <w:ind w:left="720"/>
        <w:rPr>
          <w:rFonts w:cs="Tahoma"/>
          <w:szCs w:val="18"/>
          <w:lang w:val="pt-BR"/>
        </w:rPr>
      </w:pPr>
    </w:p>
    <w:p w:rsidR="00836655" w:rsidRPr="008D38F6" w:rsidRDefault="00836655" w:rsidP="000F0F4D">
      <w:pPr>
        <w:spacing w:line="276" w:lineRule="auto"/>
        <w:ind w:left="720"/>
        <w:rPr>
          <w:rFonts w:cs="Tahoma"/>
          <w:szCs w:val="18"/>
          <w:lang w:val="pt-BR"/>
        </w:rPr>
      </w:pPr>
      <w:r w:rsidRPr="008D38F6">
        <w:rPr>
          <w:rFonts w:eastAsia="Calibri" w:cs="Tahoma"/>
          <w:szCs w:val="18"/>
          <w:lang w:val="pt-BR"/>
        </w:rPr>
        <w:t>As licenças do Complemento do SBS 2011 Premium adquiridas posteriormente no mesmo prazo de registro, como parte de um processo de adequação (“true-up”) programado do cliente Open Value Subscription ou EES também são Licenças Qualificadas para os propósitos da concessão supracitada.</w:t>
      </w:r>
    </w:p>
    <w:p w:rsidR="009B1D83" w:rsidRPr="008D38F6" w:rsidRDefault="009B1D83" w:rsidP="00EF2279">
      <w:pPr>
        <w:rPr>
          <w:rFonts w:cs="Tahoma"/>
          <w:szCs w:val="18"/>
          <w:lang w:val="pt-BR"/>
        </w:rPr>
      </w:pPr>
    </w:p>
    <w:p w:rsidR="009B1D83" w:rsidRPr="008D38F6" w:rsidRDefault="009B1D83" w:rsidP="00EF2279">
      <w:pPr>
        <w:rPr>
          <w:rFonts w:cs="Tahoma"/>
          <w:szCs w:val="18"/>
          <w:lang w:val="pt-BR"/>
        </w:rPr>
      </w:pPr>
    </w:p>
    <w:p w:rsidR="00E06578" w:rsidRPr="00416070" w:rsidRDefault="00BA29A7" w:rsidP="00600389">
      <w:pPr>
        <w:pStyle w:val="Heading2"/>
        <w:ind w:left="331" w:hanging="331"/>
      </w:pPr>
      <w:bookmarkStart w:id="1594" w:name="_124_Windows_Small"/>
      <w:bookmarkStart w:id="1595" w:name="_112_Windows_Small"/>
      <w:bookmarkStart w:id="1596" w:name="_113_Pacote_de"/>
      <w:bookmarkStart w:id="1597" w:name="_Toc336338380"/>
      <w:bookmarkStart w:id="1598" w:name="_Toc352234439"/>
      <w:bookmarkEnd w:id="1594"/>
      <w:bookmarkEnd w:id="1595"/>
      <w:bookmarkEnd w:id="1596"/>
      <w:r w:rsidRPr="00416070">
        <w:rPr>
          <w:rFonts w:ascii="Tahoma" w:hAnsi="Tahoma" w:cs="Tahoma"/>
          <w:caps/>
          <w:color w:val="EE6000"/>
          <w:sz w:val="22"/>
          <w:szCs w:val="18"/>
          <w:vertAlign w:val="superscript"/>
        </w:rPr>
        <w:t>113</w:t>
      </w:r>
      <w:r w:rsidRPr="00416070">
        <w:rPr>
          <w:rFonts w:ascii="Tahoma" w:hAnsi="Tahoma" w:cs="Tahoma"/>
          <w:color w:val="EE6000"/>
          <w:sz w:val="22"/>
          <w:szCs w:val="18"/>
        </w:rPr>
        <w:t xml:space="preserve"> </w:t>
      </w:r>
      <w:r w:rsidRPr="00416070">
        <w:rPr>
          <w:rFonts w:ascii="Tahoma" w:hAnsi="Tahoma" w:cs="Tahoma"/>
          <w:color w:val="F8701C"/>
          <w:sz w:val="22"/>
          <w:szCs w:val="22"/>
        </w:rPr>
        <w:t xml:space="preserve">Pacote de CALs Complementares do Windows Small Business Server </w:t>
      </w:r>
      <w:r w:rsidR="00600389" w:rsidRPr="008D38F6">
        <w:rPr>
          <w:rFonts w:ascii="Tahoma" w:hAnsi="Tahoma" w:cs="Tahoma"/>
          <w:color w:val="F8701C"/>
          <w:sz w:val="22"/>
          <w:szCs w:val="22"/>
          <w:lang w:val="pt-BR"/>
        </w:rPr>
        <w:br/>
      </w:r>
      <w:r w:rsidRPr="00416070">
        <w:rPr>
          <w:rFonts w:ascii="Tahoma" w:hAnsi="Tahoma" w:cs="Tahoma"/>
          <w:color w:val="F8701C"/>
          <w:sz w:val="22"/>
          <w:szCs w:val="22"/>
        </w:rPr>
        <w:t>(SBS) 2011 Premium</w:t>
      </w:r>
      <w:bookmarkEnd w:id="1597"/>
      <w:bookmarkEnd w:id="1598"/>
    </w:p>
    <w:p w:rsidR="00E06578" w:rsidRPr="008D38F6" w:rsidRDefault="00E06578" w:rsidP="00910113">
      <w:pPr>
        <w:ind w:left="720"/>
        <w:rPr>
          <w:lang w:val="pt-BR"/>
        </w:rPr>
      </w:pPr>
    </w:p>
    <w:p w:rsidR="00910113" w:rsidRPr="008D38F6" w:rsidRDefault="00836655" w:rsidP="00910113">
      <w:pPr>
        <w:spacing w:after="60"/>
        <w:ind w:left="720"/>
        <w:rPr>
          <w:lang w:val="pt-BR"/>
        </w:rPr>
      </w:pPr>
      <w:r w:rsidRPr="008D38F6">
        <w:rPr>
          <w:b/>
          <w:color w:val="000000"/>
          <w:lang w:val="pt-BR"/>
        </w:rPr>
        <w:t>Outorgas de licença associadas ao término da validade do Pacote de CALs do Complemento do</w:t>
      </w:r>
      <w:r w:rsidR="00600389" w:rsidRPr="008D38F6">
        <w:rPr>
          <w:b/>
          <w:color w:val="000000"/>
          <w:lang w:val="pt-BR"/>
        </w:rPr>
        <w:t> </w:t>
      </w:r>
      <w:r w:rsidRPr="008D38F6">
        <w:rPr>
          <w:b/>
          <w:color w:val="000000"/>
          <w:lang w:val="pt-BR"/>
        </w:rPr>
        <w:t>SBS 2011 Premium</w:t>
      </w:r>
    </w:p>
    <w:p w:rsidR="002512D3" w:rsidRPr="008D38F6" w:rsidRDefault="00836655" w:rsidP="00003601">
      <w:pPr>
        <w:ind w:left="720"/>
        <w:rPr>
          <w:rFonts w:eastAsia="Calibri" w:cs="Tahoma"/>
          <w:szCs w:val="18"/>
          <w:lang w:val="pt-BR"/>
        </w:rPr>
      </w:pPr>
      <w:r w:rsidRPr="008D38F6">
        <w:rPr>
          <w:lang w:val="pt-BR"/>
        </w:rPr>
        <w:t>Os clientes com cobertura do Software Assurance ativa para o Pacote de CALs do Complemento do SBS</w:t>
      </w:r>
      <w:r w:rsidR="00600389" w:rsidRPr="008D38F6">
        <w:rPr>
          <w:lang w:val="pt-BR"/>
        </w:rPr>
        <w:t> </w:t>
      </w:r>
      <w:r w:rsidRPr="008D38F6">
        <w:rPr>
          <w:lang w:val="pt-BR"/>
        </w:rPr>
        <w:t>2011 Premium (“CALs Qualificadas”) estão qualificados para acessar os softwares Windows Server Standard e SQL Server 2012 Standard.</w:t>
      </w:r>
      <w:r w:rsidR="00FB5496" w:rsidRPr="008D38F6">
        <w:rPr>
          <w:lang w:val="pt-BR"/>
        </w:rPr>
        <w:t xml:space="preserve"> </w:t>
      </w:r>
      <w:r w:rsidRPr="008D38F6">
        <w:rPr>
          <w:lang w:val="pt-BR"/>
        </w:rPr>
        <w:t xml:space="preserve">A partir de </w:t>
      </w:r>
      <w:r w:rsidR="00EB0F1B" w:rsidRPr="008D38F6">
        <w:rPr>
          <w:lang w:val="pt-BR"/>
        </w:rPr>
        <w:t>1</w:t>
      </w:r>
      <w:r w:rsidR="00EB0F1B" w:rsidRPr="008D38F6">
        <w:rPr>
          <w:vertAlign w:val="superscript"/>
          <w:lang w:val="pt-BR"/>
        </w:rPr>
        <w:t>º</w:t>
      </w:r>
      <w:r w:rsidRPr="008D38F6">
        <w:rPr>
          <w:lang w:val="pt-BR"/>
        </w:rPr>
        <w:t xml:space="preserve"> de agosto de 2012, para cada Pacote de CALs qualificadas do Complemento do SBS 2011 Premium que o cliente possuir, o cliente será considerado possuidor de uma CAL do Windows Server 2012 e uma CAL do SQL Server 2012 com cobertura de Software</w:t>
      </w:r>
      <w:r w:rsidR="00600389" w:rsidRPr="008D38F6">
        <w:rPr>
          <w:lang w:val="pt-BR"/>
        </w:rPr>
        <w:t> </w:t>
      </w:r>
      <w:r w:rsidRPr="008D38F6">
        <w:rPr>
          <w:lang w:val="pt-BR"/>
        </w:rPr>
        <w:t xml:space="preserve">Assurance. </w:t>
      </w:r>
      <w:r w:rsidRPr="008D38F6">
        <w:rPr>
          <w:rFonts w:eastAsia="Calibri" w:cs="Tahoma"/>
          <w:szCs w:val="18"/>
          <w:lang w:val="pt-BR"/>
        </w:rPr>
        <w:t>Para facilitar tal uso, para cada CAL Qualificada que o cliente possui, ele receberá uma</w:t>
      </w:r>
      <w:r w:rsidR="00600389" w:rsidRPr="008D38F6">
        <w:rPr>
          <w:lang w:val="pt-BR"/>
        </w:rPr>
        <w:t> </w:t>
      </w:r>
      <w:r w:rsidRPr="008D38F6">
        <w:rPr>
          <w:rFonts w:eastAsia="Calibri" w:cs="Tahoma"/>
          <w:szCs w:val="18"/>
          <w:lang w:val="pt-BR"/>
        </w:rPr>
        <w:t>licença para cada CAL do Windows Server e SQL Server 2012 (licenciada sob o modelo de Servidor/CAL), como pod</w:t>
      </w:r>
      <w:r w:rsidR="00F00213" w:rsidRPr="008D38F6">
        <w:rPr>
          <w:rFonts w:eastAsia="Calibri" w:cs="Tahoma"/>
          <w:szCs w:val="18"/>
          <w:lang w:val="pt-BR"/>
        </w:rPr>
        <w:t>e ser visto na tabela a seguir.</w:t>
      </w:r>
    </w:p>
    <w:p w:rsidR="00F00213" w:rsidRPr="008D38F6" w:rsidRDefault="00F00213" w:rsidP="00003601">
      <w:pPr>
        <w:ind w:left="720"/>
        <w:rPr>
          <w:lang w:val="pt-BR"/>
        </w:rPr>
      </w:pPr>
    </w:p>
    <w:p w:rsidR="00910113" w:rsidRPr="008D38F6" w:rsidRDefault="00910113" w:rsidP="00910113">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41607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070" w:rsidRDefault="00836655" w:rsidP="000A5032">
            <w:pPr>
              <w:spacing w:after="200" w:line="276" w:lineRule="auto"/>
              <w:rPr>
                <w:rFonts w:eastAsia="Calibri" w:cs="Tahoma"/>
                <w:szCs w:val="18"/>
              </w:rPr>
            </w:pPr>
            <w:r w:rsidRPr="00416070">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070" w:rsidRDefault="00836655" w:rsidP="000A5032">
            <w:pPr>
              <w:spacing w:after="200" w:line="276" w:lineRule="auto"/>
              <w:rPr>
                <w:rFonts w:eastAsia="Calibri" w:cs="Tahoma"/>
                <w:szCs w:val="18"/>
              </w:rPr>
            </w:pPr>
            <w:r w:rsidRPr="00416070">
              <w:rPr>
                <w:b/>
                <w:color w:val="000000"/>
              </w:rPr>
              <w:t>Outorga de Licença</w:t>
            </w:r>
          </w:p>
        </w:tc>
      </w:tr>
      <w:tr w:rsidR="00836655" w:rsidRPr="002B5F9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CA14C9">
            <w:pPr>
              <w:spacing w:line="276" w:lineRule="auto"/>
              <w:rPr>
                <w:rFonts w:eastAsia="Calibri" w:cs="Tahoma"/>
                <w:szCs w:val="18"/>
                <w:lang w:val="pt-BR"/>
              </w:rPr>
            </w:pPr>
            <w:r w:rsidRPr="008D38F6">
              <w:rPr>
                <w:rFonts w:eastAsia="Calibri" w:cs="Tahoma"/>
                <w:szCs w:val="18"/>
                <w:lang w:val="pt-BR"/>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CA14C9">
            <w:pPr>
              <w:spacing w:line="276" w:lineRule="auto"/>
              <w:rPr>
                <w:lang w:val="pt-BR"/>
              </w:rPr>
            </w:pPr>
            <w:r w:rsidRPr="008D38F6">
              <w:rPr>
                <w:rFonts w:eastAsia="Calibri" w:cs="Tahoma"/>
                <w:szCs w:val="18"/>
                <w:lang w:val="pt-BR"/>
              </w:rPr>
              <w:t>CAL do Windows Server 2008 R2</w:t>
            </w:r>
          </w:p>
          <w:p w:rsidR="00836655" w:rsidRPr="008D38F6" w:rsidRDefault="00836655" w:rsidP="00CA14C9">
            <w:pPr>
              <w:spacing w:line="276" w:lineRule="auto"/>
              <w:rPr>
                <w:rFonts w:eastAsia="Calibri" w:cs="Tahoma"/>
                <w:szCs w:val="18"/>
                <w:lang w:val="pt-BR"/>
              </w:rPr>
            </w:pPr>
            <w:r w:rsidRPr="008D38F6">
              <w:rPr>
                <w:rFonts w:eastAsia="Calibri" w:cs="Tahoma"/>
                <w:szCs w:val="18"/>
                <w:lang w:val="pt-BR"/>
              </w:rPr>
              <w:t>CAL do SQL Server 2012</w:t>
            </w:r>
          </w:p>
        </w:tc>
      </w:tr>
      <w:tr w:rsidR="00836655" w:rsidRPr="002B5F9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600389">
            <w:pPr>
              <w:spacing w:line="276" w:lineRule="auto"/>
              <w:rPr>
                <w:rFonts w:eastAsia="Calibri" w:cs="Tahoma"/>
                <w:szCs w:val="18"/>
                <w:lang w:val="pt-BR"/>
              </w:rPr>
            </w:pPr>
            <w:r w:rsidRPr="008D38F6">
              <w:rPr>
                <w:rFonts w:eastAsia="Calibri" w:cs="Tahoma"/>
                <w:szCs w:val="18"/>
                <w:lang w:val="pt-BR"/>
              </w:rPr>
              <w:t xml:space="preserve">Pacote de CALs do Complemento do SBS 2011 Premium com cobertura do Software Assurance em ou depois de </w:t>
            </w:r>
            <w:r w:rsidR="00EB0F1B" w:rsidRPr="008D38F6">
              <w:rPr>
                <w:rFonts w:eastAsia="Calibri" w:cs="Tahoma"/>
                <w:szCs w:val="18"/>
                <w:lang w:val="pt-BR"/>
              </w:rPr>
              <w:t>1</w:t>
            </w:r>
            <w:r w:rsidR="00EB0F1B" w:rsidRPr="008D38F6">
              <w:rPr>
                <w:rFonts w:eastAsia="Calibri" w:cs="Tahoma"/>
                <w:szCs w:val="18"/>
                <w:vertAlign w:val="superscript"/>
                <w:lang w:val="pt-BR"/>
              </w:rPr>
              <w:t>º</w:t>
            </w:r>
            <w:r w:rsidRPr="008D38F6">
              <w:rPr>
                <w:rFonts w:eastAsia="Calibri" w:cs="Tahoma"/>
                <w:szCs w:val="18"/>
                <w:lang w:val="pt-BR"/>
              </w:rPr>
              <w:t>. de agosto de</w:t>
            </w:r>
            <w:r w:rsidR="00600389" w:rsidRPr="008D38F6">
              <w:rPr>
                <w:rFonts w:eastAsia="Calibri" w:cs="Tahoma"/>
                <w:szCs w:val="18"/>
                <w:lang w:val="pt-BR"/>
              </w:rPr>
              <w:t> </w:t>
            </w:r>
            <w:r w:rsidRPr="008D38F6">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8D38F6" w:rsidRDefault="00836655" w:rsidP="00CA14C9">
            <w:pPr>
              <w:spacing w:line="276" w:lineRule="auto"/>
              <w:rPr>
                <w:lang w:val="pt-BR"/>
              </w:rPr>
            </w:pPr>
            <w:r w:rsidRPr="008D38F6">
              <w:rPr>
                <w:rFonts w:eastAsia="Calibri" w:cs="Tahoma"/>
                <w:szCs w:val="18"/>
                <w:lang w:val="pt-BR"/>
              </w:rPr>
              <w:t>CAL do Windows Server 2012 com Software Assurance</w:t>
            </w:r>
          </w:p>
          <w:p w:rsidR="00836655" w:rsidRPr="008D38F6" w:rsidRDefault="00836655" w:rsidP="00CA14C9">
            <w:pPr>
              <w:spacing w:line="276" w:lineRule="auto"/>
              <w:rPr>
                <w:rFonts w:eastAsia="Calibri" w:cs="Tahoma"/>
                <w:szCs w:val="18"/>
                <w:lang w:val="pt-BR"/>
              </w:rPr>
            </w:pPr>
            <w:r w:rsidRPr="008D38F6">
              <w:rPr>
                <w:rFonts w:eastAsia="Calibri" w:cs="Tahoma"/>
                <w:szCs w:val="18"/>
                <w:lang w:val="pt-BR"/>
              </w:rPr>
              <w:t>CAL do SQL Server 2012 com Software Assurance</w:t>
            </w:r>
          </w:p>
        </w:tc>
      </w:tr>
    </w:tbl>
    <w:p w:rsidR="00836655" w:rsidRPr="008D38F6" w:rsidRDefault="00836655" w:rsidP="00910113">
      <w:pPr>
        <w:rPr>
          <w:lang w:val="pt-BR"/>
        </w:rPr>
      </w:pPr>
    </w:p>
    <w:p w:rsidR="00836655" w:rsidRPr="00600389" w:rsidRDefault="00836655" w:rsidP="00910113">
      <w:pPr>
        <w:pStyle w:val="ListParagraph"/>
        <w:contextualSpacing w:val="0"/>
        <w:rPr>
          <w:rFonts w:ascii="Tahoma" w:hAnsi="Tahoma" w:cs="Tahoma"/>
          <w:sz w:val="18"/>
          <w:szCs w:val="18"/>
        </w:rPr>
      </w:pPr>
      <w:r w:rsidRPr="00600389">
        <w:rPr>
          <w:rFonts w:ascii="Tahoma" w:eastAsia="Calibri" w:hAnsi="Tahoma" w:cs="Tahoma"/>
          <w:sz w:val="18"/>
          <w:szCs w:val="18"/>
        </w:rPr>
        <w:t>A cobertura do Software Assurance incluída com a concessão supracitada expira quando a cobertura correspondente nas CALs Qualificadas expirar. Como uma exceção, os clientes com Software Assurance em</w:t>
      </w:r>
      <w:r w:rsidR="00600389" w:rsidRPr="008D38F6">
        <w:rPr>
          <w:rFonts w:ascii="Tahoma" w:eastAsia="Calibri" w:hAnsi="Tahoma" w:cs="Tahoma"/>
          <w:sz w:val="18"/>
          <w:szCs w:val="18"/>
          <w:lang w:val="pt-BR"/>
        </w:rPr>
        <w:t> </w:t>
      </w:r>
      <w:r w:rsidRPr="00600389">
        <w:rPr>
          <w:rFonts w:ascii="Tahoma" w:eastAsia="Calibri" w:hAnsi="Tahoma" w:cs="Tahoma"/>
          <w:sz w:val="18"/>
          <w:szCs w:val="18"/>
        </w:rPr>
        <w:t>CALs Qualificadas que expiram em agosto de 2012 poderão, até 31 de dezembro de 2012, renovar o Software Assurance nas CALs concedidas sob esta oferta.</w:t>
      </w:r>
      <w:r w:rsidR="00FB5496" w:rsidRPr="00600389">
        <w:rPr>
          <w:rFonts w:ascii="Tahoma" w:eastAsia="Calibri" w:hAnsi="Tahoma" w:cs="Tahoma"/>
          <w:sz w:val="18"/>
          <w:szCs w:val="18"/>
        </w:rPr>
        <w:t xml:space="preserve"> </w:t>
      </w:r>
      <w:r w:rsidRPr="00600389">
        <w:rPr>
          <w:rFonts w:ascii="Tahoma" w:eastAsia="Calibri" w:hAnsi="Tahoma" w:cs="Tahoma"/>
          <w:sz w:val="18"/>
          <w:szCs w:val="18"/>
        </w:rPr>
        <w:t>Os clientes com Software Assurance em CALs Qualificadas que expiram em julho de 2012 poderão, até 31 de dezembro de 2012, adquirir o Software Assurance nas CALs concedidas sob esta oferta.</w:t>
      </w:r>
    </w:p>
    <w:p w:rsidR="00910113" w:rsidRPr="00600389" w:rsidRDefault="00910113" w:rsidP="00910113">
      <w:pPr>
        <w:pStyle w:val="ListParagraph"/>
        <w:contextualSpacing w:val="0"/>
        <w:rPr>
          <w:rFonts w:ascii="Tahoma" w:hAnsi="Tahoma" w:cs="Tahoma"/>
          <w:sz w:val="18"/>
          <w:szCs w:val="18"/>
        </w:rPr>
      </w:pPr>
    </w:p>
    <w:p w:rsidR="00836655" w:rsidRPr="00600389" w:rsidRDefault="00836655" w:rsidP="00910113">
      <w:pPr>
        <w:pStyle w:val="ListParagraph"/>
        <w:contextualSpacing w:val="0"/>
        <w:rPr>
          <w:rFonts w:ascii="Tahoma" w:hAnsi="Tahoma" w:cs="Tahoma"/>
          <w:sz w:val="18"/>
          <w:szCs w:val="18"/>
        </w:rPr>
      </w:pPr>
      <w:r w:rsidRPr="00600389">
        <w:rPr>
          <w:rFonts w:ascii="Tahoma" w:eastAsia="Calibri" w:hAnsi="Tahoma" w:cs="Tahoma"/>
          <w:sz w:val="18"/>
          <w:szCs w:val="18"/>
        </w:rPr>
        <w:t>Se os clientes adquiriram direitos perpétuos de acordo com CALs Qualificadas, as CALs adquiridas sob essa</w:t>
      </w:r>
      <w:r w:rsidR="00600389" w:rsidRPr="008D38F6">
        <w:rPr>
          <w:rFonts w:ascii="Tahoma" w:eastAsia="Calibri" w:hAnsi="Tahoma" w:cs="Tahoma"/>
          <w:sz w:val="18"/>
          <w:szCs w:val="18"/>
          <w:lang w:val="pt-BR"/>
        </w:rPr>
        <w:t> </w:t>
      </w:r>
      <w:r w:rsidRPr="00600389">
        <w:rPr>
          <w:rFonts w:ascii="Tahoma" w:eastAsia="Calibri" w:hAnsi="Tahoma" w:cs="Tahoma"/>
          <w:sz w:val="18"/>
          <w:szCs w:val="18"/>
        </w:rPr>
        <w:t>concessão serão também perpétuas; caso contrário, as CALs adquiridas sob essa concessão expirarão quando as CALs Qualificadas subjacentes expirarem.</w:t>
      </w:r>
    </w:p>
    <w:p w:rsidR="00910113" w:rsidRPr="00600389" w:rsidRDefault="00910113" w:rsidP="00910113">
      <w:pPr>
        <w:pStyle w:val="ListParagraph"/>
        <w:contextualSpacing w:val="0"/>
        <w:rPr>
          <w:rFonts w:ascii="Tahoma" w:hAnsi="Tahoma" w:cs="Tahoma"/>
          <w:sz w:val="18"/>
          <w:szCs w:val="18"/>
        </w:rPr>
      </w:pPr>
    </w:p>
    <w:p w:rsidR="00836655" w:rsidRPr="00600389" w:rsidRDefault="00836655" w:rsidP="00910113">
      <w:pPr>
        <w:pStyle w:val="ListParagraph"/>
        <w:contextualSpacing w:val="0"/>
        <w:rPr>
          <w:rFonts w:ascii="Tahoma" w:hAnsi="Tahoma" w:cs="Tahoma"/>
          <w:sz w:val="18"/>
          <w:szCs w:val="18"/>
        </w:rPr>
      </w:pPr>
      <w:r w:rsidRPr="00600389">
        <w:rPr>
          <w:rFonts w:ascii="Tahoma" w:eastAsia="Calibri" w:hAnsi="Tahoma" w:cs="Tahoma"/>
          <w:sz w:val="18"/>
          <w:szCs w:val="18"/>
        </w:rPr>
        <w:t>Para cada CAL Qualificada adquirida sob Open Value Subscription, um cliente pode comprar um Pacote de</w:t>
      </w:r>
      <w:r w:rsidR="00600389" w:rsidRPr="008D38F6">
        <w:rPr>
          <w:rFonts w:ascii="Tahoma" w:eastAsia="Calibri" w:hAnsi="Tahoma" w:cs="Tahoma"/>
          <w:sz w:val="18"/>
          <w:szCs w:val="18"/>
          <w:lang w:val="pt-BR"/>
        </w:rPr>
        <w:t> </w:t>
      </w:r>
      <w:r w:rsidRPr="00600389">
        <w:rPr>
          <w:rFonts w:ascii="Tahoma" w:eastAsia="Calibri" w:hAnsi="Tahoma" w:cs="Tahoma"/>
          <w:sz w:val="18"/>
          <w:szCs w:val="18"/>
        </w:rPr>
        <w:t>CALs do Complemento do SBS 2011 Premium, conforme cotado ou:</w:t>
      </w:r>
    </w:p>
    <w:p w:rsidR="00910113" w:rsidRPr="00600389" w:rsidRDefault="00910113" w:rsidP="00910113">
      <w:pPr>
        <w:pStyle w:val="ListParagraph"/>
        <w:contextualSpacing w:val="0"/>
        <w:rPr>
          <w:rFonts w:ascii="Tahoma" w:hAnsi="Tahoma" w:cs="Tahoma"/>
          <w:sz w:val="18"/>
          <w:szCs w:val="18"/>
        </w:rPr>
      </w:pPr>
    </w:p>
    <w:p w:rsidR="00836655" w:rsidRPr="00600389"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rPr>
      </w:pPr>
      <w:r w:rsidRPr="00600389">
        <w:rPr>
          <w:rFonts w:ascii="Tahoma" w:eastAsia="Calibri" w:hAnsi="Tahoma" w:cs="Tahoma"/>
          <w:sz w:val="18"/>
          <w:szCs w:val="18"/>
        </w:rPr>
        <w:t xml:space="preserve">Uma CAL para cada Windows Server 2012 e SQL Server 2012 para contratos que expiram em ou depois de </w:t>
      </w:r>
      <w:r w:rsidR="00EB0F1B" w:rsidRPr="00600389">
        <w:rPr>
          <w:rFonts w:ascii="Tahoma" w:eastAsia="Calibri" w:hAnsi="Tahoma" w:cs="Tahoma"/>
          <w:sz w:val="18"/>
          <w:szCs w:val="18"/>
        </w:rPr>
        <w:t>1</w:t>
      </w:r>
      <w:r w:rsidR="00EB0F1B" w:rsidRPr="0005355D">
        <w:rPr>
          <w:rFonts w:ascii="Tahoma" w:eastAsia="Calibri" w:hAnsi="Tahoma" w:cs="Tahoma"/>
          <w:sz w:val="18"/>
          <w:szCs w:val="18"/>
          <w:vertAlign w:val="superscript"/>
        </w:rPr>
        <w:t>º</w:t>
      </w:r>
      <w:r w:rsidRPr="00600389">
        <w:rPr>
          <w:rFonts w:ascii="Tahoma" w:eastAsia="Calibri" w:hAnsi="Tahoma" w:cs="Tahoma"/>
          <w:sz w:val="18"/>
          <w:szCs w:val="18"/>
        </w:rPr>
        <w:t xml:space="preserve"> de agosto de 2012 ou</w:t>
      </w:r>
    </w:p>
    <w:p w:rsidR="00836655" w:rsidRPr="00600389"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rPr>
      </w:pPr>
      <w:r w:rsidRPr="00600389">
        <w:rPr>
          <w:rFonts w:ascii="Tahoma" w:eastAsia="Calibri" w:hAnsi="Tahoma" w:cs="Tahoma"/>
          <w:sz w:val="18"/>
          <w:szCs w:val="18"/>
        </w:rPr>
        <w:t>Uma CAL para cada Windows Server 2008 e SQL Server 2012 para contratos que expiram em julho</w:t>
      </w:r>
      <w:r w:rsidR="00600389" w:rsidRPr="008D38F6">
        <w:rPr>
          <w:rFonts w:ascii="Tahoma" w:eastAsia="Calibri" w:hAnsi="Tahoma" w:cs="Tahoma"/>
          <w:sz w:val="18"/>
          <w:szCs w:val="18"/>
          <w:lang w:val="pt-BR"/>
        </w:rPr>
        <w:t> </w:t>
      </w:r>
      <w:r w:rsidRPr="00600389">
        <w:rPr>
          <w:rFonts w:ascii="Tahoma" w:eastAsia="Calibri" w:hAnsi="Tahoma" w:cs="Tahoma"/>
          <w:sz w:val="18"/>
          <w:szCs w:val="18"/>
        </w:rPr>
        <w:t>de 2012.</w:t>
      </w:r>
    </w:p>
    <w:p w:rsidR="00910113" w:rsidRPr="00600389" w:rsidRDefault="00910113" w:rsidP="00910113">
      <w:pPr>
        <w:pStyle w:val="ListParagraph"/>
        <w:ind w:left="1800"/>
        <w:contextualSpacing w:val="0"/>
        <w:rPr>
          <w:rFonts w:ascii="Tahoma" w:hAnsi="Tahoma" w:cs="Tahoma"/>
          <w:sz w:val="18"/>
          <w:szCs w:val="18"/>
        </w:rPr>
      </w:pPr>
    </w:p>
    <w:p w:rsidR="00836655" w:rsidRPr="008D38F6" w:rsidRDefault="00836655" w:rsidP="00910113">
      <w:pPr>
        <w:ind w:left="720"/>
        <w:rPr>
          <w:rFonts w:cs="Tahoma"/>
          <w:szCs w:val="18"/>
          <w:lang w:val="pt-BR"/>
        </w:rPr>
      </w:pPr>
      <w:r w:rsidRPr="008D38F6">
        <w:rPr>
          <w:rFonts w:eastAsia="Calibri" w:cs="Tahoma"/>
          <w:szCs w:val="18"/>
          <w:lang w:val="pt-BR"/>
        </w:rPr>
        <w:t>No uso das CALs do Windows Server 2012 e CALs do SQL Server 2012 sob essa concessão, os Pacotes de</w:t>
      </w:r>
      <w:r w:rsidR="00600389" w:rsidRPr="008D38F6">
        <w:rPr>
          <w:rFonts w:eastAsia="Calibri" w:cs="Tahoma"/>
          <w:szCs w:val="18"/>
          <w:lang w:val="pt-BR"/>
        </w:rPr>
        <w:t> </w:t>
      </w:r>
      <w:r w:rsidRPr="008D38F6">
        <w:rPr>
          <w:rFonts w:eastAsia="Calibri" w:cs="Tahoma"/>
          <w:szCs w:val="18"/>
          <w:lang w:val="pt-BR"/>
        </w:rPr>
        <w:t>CALs Qualificadas do Complemento do SBS Premium existentes do cliente não serão mais válidas.</w:t>
      </w:r>
    </w:p>
    <w:p w:rsidR="00910113" w:rsidRPr="008D38F6" w:rsidRDefault="00910113" w:rsidP="00910113">
      <w:pPr>
        <w:ind w:left="720"/>
        <w:rPr>
          <w:rFonts w:cs="Tahoma"/>
          <w:szCs w:val="18"/>
          <w:lang w:val="pt-BR"/>
        </w:rPr>
      </w:pPr>
    </w:p>
    <w:p w:rsidR="00836655" w:rsidRPr="008D38F6" w:rsidRDefault="00836655" w:rsidP="00910113">
      <w:pPr>
        <w:ind w:left="720"/>
        <w:rPr>
          <w:rFonts w:cs="Tahoma"/>
          <w:szCs w:val="18"/>
          <w:lang w:val="pt-BR"/>
        </w:rPr>
      </w:pPr>
      <w:r w:rsidRPr="008D38F6">
        <w:rPr>
          <w:rFonts w:cs="Tahoma"/>
          <w:color w:val="000000"/>
          <w:szCs w:val="18"/>
          <w:lang w:val="pt-BR"/>
        </w:rPr>
        <w:t>Os Pacotes de CALs do Complemento do SBS 2011 Premium</w:t>
      </w:r>
      <w:r w:rsidRPr="008D38F6">
        <w:rPr>
          <w:rFonts w:cs="Tahoma"/>
          <w:bCs/>
          <w:color w:val="000000"/>
          <w:szCs w:val="18"/>
          <w:lang w:val="pt-BR"/>
        </w:rPr>
        <w:t xml:space="preserve"> adquiridas posteriormente no mesmo prazo de</w:t>
      </w:r>
      <w:r w:rsidR="00600389" w:rsidRPr="008D38F6">
        <w:rPr>
          <w:rFonts w:cs="Tahoma"/>
          <w:bCs/>
          <w:color w:val="000000"/>
          <w:szCs w:val="18"/>
          <w:lang w:val="pt-BR"/>
        </w:rPr>
        <w:t> </w:t>
      </w:r>
      <w:r w:rsidRPr="008D38F6">
        <w:rPr>
          <w:rFonts w:cs="Tahoma"/>
          <w:bCs/>
          <w:color w:val="000000"/>
          <w:szCs w:val="18"/>
          <w:lang w:val="pt-BR"/>
        </w:rPr>
        <w:t>registro, como parte de um processo de adequação (“true-up”) programado do cliente Open Value Subscription ou EES também são CALs Qualificadas para os propósitos da concessão supracitada.</w:t>
      </w:r>
    </w:p>
    <w:p w:rsidR="00836655" w:rsidRPr="008D38F6" w:rsidRDefault="00836655" w:rsidP="00910113">
      <w:pPr>
        <w:rPr>
          <w:rFonts w:cs="Tahoma"/>
          <w:szCs w:val="18"/>
          <w:lang w:val="pt-BR"/>
        </w:rPr>
      </w:pPr>
    </w:p>
    <w:p w:rsidR="00836655" w:rsidRPr="008D38F6" w:rsidRDefault="00836655" w:rsidP="00910113">
      <w:pPr>
        <w:widowControl w:val="0"/>
        <w:jc w:val="both"/>
        <w:rPr>
          <w:lang w:val="pt-BR"/>
        </w:rPr>
      </w:pPr>
      <w:bookmarkStart w:id="1599" w:name="_123_Windows_Azure"/>
      <w:bookmarkEnd w:id="1599"/>
    </w:p>
    <w:p w:rsidR="00836655" w:rsidRPr="00416070" w:rsidRDefault="00BA29A7" w:rsidP="00836655">
      <w:pPr>
        <w:pStyle w:val="Heading2"/>
        <w:ind w:left="0"/>
      </w:pPr>
      <w:bookmarkStart w:id="1600" w:name="_124_Windows_Small_1"/>
      <w:bookmarkStart w:id="1601" w:name="_114_Windows_Small"/>
      <w:bookmarkStart w:id="1602" w:name="_Toc336338381"/>
      <w:bookmarkStart w:id="1603" w:name="_Toc352234440"/>
      <w:bookmarkEnd w:id="1600"/>
      <w:bookmarkEnd w:id="1601"/>
      <w:r w:rsidRPr="00416070">
        <w:rPr>
          <w:rFonts w:ascii="Tahoma" w:hAnsi="Tahoma" w:cs="Tahoma"/>
          <w:color w:val="F8701C"/>
          <w:sz w:val="22"/>
          <w:szCs w:val="22"/>
          <w:vertAlign w:val="superscript"/>
        </w:rPr>
        <w:t>114</w:t>
      </w:r>
      <w:r w:rsidRPr="00AA0B4F">
        <w:rPr>
          <w:rFonts w:ascii="Tahoma" w:hAnsi="Tahoma" w:cs="Tahoma"/>
          <w:color w:val="F8701C"/>
          <w:sz w:val="22"/>
          <w:szCs w:val="22"/>
        </w:rPr>
        <w:t xml:space="preserve"> </w:t>
      </w:r>
      <w:r w:rsidRPr="00416070">
        <w:rPr>
          <w:rFonts w:ascii="Tahoma" w:hAnsi="Tahoma" w:cs="Tahoma"/>
          <w:color w:val="F8701C"/>
          <w:sz w:val="22"/>
          <w:szCs w:val="22"/>
        </w:rPr>
        <w:t>Windows Small Business Server 2011 Essentials</w:t>
      </w:r>
      <w:bookmarkEnd w:id="1602"/>
      <w:bookmarkEnd w:id="1603"/>
    </w:p>
    <w:p w:rsidR="003C1BA8" w:rsidRPr="008D38F6" w:rsidRDefault="003C1BA8" w:rsidP="0021735C">
      <w:pPr>
        <w:rPr>
          <w:lang w:val="pt-BR"/>
        </w:rPr>
      </w:pPr>
    </w:p>
    <w:p w:rsidR="00910113" w:rsidRPr="008D38F6" w:rsidRDefault="00836655" w:rsidP="00910113">
      <w:pPr>
        <w:spacing w:after="60"/>
        <w:ind w:left="720"/>
        <w:rPr>
          <w:lang w:val="pt-BR"/>
        </w:rPr>
      </w:pPr>
      <w:r w:rsidRPr="008D38F6">
        <w:rPr>
          <w:b/>
          <w:bCs/>
          <w:color w:val="000000"/>
          <w:lang w:val="pt-BR"/>
        </w:rPr>
        <w:t>Outorgas de licença associadas ao término da validade do Windows Small Business Server (SBS) 2011 Essentials</w:t>
      </w:r>
      <w:r w:rsidRPr="008D38F6">
        <w:rPr>
          <w:color w:val="000000"/>
          <w:lang w:val="pt-BR"/>
        </w:rPr>
        <w:t xml:space="preserve"> </w:t>
      </w:r>
    </w:p>
    <w:p w:rsidR="00836655" w:rsidRPr="008D38F6" w:rsidRDefault="00836655" w:rsidP="00910113">
      <w:pPr>
        <w:ind w:left="720"/>
        <w:rPr>
          <w:lang w:val="pt-BR"/>
        </w:rPr>
      </w:pPr>
      <w:r w:rsidRPr="008D38F6">
        <w:rPr>
          <w:lang w:val="pt-BR"/>
        </w:rPr>
        <w:t>O Windows SBS 2011 Essentials será a última versão do Windows SBS Essentials. Os clientes de licenciamento por volume com Software Assurance ativo para licenças do Windows SBS 2011 Essentials em</w:t>
      </w:r>
      <w:r w:rsidR="00600389" w:rsidRPr="008D38F6">
        <w:rPr>
          <w:rFonts w:eastAsia="Calibri" w:cs="Tahoma"/>
          <w:szCs w:val="18"/>
          <w:lang w:val="pt-BR"/>
        </w:rPr>
        <w:t> </w:t>
      </w:r>
      <w:r w:rsidR="00EB0F1B" w:rsidRPr="008D38F6">
        <w:rPr>
          <w:lang w:val="pt-BR"/>
        </w:rPr>
        <w:t>1</w:t>
      </w:r>
      <w:r w:rsidR="00EB0F1B" w:rsidRPr="008D38F6">
        <w:rPr>
          <w:vertAlign w:val="superscript"/>
          <w:lang w:val="pt-BR"/>
        </w:rPr>
        <w:t>º</w:t>
      </w:r>
      <w:r w:rsidRPr="008D38F6">
        <w:rPr>
          <w:lang w:val="pt-BR"/>
        </w:rPr>
        <w:t xml:space="preserve"> de novembro de 2012 ou a partir da data da primeira disponibilização do Windows Server 2012 Essentials para download no Volume Licensing Service Center (Centro de Atendimento de Licenciamento por</w:t>
      </w:r>
      <w:r w:rsidR="00600389" w:rsidRPr="008D38F6">
        <w:rPr>
          <w:rFonts w:eastAsia="Calibri" w:cs="Tahoma"/>
          <w:szCs w:val="18"/>
          <w:lang w:val="pt-BR"/>
        </w:rPr>
        <w:t> </w:t>
      </w:r>
      <w:r w:rsidRPr="008D38F6">
        <w:rPr>
          <w:lang w:val="pt-BR"/>
        </w:rPr>
        <w:t xml:space="preserve">Volume), o que ocorrer primeiro, (“Licenças Qualificadas”) poderão </w:t>
      </w:r>
      <w:r w:rsidRPr="008D38F6">
        <w:rPr>
          <w:u w:val="single"/>
          <w:lang w:val="pt-BR"/>
        </w:rPr>
        <w:t>atualizar para e</w:t>
      </w:r>
      <w:r w:rsidRPr="008D38F6">
        <w:rPr>
          <w:lang w:val="pt-BR"/>
        </w:rPr>
        <w:t xml:space="preserve"> usar o software Windows Server 2012 Essentials </w:t>
      </w:r>
      <w:r w:rsidRPr="008D38F6">
        <w:rPr>
          <w:u w:val="single"/>
          <w:lang w:val="pt-BR"/>
        </w:rPr>
        <w:t>em vez do SBS Essentials</w:t>
      </w:r>
      <w:r w:rsidRPr="008D38F6">
        <w:rPr>
          <w:lang w:val="pt-BR"/>
        </w:rPr>
        <w:t>. Para facilitar tal uso, para cada Licença Qualificada que o cliente possui, ele terá uma licença do processador Windows Server 2012 Essentials mediante a disponibilização do Windows Server Essentials.</w:t>
      </w:r>
      <w:r w:rsidR="00FB5496" w:rsidRPr="008D38F6">
        <w:rPr>
          <w:lang w:val="pt-BR"/>
        </w:rPr>
        <w:t xml:space="preserve"> </w:t>
      </w:r>
      <w:r w:rsidRPr="008D38F6">
        <w:rPr>
          <w:lang w:val="pt-BR"/>
        </w:rPr>
        <w:t>O uso do Windows Server 2012 Essentials será</w:t>
      </w:r>
      <w:r w:rsidR="00600389" w:rsidRPr="008D38F6">
        <w:rPr>
          <w:rFonts w:eastAsia="Calibri" w:cs="Tahoma"/>
          <w:szCs w:val="18"/>
          <w:lang w:val="pt-BR"/>
        </w:rPr>
        <w:t> </w:t>
      </w:r>
      <w:r w:rsidRPr="008D38F6">
        <w:rPr>
          <w:lang w:val="pt-BR"/>
        </w:rPr>
        <w:t>regido sob os termos de licença deste produto nos Direitos de uso do Produto e nos termos e nas condições</w:t>
      </w:r>
      <w:r w:rsidR="00600389" w:rsidRPr="008D38F6">
        <w:rPr>
          <w:rFonts w:eastAsia="Calibri" w:cs="Tahoma"/>
          <w:szCs w:val="18"/>
          <w:lang w:val="pt-BR"/>
        </w:rPr>
        <w:t> </w:t>
      </w:r>
      <w:r w:rsidRPr="008D38F6">
        <w:rPr>
          <w:lang w:val="pt-BR"/>
        </w:rPr>
        <w:t>dos contratos de Licenciamento por Volume dos clientes.</w:t>
      </w:r>
    </w:p>
    <w:p w:rsidR="00836655" w:rsidRPr="008D38F6" w:rsidRDefault="00836655" w:rsidP="00910113">
      <w:pPr>
        <w:ind w:left="720"/>
        <w:rPr>
          <w:lang w:val="pt-BR"/>
        </w:rPr>
      </w:pPr>
    </w:p>
    <w:p w:rsidR="00836655" w:rsidRPr="008D38F6" w:rsidRDefault="00836655" w:rsidP="00910113">
      <w:pPr>
        <w:ind w:left="720"/>
        <w:rPr>
          <w:lang w:val="pt-BR"/>
        </w:rPr>
      </w:pPr>
      <w:r w:rsidRPr="008D38F6">
        <w:rPr>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836655" w:rsidRPr="008D38F6" w:rsidRDefault="00836655" w:rsidP="00910113">
      <w:pPr>
        <w:ind w:left="720"/>
        <w:rPr>
          <w:lang w:val="pt-BR"/>
        </w:rPr>
      </w:pPr>
    </w:p>
    <w:p w:rsidR="00836655" w:rsidRPr="008D38F6" w:rsidRDefault="00836655" w:rsidP="00910113">
      <w:pPr>
        <w:ind w:left="720"/>
        <w:rPr>
          <w:lang w:val="pt-BR"/>
        </w:rPr>
      </w:pPr>
      <w:r w:rsidRPr="008D38F6">
        <w:rPr>
          <w:lang w:val="pt-BR"/>
        </w:rPr>
        <w:t>Na atualização para o Windows Server 2012 Essentials sob essa concessão, as Licenças Qualificadas do SBS</w:t>
      </w:r>
      <w:r w:rsidR="00600389" w:rsidRPr="008D38F6">
        <w:rPr>
          <w:rFonts w:eastAsia="Calibri" w:cs="Tahoma"/>
          <w:szCs w:val="18"/>
          <w:lang w:val="pt-BR"/>
        </w:rPr>
        <w:t> </w:t>
      </w:r>
      <w:r w:rsidRPr="008D38F6">
        <w:rPr>
          <w:lang w:val="pt-BR"/>
        </w:rPr>
        <w:t>Essentials existentes do cliente não serão mais válidas.</w:t>
      </w:r>
    </w:p>
    <w:p w:rsidR="00836655" w:rsidRPr="008D38F6" w:rsidRDefault="00836655" w:rsidP="00910113">
      <w:pPr>
        <w:ind w:left="720"/>
        <w:rPr>
          <w:lang w:val="pt-BR"/>
        </w:rPr>
      </w:pPr>
    </w:p>
    <w:p w:rsidR="00AF68D4" w:rsidRPr="008D38F6" w:rsidRDefault="00836655" w:rsidP="00D16723">
      <w:pPr>
        <w:ind w:left="720"/>
        <w:rPr>
          <w:lang w:val="pt-BR"/>
        </w:rPr>
      </w:pPr>
      <w:r w:rsidRPr="008D38F6">
        <w:rPr>
          <w:lang w:val="pt-BR"/>
        </w:rPr>
        <w:t>As licenças do SBS Essentials adquiridas posteriormente no mesmo prazo de registro, como parte de um processo de adequação (“true-up”) programado do cliente Open Value Subscription ou EES também são Licenças Qualificadas para os propósitos da concessão supracitada.</w:t>
      </w:r>
    </w:p>
    <w:sectPr w:rsidR="00AF68D4" w:rsidRPr="008D38F6"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19E7" w:rsidRDefault="008719E7">
      <w:r>
        <w:separator/>
      </w:r>
    </w:p>
  </w:endnote>
  <w:endnote w:type="continuationSeparator" w:id="0">
    <w:p w:rsidR="008719E7" w:rsidRDefault="008719E7">
      <w:r>
        <w:continuationSeparator/>
      </w:r>
    </w:p>
  </w:endnote>
  <w:endnote w:type="continuationNotice" w:id="1">
    <w:p w:rsidR="008719E7" w:rsidRDefault="008719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ABE" w:rsidRDefault="00715ABE">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 Todos os direitos reservados.</w:t>
    </w:r>
    <w:r w:rsidRPr="008D38F6">
      <w:rPr>
        <w:rFonts w:ascii="Trebuchet MS" w:hAnsi="Trebuchet MS"/>
        <w:color w:val="808080"/>
        <w:sz w:val="14"/>
        <w:lang w:val="pt-BR"/>
      </w:rPr>
      <w:tab/>
    </w:r>
    <w:r>
      <w:rPr>
        <w:rFonts w:ascii="Trebuchet MS" w:hAnsi="Trebuchet MS"/>
        <w:color w:val="808080"/>
        <w:sz w:val="14"/>
      </w:rPr>
      <w:t xml:space="preserve">Página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de </w:t>
    </w:r>
    <w:r>
      <w:fldChar w:fldCharType="begin"/>
    </w:r>
    <w:r>
      <w:instrText xml:space="preserve"> NUMPAGES </w:instrText>
    </w:r>
    <w:r>
      <w:fldChar w:fldCharType="separate"/>
    </w:r>
    <w:r>
      <w:rPr>
        <w:noProof/>
      </w:rPr>
      <w:t>204</w:t>
    </w:r>
    <w:r>
      <w:rPr>
        <w:noProof/>
      </w:rPr>
      <w:fldChar w:fldCharType="end"/>
    </w:r>
    <w:r>
      <w:t xml:space="preserve"> Publicado em abril de 2009</w:t>
    </w:r>
  </w:p>
  <w:p w:rsidR="00715ABE" w:rsidRDefault="00715ABE">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ABE" w:rsidRDefault="00715ABE"/>
  <w:p w:rsidR="00715ABE" w:rsidRPr="008753E9" w:rsidRDefault="00715ABE" w:rsidP="008753E9">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8753E9">
      <w:rPr>
        <w:rFonts w:ascii="Trebuchet MS" w:hAnsi="Trebuchet MS"/>
        <w:color w:val="808080"/>
        <w:sz w:val="14"/>
        <w:lang w:val="pt-BR"/>
      </w:rPr>
      <w:t>© 2013 Microsoft Corporation</w:t>
    </w:r>
    <w:r>
      <w:rPr>
        <w:rFonts w:ascii="Trebuchet MS" w:hAnsi="Trebuchet MS"/>
        <w:color w:val="808080"/>
        <w:sz w:val="14"/>
        <w:lang w:val="pt-BR"/>
      </w:rPr>
      <w:t>. Todos os direitos reservados.</w:t>
    </w:r>
    <w:r>
      <w:rPr>
        <w:rFonts w:ascii="Trebuchet MS" w:hAnsi="Trebuchet MS"/>
        <w:color w:val="808080"/>
        <w:sz w:val="14"/>
        <w:lang w:val="pt-BR"/>
      </w:rPr>
      <w:tab/>
    </w:r>
    <w:r w:rsidRPr="008753E9">
      <w:rPr>
        <w:rFonts w:ascii="Trebuchet MS" w:hAnsi="Trebuchet MS"/>
        <w:color w:val="808080"/>
        <w:sz w:val="14"/>
        <w:lang w:val="pt-BR"/>
      </w:rPr>
      <w:t xml:space="preserve">Página </w:t>
    </w:r>
    <w:r w:rsidRPr="0020462C">
      <w:rPr>
        <w:rFonts w:cs="Arial Narrow"/>
        <w:noProof/>
        <w:szCs w:val="18"/>
        <w:lang w:val="pt-BR"/>
      </w:rPr>
      <w:fldChar w:fldCharType="begin"/>
    </w:r>
    <w:r w:rsidRPr="0020462C">
      <w:rPr>
        <w:rFonts w:cs="Arial Narrow"/>
        <w:noProof/>
        <w:szCs w:val="18"/>
        <w:lang w:val="pt-BR"/>
      </w:rPr>
      <w:instrText xml:space="preserve"> PAGE </w:instrText>
    </w:r>
    <w:r w:rsidRPr="0020462C">
      <w:rPr>
        <w:rFonts w:cs="Arial Narrow"/>
        <w:noProof/>
        <w:szCs w:val="18"/>
        <w:lang w:val="pt-BR"/>
      </w:rPr>
      <w:fldChar w:fldCharType="separate"/>
    </w:r>
    <w:r w:rsidR="00FA433C">
      <w:rPr>
        <w:rFonts w:cs="Arial Narrow"/>
        <w:noProof/>
        <w:szCs w:val="18"/>
        <w:lang w:val="pt-BR"/>
      </w:rPr>
      <w:t>1</w:t>
    </w:r>
    <w:r w:rsidRPr="0020462C">
      <w:rPr>
        <w:rFonts w:cs="Arial Narrow"/>
        <w:noProof/>
        <w:szCs w:val="18"/>
        <w:lang w:val="pt-BR"/>
      </w:rPr>
      <w:fldChar w:fldCharType="end"/>
    </w:r>
    <w:r w:rsidRPr="008753E9">
      <w:rPr>
        <w:rFonts w:ascii="Trebuchet MS" w:hAnsi="Trebuchet MS"/>
        <w:color w:val="808080"/>
        <w:sz w:val="14"/>
        <w:lang w:val="pt-BR"/>
      </w:rPr>
      <w:t xml:space="preserve"> de </w:t>
    </w:r>
    <w:r w:rsidRPr="0020462C">
      <w:rPr>
        <w:rFonts w:cs="Arial Narrow"/>
        <w:noProof/>
        <w:szCs w:val="18"/>
        <w:lang w:val="pt-BR"/>
      </w:rPr>
      <w:fldChar w:fldCharType="begin"/>
    </w:r>
    <w:r w:rsidRPr="0020462C">
      <w:rPr>
        <w:rFonts w:cs="Arial Narrow"/>
        <w:noProof/>
        <w:szCs w:val="18"/>
        <w:lang w:val="pt-BR"/>
      </w:rPr>
      <w:instrText xml:space="preserve"> NUMPAGES </w:instrText>
    </w:r>
    <w:r w:rsidRPr="0020462C">
      <w:rPr>
        <w:rFonts w:cs="Arial Narrow"/>
        <w:noProof/>
        <w:szCs w:val="18"/>
        <w:lang w:val="pt-BR"/>
      </w:rPr>
      <w:fldChar w:fldCharType="separate"/>
    </w:r>
    <w:r w:rsidR="00FA433C">
      <w:rPr>
        <w:rFonts w:cs="Arial Narrow"/>
        <w:noProof/>
        <w:szCs w:val="18"/>
        <w:lang w:val="pt-BR"/>
      </w:rPr>
      <w:t>91</w:t>
    </w:r>
    <w:r w:rsidRPr="0020462C">
      <w:rPr>
        <w:rFonts w:cs="Arial Narrow"/>
        <w:noProof/>
        <w:szCs w:val="18"/>
        <w:lang w:val="pt-BR"/>
      </w:rPr>
      <w:fldChar w:fldCharType="end"/>
    </w:r>
    <w:r w:rsidRPr="008753E9">
      <w:rPr>
        <w:rFonts w:ascii="Trebuchet MS" w:hAnsi="Trebuchet MS"/>
        <w:color w:val="808080"/>
        <w:sz w:val="14"/>
        <w:lang w:val="pt-BR"/>
      </w:rPr>
      <w:t xml:space="preserve"> Publicado em </w:t>
    </w:r>
    <w:r>
      <w:rPr>
        <w:rFonts w:ascii="Trebuchet MS" w:hAnsi="Trebuchet MS"/>
        <w:color w:val="808080"/>
        <w:sz w:val="14"/>
        <w:lang w:val="pt-BR"/>
      </w:rPr>
      <w:t>A</w:t>
    </w:r>
    <w:r w:rsidRPr="008753E9">
      <w:rPr>
        <w:rFonts w:ascii="Trebuchet MS" w:hAnsi="Trebuchet MS"/>
        <w:color w:val="808080"/>
        <w:sz w:val="14"/>
        <w:lang w:val="pt-BR"/>
      </w:rPr>
      <w:t>bril de 2013</w:t>
    </w:r>
  </w:p>
  <w:p w:rsidR="00715ABE" w:rsidRDefault="00715ABE" w:rsidP="008753E9">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8753E9">
      <w:rPr>
        <w:rFonts w:ascii="Trebuchet MS" w:hAnsi="Trebuchet MS"/>
        <w:color w:val="808080"/>
        <w:sz w:val="14"/>
        <w:lang w:val="pt-BR"/>
      </w:rPr>
      <w:t>Microsoft é marca comercial registrada da Microsoft Corporation nos Estados Unidos e/ou em outros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ABE" w:rsidRDefault="00715ABE" w:rsidP="008753E9"/>
  <w:p w:rsidR="00715ABE" w:rsidRPr="008753E9" w:rsidRDefault="00715ABE" w:rsidP="008753E9">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8753E9">
      <w:rPr>
        <w:rFonts w:ascii="Trebuchet MS" w:hAnsi="Trebuchet MS"/>
        <w:color w:val="808080"/>
        <w:sz w:val="14"/>
        <w:lang w:val="pt-BR"/>
      </w:rPr>
      <w:t>© 2013 Microsoft Corporation.</w:t>
    </w:r>
    <w:r>
      <w:rPr>
        <w:rFonts w:ascii="Trebuchet MS" w:hAnsi="Trebuchet MS"/>
        <w:color w:val="808080"/>
        <w:sz w:val="14"/>
        <w:lang w:val="pt-BR"/>
      </w:rPr>
      <w:t xml:space="preserve"> Todos os direitos reservados.</w:t>
    </w:r>
    <w:r>
      <w:rPr>
        <w:rFonts w:ascii="Trebuchet MS" w:hAnsi="Trebuchet MS"/>
        <w:color w:val="808080"/>
        <w:sz w:val="14"/>
        <w:lang w:val="pt-BR"/>
      </w:rPr>
      <w:tab/>
    </w:r>
    <w:r w:rsidRPr="008753E9">
      <w:rPr>
        <w:rFonts w:ascii="Trebuchet MS" w:hAnsi="Trebuchet MS"/>
        <w:color w:val="808080"/>
        <w:sz w:val="14"/>
        <w:lang w:val="pt-BR"/>
      </w:rPr>
      <w:t xml:space="preserve">Página </w:t>
    </w:r>
    <w:r w:rsidRPr="0020462C">
      <w:rPr>
        <w:rFonts w:cs="Arial Narrow"/>
        <w:noProof/>
        <w:szCs w:val="18"/>
        <w:lang w:val="pt-BR"/>
      </w:rPr>
      <w:fldChar w:fldCharType="begin"/>
    </w:r>
    <w:r w:rsidRPr="0020462C">
      <w:rPr>
        <w:rFonts w:cs="Arial Narrow"/>
        <w:noProof/>
        <w:szCs w:val="18"/>
        <w:lang w:val="pt-BR"/>
      </w:rPr>
      <w:instrText xml:space="preserve"> PAGE </w:instrText>
    </w:r>
    <w:r w:rsidRPr="0020462C">
      <w:rPr>
        <w:rFonts w:cs="Arial Narrow"/>
        <w:noProof/>
        <w:szCs w:val="18"/>
        <w:lang w:val="pt-BR"/>
      </w:rPr>
      <w:fldChar w:fldCharType="separate"/>
    </w:r>
    <w:r w:rsidR="00FA433C">
      <w:rPr>
        <w:rFonts w:cs="Arial Narrow"/>
        <w:noProof/>
        <w:szCs w:val="18"/>
        <w:lang w:val="pt-BR"/>
      </w:rPr>
      <w:t>140</w:t>
    </w:r>
    <w:r w:rsidRPr="0020462C">
      <w:rPr>
        <w:rFonts w:cs="Arial Narrow"/>
        <w:noProof/>
        <w:szCs w:val="18"/>
        <w:lang w:val="pt-BR"/>
      </w:rPr>
      <w:fldChar w:fldCharType="end"/>
    </w:r>
    <w:r w:rsidRPr="008753E9">
      <w:rPr>
        <w:rFonts w:ascii="Trebuchet MS" w:hAnsi="Trebuchet MS"/>
        <w:color w:val="808080"/>
        <w:sz w:val="14"/>
        <w:lang w:val="pt-BR"/>
      </w:rPr>
      <w:t xml:space="preserve"> de </w:t>
    </w:r>
    <w:r w:rsidRPr="0020462C">
      <w:rPr>
        <w:rFonts w:cs="Arial Narrow"/>
        <w:noProof/>
        <w:szCs w:val="18"/>
        <w:lang w:val="pt-BR"/>
      </w:rPr>
      <w:fldChar w:fldCharType="begin"/>
    </w:r>
    <w:r w:rsidRPr="0020462C">
      <w:rPr>
        <w:rFonts w:cs="Arial Narrow"/>
        <w:noProof/>
        <w:szCs w:val="18"/>
        <w:lang w:val="pt-BR"/>
      </w:rPr>
      <w:instrText xml:space="preserve"> NUMPAGES </w:instrText>
    </w:r>
    <w:r w:rsidRPr="0020462C">
      <w:rPr>
        <w:rFonts w:cs="Arial Narrow"/>
        <w:noProof/>
        <w:szCs w:val="18"/>
        <w:lang w:val="pt-BR"/>
      </w:rPr>
      <w:fldChar w:fldCharType="separate"/>
    </w:r>
    <w:r w:rsidR="00FA433C">
      <w:rPr>
        <w:rFonts w:cs="Arial Narrow"/>
        <w:noProof/>
        <w:szCs w:val="18"/>
        <w:lang w:val="pt-BR"/>
      </w:rPr>
      <w:t>140</w:t>
    </w:r>
    <w:r w:rsidRPr="0020462C">
      <w:rPr>
        <w:rFonts w:cs="Arial Narrow"/>
        <w:noProof/>
        <w:szCs w:val="18"/>
        <w:lang w:val="pt-BR"/>
      </w:rPr>
      <w:fldChar w:fldCharType="end"/>
    </w:r>
    <w:r w:rsidRPr="008753E9">
      <w:rPr>
        <w:rFonts w:ascii="Trebuchet MS" w:hAnsi="Trebuchet MS"/>
        <w:color w:val="808080"/>
        <w:sz w:val="14"/>
        <w:lang w:val="pt-BR"/>
      </w:rPr>
      <w:t xml:space="preserve"> Publicado em </w:t>
    </w:r>
    <w:r>
      <w:rPr>
        <w:rFonts w:ascii="Trebuchet MS" w:hAnsi="Trebuchet MS"/>
        <w:color w:val="808080"/>
        <w:sz w:val="14"/>
        <w:lang w:val="pt-BR"/>
      </w:rPr>
      <w:t>A</w:t>
    </w:r>
    <w:r w:rsidRPr="008753E9">
      <w:rPr>
        <w:rFonts w:ascii="Trebuchet MS" w:hAnsi="Trebuchet MS"/>
        <w:color w:val="808080"/>
        <w:sz w:val="14"/>
        <w:lang w:val="pt-BR"/>
      </w:rPr>
      <w:t>bril de 2013</w:t>
    </w:r>
  </w:p>
  <w:p w:rsidR="00715ABE" w:rsidRPr="008753E9" w:rsidRDefault="00715ABE" w:rsidP="008753E9">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8753E9">
      <w:rPr>
        <w:rFonts w:ascii="Trebuchet MS" w:hAnsi="Trebuchet MS"/>
        <w:color w:val="808080"/>
        <w:sz w:val="14"/>
        <w:lang w:val="pt-BR"/>
      </w:rPr>
      <w:t>Microsoft é marca comercial registrada da Microsoft Corporation nos Estados Unidos e/ou em outros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ABE" w:rsidRDefault="00715ABE"/>
  <w:p w:rsidR="00715ABE" w:rsidRDefault="00715ABE" w:rsidP="003B2F3C">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 Todos os direitos reservados.</w:t>
    </w:r>
    <w:r w:rsidRPr="008D38F6">
      <w:rPr>
        <w:rFonts w:ascii="Trebuchet MS" w:hAnsi="Trebuchet MS"/>
        <w:color w:val="808080"/>
        <w:sz w:val="14"/>
        <w:lang w:val="pt-BR"/>
      </w:rPr>
      <w:tab/>
    </w:r>
    <w:r>
      <w:rPr>
        <w:rFonts w:ascii="Trebuchet MS" w:hAnsi="Trebuchet MS"/>
        <w:color w:val="808080"/>
        <w:sz w:val="14"/>
      </w:rPr>
      <w:t xml:space="preserve">Página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de </w:t>
    </w:r>
    <w:r>
      <w:fldChar w:fldCharType="begin"/>
    </w:r>
    <w:r>
      <w:instrText xml:space="preserve"> NUMPAGES </w:instrText>
    </w:r>
    <w:r>
      <w:fldChar w:fldCharType="separate"/>
    </w:r>
    <w:r>
      <w:rPr>
        <w:noProof/>
      </w:rPr>
      <w:t>204</w:t>
    </w:r>
    <w:r>
      <w:rPr>
        <w:noProof/>
      </w:rPr>
      <w:fldChar w:fldCharType="end"/>
    </w:r>
    <w:r>
      <w:t xml:space="preserve"> Publicado em maio de 2009</w:t>
    </w:r>
  </w:p>
  <w:p w:rsidR="00715ABE" w:rsidRDefault="00715ABE">
    <w:pPr>
      <w:pStyle w:val="Footer"/>
      <w:rPr>
        <w:rFonts w:ascii="Verdana" w:hAnsi="Verdana"/>
        <w:color w:val="808080"/>
        <w:sz w:val="16"/>
      </w:rPr>
    </w:pPr>
    <w:r>
      <w:rPr>
        <w:rFonts w:ascii="Trebuchet MS" w:hAnsi="Trebuchet MS"/>
        <w:color w:val="808080"/>
        <w:sz w:val="14"/>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19E7" w:rsidRDefault="008719E7">
      <w:r>
        <w:separator/>
      </w:r>
    </w:p>
  </w:footnote>
  <w:footnote w:type="continuationSeparator" w:id="0">
    <w:p w:rsidR="008719E7" w:rsidRDefault="008719E7">
      <w:r>
        <w:continuationSeparator/>
      </w:r>
    </w:p>
  </w:footnote>
  <w:footnote w:type="continuationNotice" w:id="1">
    <w:p w:rsidR="008719E7" w:rsidRDefault="008719E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ABE" w:rsidRDefault="00715ABE">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5680" behindDoc="0" locked="0" layoutInCell="0" allowOverlap="1" wp14:anchorId="12905197" wp14:editId="4596D3EA">
              <wp:simplePos x="0" y="0"/>
              <wp:positionH relativeFrom="column">
                <wp:posOffset>-314325</wp:posOffset>
              </wp:positionH>
              <wp:positionV relativeFrom="paragraph">
                <wp:posOffset>-139700</wp:posOffset>
              </wp:positionV>
              <wp:extent cx="2228850" cy="5746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15ABE" w:rsidRDefault="00715ABE">
                          <w:r>
                            <w:rPr>
                              <w:rFonts w:cs="Tahoma"/>
                              <w:noProof/>
                              <w:szCs w:val="18"/>
                            </w:rPr>
                            <w:drawing>
                              <wp:inline distT="0" distB="0" distL="0" distR="0" wp14:anchorId="20D82E3A" wp14:editId="20722689">
                                <wp:extent cx="1898015" cy="509270"/>
                                <wp:effectExtent l="0" t="0" r="6985" b="5080"/>
                                <wp:docPr id="1"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r>
                            <w:rPr>
                              <w:noProof/>
                            </w:rPr>
                            <w:drawing>
                              <wp:inline distT="0" distB="0" distL="0" distR="0" wp14:anchorId="563D29D7" wp14:editId="037AEF4E">
                                <wp:extent cx="1911985" cy="510540"/>
                                <wp:effectExtent l="0" t="0" r="0" b="3810"/>
                                <wp:docPr id="1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2905197"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BdKtA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d8BdKtAIAALkF&#10;AAAOAAAAAAAAAAAAAAAAAC4CAABkcnMvZTJvRG9jLnhtbFBLAQItABQABgAIAAAAIQCFKH3C3wAA&#10;AAoBAAAPAAAAAAAAAAAAAAAAAA4FAABkcnMvZG93bnJldi54bWxQSwUGAAAAAAQABADzAAAAGgYA&#10;AAAA&#10;" o:allowincell="f" filled="f" stroked="f">
              <v:textbox>
                <w:txbxContent>
                  <w:p w:rsidR="00715ABE" w:rsidRDefault="00715ABE">
                    <w:r>
                      <w:rPr>
                        <w:rFonts w:cs="Tahoma"/>
                        <w:noProof/>
                        <w:szCs w:val="18"/>
                      </w:rPr>
                      <w:drawing>
                        <wp:inline distT="0" distB="0" distL="0" distR="0" wp14:anchorId="20D82E3A" wp14:editId="20722689">
                          <wp:extent cx="1898015" cy="509270"/>
                          <wp:effectExtent l="0" t="0" r="6985" b="5080"/>
                          <wp:docPr id="1"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a:picLocks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r>
                      <w:rPr>
                        <w:noProof/>
                      </w:rPr>
                      <w:drawing>
                        <wp:inline distT="0" distB="0" distL="0" distR="0" wp14:anchorId="563D29D7" wp14:editId="037AEF4E">
                          <wp:extent cx="1911985" cy="510540"/>
                          <wp:effectExtent l="0" t="0" r="0" b="3810"/>
                          <wp:docPr id="1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715ABE" w:rsidRDefault="00715ABE">
    <w:r>
      <w:rPr>
        <w:noProof/>
      </w:rPr>
      <mc:AlternateContent>
        <mc:Choice Requires="wps">
          <w:drawing>
            <wp:anchor distT="4294967295" distB="4294967295" distL="114300" distR="114300" simplePos="0" relativeHeight="251658752" behindDoc="0" locked="0" layoutInCell="0" allowOverlap="1" wp14:anchorId="464C8B7A" wp14:editId="018FAE80">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CF8D2CA"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ABE" w:rsidRDefault="00715ABE" w:rsidP="006D6A83">
    <w:pPr>
      <w:ind w:rightChars="185" w:right="333"/>
    </w:pPr>
  </w:p>
  <w:p w:rsidR="00715ABE" w:rsidRDefault="00715ABE" w:rsidP="006D6A83">
    <w:pPr>
      <w:ind w:rightChars="185" w:right="333"/>
    </w:pPr>
  </w:p>
  <w:p w:rsidR="00715ABE" w:rsidRDefault="00715ABE" w:rsidP="006D6A83">
    <w:pPr>
      <w:ind w:rightChars="185" w:right="333"/>
    </w:pPr>
    <w:r>
      <w:rPr>
        <w:noProof/>
      </w:rPr>
      <w:drawing>
        <wp:anchor distT="0" distB="0" distL="114300" distR="114300" simplePos="0" relativeHeight="251661824" behindDoc="0" locked="0" layoutInCell="1" allowOverlap="1" wp14:anchorId="00261C8D" wp14:editId="5121FB9B">
          <wp:simplePos x="0" y="0"/>
          <wp:positionH relativeFrom="margin">
            <wp:align>center</wp:align>
          </wp:positionH>
          <wp:positionV relativeFrom="paragraph">
            <wp:posOffset>15240</wp:posOffset>
          </wp:positionV>
          <wp:extent cx="5734050" cy="561975"/>
          <wp:effectExtent l="0" t="0" r="0" b="9525"/>
          <wp:wrapNone/>
          <wp:docPr id="18"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715ABE" w:rsidRDefault="00715ABE">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ABE" w:rsidRDefault="00715ABE" w:rsidP="00F8080D">
    <w:pPr>
      <w:ind w:rightChars="185" w:right="333"/>
    </w:pPr>
  </w:p>
  <w:p w:rsidR="00715ABE" w:rsidRDefault="00715ABE">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117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A26A6426"/>
    <w:lvl w:ilvl="0" w:tplc="6FEE678A">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2">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5">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207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9">
    <w:nsid w:val="46EF72CA"/>
    <w:multiLevelType w:val="hybridMultilevel"/>
    <w:tmpl w:val="7610A1A4"/>
    <w:lvl w:ilvl="0" w:tplc="915259F4">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1">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8">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B2C4D22"/>
    <w:multiLevelType w:val="hybridMultilevel"/>
    <w:tmpl w:val="DBBA200C"/>
    <w:lvl w:ilvl="0" w:tplc="D902DDBC">
      <w:start w:val="1"/>
      <w:numFmt w:val="bullet"/>
      <w:lvlText w:val=""/>
      <w:lvlJc w:val="left"/>
      <w:pPr>
        <w:ind w:left="720" w:hanging="360"/>
      </w:pPr>
      <w:rPr>
        <w:rFonts w:ascii="Webdings" w:hAnsi="Webdings" w:hint="default"/>
        <w:b w:val="0"/>
        <w:i w:val="0"/>
        <w:color w:val="FF6600"/>
        <w:sz w:val="24"/>
      </w:rPr>
    </w:lvl>
    <w:lvl w:ilvl="1" w:tplc="CCEADEFA">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8">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3">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4">
    <w:nsid w:val="76155754"/>
    <w:multiLevelType w:val="hybridMultilevel"/>
    <w:tmpl w:val="E080111A"/>
    <w:lvl w:ilvl="0" w:tplc="B99AE6E2">
      <w:start w:val="1"/>
      <w:numFmt w:val="lowerLetter"/>
      <w:lvlText w:val="%1."/>
      <w:lvlJc w:val="left"/>
      <w:pPr>
        <w:ind w:left="720" w:hanging="360"/>
      </w:pPr>
      <w:rPr>
        <w:rFonts w:hint="default"/>
        <w:b w:val="0"/>
      </w:rPr>
    </w:lvl>
    <w:lvl w:ilvl="1" w:tplc="8526A686">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0"/>
  </w:num>
  <w:num w:numId="2">
    <w:abstractNumId w:val="37"/>
  </w:num>
  <w:num w:numId="3">
    <w:abstractNumId w:val="130"/>
  </w:num>
  <w:num w:numId="4">
    <w:abstractNumId w:val="1"/>
  </w:num>
  <w:num w:numId="5">
    <w:abstractNumId w:val="14"/>
  </w:num>
  <w:num w:numId="6">
    <w:abstractNumId w:val="140"/>
  </w:num>
  <w:num w:numId="7">
    <w:abstractNumId w:val="0"/>
  </w:num>
  <w:num w:numId="8">
    <w:abstractNumId w:val="133"/>
  </w:num>
  <w:num w:numId="9">
    <w:abstractNumId w:val="71"/>
  </w:num>
  <w:num w:numId="10">
    <w:abstractNumId w:val="148"/>
  </w:num>
  <w:num w:numId="11">
    <w:abstractNumId w:val="138"/>
  </w:num>
  <w:num w:numId="12">
    <w:abstractNumId w:val="11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1"/>
  </w:num>
  <w:num w:numId="14">
    <w:abstractNumId w:val="80"/>
  </w:num>
  <w:num w:numId="15">
    <w:abstractNumId w:val="24"/>
  </w:num>
  <w:num w:numId="16">
    <w:abstractNumId w:val="29"/>
  </w:num>
  <w:num w:numId="17">
    <w:abstractNumId w:val="131"/>
  </w:num>
  <w:num w:numId="18">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9"/>
  </w:num>
  <w:num w:numId="20">
    <w:abstractNumId w:val="51"/>
  </w:num>
  <w:num w:numId="21">
    <w:abstractNumId w:val="81"/>
  </w:num>
  <w:num w:numId="22">
    <w:abstractNumId w:val="86"/>
  </w:num>
  <w:num w:numId="23">
    <w:abstractNumId w:val="48"/>
  </w:num>
  <w:num w:numId="24">
    <w:abstractNumId w:val="112"/>
  </w:num>
  <w:num w:numId="25">
    <w:abstractNumId w:val="45"/>
  </w:num>
  <w:num w:numId="26">
    <w:abstractNumId w:val="54"/>
  </w:num>
  <w:num w:numId="27">
    <w:abstractNumId w:val="63"/>
  </w:num>
  <w:num w:numId="28">
    <w:abstractNumId w:val="61"/>
  </w:num>
  <w:num w:numId="29">
    <w:abstractNumId w:val="41"/>
  </w:num>
  <w:num w:numId="30">
    <w:abstractNumId w:val="8"/>
  </w:num>
  <w:num w:numId="31">
    <w:abstractNumId w:val="117"/>
  </w:num>
  <w:num w:numId="32">
    <w:abstractNumId w:val="88"/>
  </w:num>
  <w:num w:numId="33">
    <w:abstractNumId w:val="115"/>
  </w:num>
  <w:num w:numId="34">
    <w:abstractNumId w:val="93"/>
  </w:num>
  <w:num w:numId="35">
    <w:abstractNumId w:val="83"/>
  </w:num>
  <w:num w:numId="36">
    <w:abstractNumId w:val="46"/>
  </w:num>
  <w:num w:numId="37">
    <w:abstractNumId w:val="5"/>
  </w:num>
  <w:num w:numId="38">
    <w:abstractNumId w:val="144"/>
  </w:num>
  <w:num w:numId="39">
    <w:abstractNumId w:val="84"/>
  </w:num>
  <w:num w:numId="40">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2"/>
  </w:num>
  <w:num w:numId="42">
    <w:abstractNumId w:val="136"/>
  </w:num>
  <w:num w:numId="43">
    <w:abstractNumId w:val="127"/>
  </w:num>
  <w:num w:numId="44">
    <w:abstractNumId w:val="69"/>
  </w:num>
  <w:num w:numId="45">
    <w:abstractNumId w:val="57"/>
  </w:num>
  <w:num w:numId="46">
    <w:abstractNumId w:val="62"/>
  </w:num>
  <w:num w:numId="47">
    <w:abstractNumId w:val="7"/>
  </w:num>
  <w:num w:numId="48">
    <w:abstractNumId w:val="109"/>
  </w:num>
  <w:num w:numId="49">
    <w:abstractNumId w:val="18"/>
  </w:num>
  <w:num w:numId="50">
    <w:abstractNumId w:val="38"/>
  </w:num>
  <w:num w:numId="51">
    <w:abstractNumId w:val="50"/>
  </w:num>
  <w:num w:numId="52">
    <w:abstractNumId w:val="26"/>
  </w:num>
  <w:num w:numId="53">
    <w:abstractNumId w:val="33"/>
  </w:num>
  <w:num w:numId="54">
    <w:abstractNumId w:val="92"/>
  </w:num>
  <w:num w:numId="55">
    <w:abstractNumId w:val="31"/>
  </w:num>
  <w:num w:numId="56">
    <w:abstractNumId w:val="90"/>
  </w:num>
  <w:num w:numId="57">
    <w:abstractNumId w:val="135"/>
  </w:num>
  <w:num w:numId="58">
    <w:abstractNumId w:val="126"/>
  </w:num>
  <w:num w:numId="59">
    <w:abstractNumId w:val="97"/>
  </w:num>
  <w:num w:numId="60">
    <w:abstractNumId w:val="142"/>
  </w:num>
  <w:num w:numId="61">
    <w:abstractNumId w:val="116"/>
  </w:num>
  <w:num w:numId="62">
    <w:abstractNumId w:val="44"/>
  </w:num>
  <w:num w:numId="63">
    <w:abstractNumId w:val="95"/>
  </w:num>
  <w:num w:numId="64">
    <w:abstractNumId w:val="34"/>
  </w:num>
  <w:num w:numId="65">
    <w:abstractNumId w:val="20"/>
  </w:num>
  <w:num w:numId="66">
    <w:abstractNumId w:val="68"/>
  </w:num>
  <w:num w:numId="67">
    <w:abstractNumId w:val="32"/>
  </w:num>
  <w:num w:numId="68">
    <w:abstractNumId w:val="103"/>
  </w:num>
  <w:num w:numId="69">
    <w:abstractNumId w:val="2"/>
  </w:num>
  <w:num w:numId="70">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2"/>
  </w:num>
  <w:num w:numId="72">
    <w:abstractNumId w:val="39"/>
  </w:num>
  <w:num w:numId="73">
    <w:abstractNumId w:val="43"/>
  </w:num>
  <w:num w:numId="74">
    <w:abstractNumId w:val="52"/>
  </w:num>
  <w:num w:numId="75">
    <w:abstractNumId w:val="127"/>
  </w:num>
  <w:num w:numId="76">
    <w:abstractNumId w:val="117"/>
  </w:num>
  <w:num w:numId="77">
    <w:abstractNumId w:val="62"/>
  </w:num>
  <w:num w:numId="78">
    <w:abstractNumId w:val="120"/>
  </w:num>
  <w:num w:numId="79">
    <w:abstractNumId w:val="27"/>
  </w:num>
  <w:num w:numId="80">
    <w:abstractNumId w:val="9"/>
  </w:num>
  <w:num w:numId="81">
    <w:abstractNumId w:val="23"/>
  </w:num>
  <w:num w:numId="82">
    <w:abstractNumId w:val="145"/>
  </w:num>
  <w:num w:numId="83">
    <w:abstractNumId w:val="79"/>
  </w:num>
  <w:num w:numId="84">
    <w:abstractNumId w:val="125"/>
  </w:num>
  <w:num w:numId="85">
    <w:abstractNumId w:val="73"/>
  </w:num>
  <w:num w:numId="86">
    <w:abstractNumId w:val="58"/>
  </w:num>
  <w:num w:numId="87">
    <w:abstractNumId w:val="107"/>
  </w:num>
  <w:num w:numId="88">
    <w:abstractNumId w:val="106"/>
  </w:num>
  <w:num w:numId="89">
    <w:abstractNumId w:val="11"/>
  </w:num>
  <w:num w:numId="90">
    <w:abstractNumId w:val="101"/>
  </w:num>
  <w:num w:numId="91">
    <w:abstractNumId w:val="119"/>
  </w:num>
  <w:num w:numId="92">
    <w:abstractNumId w:val="124"/>
  </w:num>
  <w:num w:numId="93">
    <w:abstractNumId w:val="91"/>
  </w:num>
  <w:num w:numId="94">
    <w:abstractNumId w:val="110"/>
  </w:num>
  <w:num w:numId="95">
    <w:abstractNumId w:val="85"/>
  </w:num>
  <w:num w:numId="96">
    <w:abstractNumId w:val="143"/>
  </w:num>
  <w:num w:numId="97">
    <w:abstractNumId w:val="75"/>
  </w:num>
  <w:num w:numId="98">
    <w:abstractNumId w:val="87"/>
  </w:num>
  <w:num w:numId="99">
    <w:abstractNumId w:val="19"/>
  </w:num>
  <w:num w:numId="100">
    <w:abstractNumId w:val="64"/>
  </w:num>
  <w:num w:numId="101">
    <w:abstractNumId w:val="17"/>
  </w:num>
  <w:num w:numId="102">
    <w:abstractNumId w:val="42"/>
  </w:num>
  <w:num w:numId="103">
    <w:abstractNumId w:val="137"/>
  </w:num>
  <w:num w:numId="104">
    <w:abstractNumId w:val="74"/>
  </w:num>
  <w:num w:numId="105">
    <w:abstractNumId w:val="35"/>
  </w:num>
  <w:num w:numId="106">
    <w:abstractNumId w:val="94"/>
  </w:num>
  <w:num w:numId="107">
    <w:abstractNumId w:val="53"/>
  </w:num>
  <w:num w:numId="108">
    <w:abstractNumId w:val="21"/>
  </w:num>
  <w:num w:numId="109">
    <w:abstractNumId w:val="49"/>
  </w:num>
  <w:num w:numId="110">
    <w:abstractNumId w:val="60"/>
  </w:num>
  <w:num w:numId="111">
    <w:abstractNumId w:val="147"/>
  </w:num>
  <w:num w:numId="112">
    <w:abstractNumId w:val="146"/>
  </w:num>
  <w:num w:numId="113">
    <w:abstractNumId w:val="67"/>
  </w:num>
  <w:num w:numId="114">
    <w:abstractNumId w:val="78"/>
  </w:num>
  <w:num w:numId="115">
    <w:abstractNumId w:val="3"/>
  </w:num>
  <w:num w:numId="116">
    <w:abstractNumId w:val="104"/>
  </w:num>
  <w:num w:numId="117">
    <w:abstractNumId w:val="30"/>
  </w:num>
  <w:num w:numId="118">
    <w:abstractNumId w:val="118"/>
  </w:num>
  <w:num w:numId="119">
    <w:abstractNumId w:val="10"/>
  </w:num>
  <w:num w:numId="120">
    <w:abstractNumId w:val="12"/>
  </w:num>
  <w:num w:numId="121">
    <w:abstractNumId w:val="134"/>
  </w:num>
  <w:num w:numId="122">
    <w:abstractNumId w:val="13"/>
  </w:num>
  <w:num w:numId="123">
    <w:abstractNumId w:val="114"/>
  </w:num>
  <w:num w:numId="124">
    <w:abstractNumId w:val="5"/>
  </w:num>
  <w:num w:numId="125">
    <w:abstractNumId w:val="144"/>
  </w:num>
  <w:num w:numId="126">
    <w:abstractNumId w:val="99"/>
  </w:num>
  <w:num w:numId="127">
    <w:abstractNumId w:val="123"/>
  </w:num>
  <w:num w:numId="128">
    <w:abstractNumId w:val="105"/>
  </w:num>
  <w:num w:numId="129">
    <w:abstractNumId w:val="77"/>
  </w:num>
  <w:num w:numId="130">
    <w:abstractNumId w:val="72"/>
  </w:num>
  <w:num w:numId="131">
    <w:abstractNumId w:val="4"/>
  </w:num>
  <w:num w:numId="132">
    <w:abstractNumId w:val="59"/>
  </w:num>
  <w:num w:numId="133">
    <w:abstractNumId w:val="76"/>
  </w:num>
  <w:num w:numId="134">
    <w:abstractNumId w:val="98"/>
  </w:num>
  <w:num w:numId="135">
    <w:abstractNumId w:val="121"/>
  </w:num>
  <w:num w:numId="136">
    <w:abstractNumId w:val="22"/>
  </w:num>
  <w:num w:numId="137">
    <w:abstractNumId w:val="113"/>
  </w:num>
  <w:num w:numId="138">
    <w:abstractNumId w:val="128"/>
  </w:num>
  <w:num w:numId="139">
    <w:abstractNumId w:val="16"/>
  </w:num>
  <w:num w:numId="140">
    <w:abstractNumId w:val="122"/>
  </w:num>
  <w:num w:numId="141">
    <w:abstractNumId w:val="40"/>
  </w:num>
  <w:num w:numId="142">
    <w:abstractNumId w:val="139"/>
  </w:num>
  <w:num w:numId="143">
    <w:abstractNumId w:val="100"/>
  </w:num>
  <w:num w:numId="144">
    <w:abstractNumId w:val="6"/>
  </w:num>
  <w:num w:numId="145">
    <w:abstractNumId w:val="15"/>
  </w:num>
  <w:num w:numId="146">
    <w:abstractNumId w:val="108"/>
  </w:num>
  <w:num w:numId="147">
    <w:abstractNumId w:val="25"/>
  </w:num>
  <w:num w:numId="148">
    <w:abstractNumId w:val="89"/>
  </w:num>
  <w:num w:numId="149">
    <w:abstractNumId w:val="36"/>
  </w:num>
  <w:num w:numId="150">
    <w:abstractNumId w:val="65"/>
  </w:num>
  <w:num w:numId="1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4"/>
    <w:lvlOverride w:ilvl="0"/>
    <w:lvlOverride w:ilvl="1">
      <w:startOverride w:val="1"/>
    </w:lvlOverride>
    <w:lvlOverride w:ilvl="2"/>
    <w:lvlOverride w:ilvl="3"/>
    <w:lvlOverride w:ilvl="4"/>
    <w:lvlOverride w:ilvl="5"/>
    <w:lvlOverride w:ilvl="6"/>
    <w:lvlOverride w:ilvl="7"/>
    <w:lvlOverride w:ilvl="8"/>
  </w:num>
  <w:num w:numId="156">
    <w:abstractNumId w:val="82"/>
  </w:num>
  <w:num w:numId="157">
    <w:abstractNumId w:val="55"/>
  </w:num>
  <w:num w:numId="158">
    <w:abstractNumId w:val="96"/>
  </w:num>
  <w:num w:numId="159">
    <w:abstractNumId w:val="132"/>
  </w:num>
  <w:num w:numId="160">
    <w:abstractNumId w:val="28"/>
  </w:num>
  <w:num w:numId="161">
    <w:abstractNumId w:val="56"/>
  </w:num>
  <w:num w:numId="162">
    <w:abstractNumId w:val="96"/>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1"/>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m2As7WSHQK/3m4m3485yJg5O6dw=" w:salt="wK6urGgIoaVIYYbbyQJTE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FB1"/>
    <w:rsid w:val="00025419"/>
    <w:rsid w:val="00026546"/>
    <w:rsid w:val="0003011A"/>
    <w:rsid w:val="0003031D"/>
    <w:rsid w:val="000306B4"/>
    <w:rsid w:val="00031547"/>
    <w:rsid w:val="00031ABF"/>
    <w:rsid w:val="0003219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55D"/>
    <w:rsid w:val="00053F31"/>
    <w:rsid w:val="00054811"/>
    <w:rsid w:val="000553EE"/>
    <w:rsid w:val="0005574D"/>
    <w:rsid w:val="00055EFD"/>
    <w:rsid w:val="00056DDF"/>
    <w:rsid w:val="00056E58"/>
    <w:rsid w:val="00060959"/>
    <w:rsid w:val="00061A45"/>
    <w:rsid w:val="00061A6E"/>
    <w:rsid w:val="000626C8"/>
    <w:rsid w:val="00065570"/>
    <w:rsid w:val="000658AA"/>
    <w:rsid w:val="00066528"/>
    <w:rsid w:val="00067AB1"/>
    <w:rsid w:val="0007054E"/>
    <w:rsid w:val="00070945"/>
    <w:rsid w:val="0007160C"/>
    <w:rsid w:val="00071922"/>
    <w:rsid w:val="0007218F"/>
    <w:rsid w:val="000731D9"/>
    <w:rsid w:val="00073D33"/>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35C"/>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12A2"/>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5F24"/>
    <w:rsid w:val="000D6A8D"/>
    <w:rsid w:val="000D747C"/>
    <w:rsid w:val="000D76F0"/>
    <w:rsid w:val="000D7705"/>
    <w:rsid w:val="000D77DE"/>
    <w:rsid w:val="000D77F6"/>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3CB"/>
    <w:rsid w:val="001126E7"/>
    <w:rsid w:val="0011332E"/>
    <w:rsid w:val="001134F8"/>
    <w:rsid w:val="00113634"/>
    <w:rsid w:val="00113665"/>
    <w:rsid w:val="00113EC1"/>
    <w:rsid w:val="001140EF"/>
    <w:rsid w:val="00114999"/>
    <w:rsid w:val="001154B5"/>
    <w:rsid w:val="00116222"/>
    <w:rsid w:val="00116978"/>
    <w:rsid w:val="00116EDC"/>
    <w:rsid w:val="00117112"/>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52F"/>
    <w:rsid w:val="00171817"/>
    <w:rsid w:val="00171927"/>
    <w:rsid w:val="00172CBA"/>
    <w:rsid w:val="0017320F"/>
    <w:rsid w:val="00173A20"/>
    <w:rsid w:val="00174410"/>
    <w:rsid w:val="0017442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AD"/>
    <w:rsid w:val="00185DE6"/>
    <w:rsid w:val="001866F1"/>
    <w:rsid w:val="00186E12"/>
    <w:rsid w:val="00186EDB"/>
    <w:rsid w:val="00186F02"/>
    <w:rsid w:val="001870C2"/>
    <w:rsid w:val="00187499"/>
    <w:rsid w:val="00187AF7"/>
    <w:rsid w:val="00190F66"/>
    <w:rsid w:val="00192764"/>
    <w:rsid w:val="00192935"/>
    <w:rsid w:val="00192C6E"/>
    <w:rsid w:val="0019370F"/>
    <w:rsid w:val="00193F9C"/>
    <w:rsid w:val="00194002"/>
    <w:rsid w:val="00194DAF"/>
    <w:rsid w:val="00196024"/>
    <w:rsid w:val="00196176"/>
    <w:rsid w:val="00196F45"/>
    <w:rsid w:val="0019770C"/>
    <w:rsid w:val="0019788A"/>
    <w:rsid w:val="001978C7"/>
    <w:rsid w:val="001979E9"/>
    <w:rsid w:val="001A24A8"/>
    <w:rsid w:val="001A2663"/>
    <w:rsid w:val="001A3069"/>
    <w:rsid w:val="001A3367"/>
    <w:rsid w:val="001A5DFA"/>
    <w:rsid w:val="001A63C6"/>
    <w:rsid w:val="001B035A"/>
    <w:rsid w:val="001B0581"/>
    <w:rsid w:val="001B15A5"/>
    <w:rsid w:val="001B1DB9"/>
    <w:rsid w:val="001B1F6A"/>
    <w:rsid w:val="001B3397"/>
    <w:rsid w:val="001B3CB1"/>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09B"/>
    <w:rsid w:val="001C4AC1"/>
    <w:rsid w:val="001C4B96"/>
    <w:rsid w:val="001C5084"/>
    <w:rsid w:val="001C5F2F"/>
    <w:rsid w:val="001C600A"/>
    <w:rsid w:val="001C67C8"/>
    <w:rsid w:val="001C6B7C"/>
    <w:rsid w:val="001C6D08"/>
    <w:rsid w:val="001C776C"/>
    <w:rsid w:val="001C7F24"/>
    <w:rsid w:val="001D0A5E"/>
    <w:rsid w:val="001D0D87"/>
    <w:rsid w:val="001D100C"/>
    <w:rsid w:val="001D1F41"/>
    <w:rsid w:val="001D1FFD"/>
    <w:rsid w:val="001D214E"/>
    <w:rsid w:val="001D2CFE"/>
    <w:rsid w:val="001D3F04"/>
    <w:rsid w:val="001D47EE"/>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5DE"/>
    <w:rsid w:val="001E7990"/>
    <w:rsid w:val="001E79DE"/>
    <w:rsid w:val="001E7B2F"/>
    <w:rsid w:val="001E7C5F"/>
    <w:rsid w:val="001E7D7C"/>
    <w:rsid w:val="001F09EE"/>
    <w:rsid w:val="001F3114"/>
    <w:rsid w:val="001F45C4"/>
    <w:rsid w:val="001F52D2"/>
    <w:rsid w:val="001F63D6"/>
    <w:rsid w:val="001F67F9"/>
    <w:rsid w:val="001F71F2"/>
    <w:rsid w:val="0020051A"/>
    <w:rsid w:val="002015BC"/>
    <w:rsid w:val="00202A44"/>
    <w:rsid w:val="002030E1"/>
    <w:rsid w:val="0020386A"/>
    <w:rsid w:val="0020393F"/>
    <w:rsid w:val="0020462C"/>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2FA0"/>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1B54"/>
    <w:rsid w:val="00222404"/>
    <w:rsid w:val="00222641"/>
    <w:rsid w:val="00222B90"/>
    <w:rsid w:val="0022394B"/>
    <w:rsid w:val="00223A77"/>
    <w:rsid w:val="00224A57"/>
    <w:rsid w:val="002253A3"/>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368E"/>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1AC"/>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3C7F"/>
    <w:rsid w:val="002751F6"/>
    <w:rsid w:val="00276586"/>
    <w:rsid w:val="002765CF"/>
    <w:rsid w:val="00277145"/>
    <w:rsid w:val="0028033C"/>
    <w:rsid w:val="00280A25"/>
    <w:rsid w:val="00281B6E"/>
    <w:rsid w:val="0028230A"/>
    <w:rsid w:val="00282875"/>
    <w:rsid w:val="00283A4E"/>
    <w:rsid w:val="002849A2"/>
    <w:rsid w:val="002854D4"/>
    <w:rsid w:val="00285547"/>
    <w:rsid w:val="0028591B"/>
    <w:rsid w:val="00285E3D"/>
    <w:rsid w:val="00285EE8"/>
    <w:rsid w:val="002868EB"/>
    <w:rsid w:val="00287571"/>
    <w:rsid w:val="00287758"/>
    <w:rsid w:val="00287C64"/>
    <w:rsid w:val="00290203"/>
    <w:rsid w:val="00290BBF"/>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F9E"/>
    <w:rsid w:val="002B7094"/>
    <w:rsid w:val="002B75CB"/>
    <w:rsid w:val="002C0225"/>
    <w:rsid w:val="002C0CE1"/>
    <w:rsid w:val="002C1048"/>
    <w:rsid w:val="002C140E"/>
    <w:rsid w:val="002C1899"/>
    <w:rsid w:val="002C1A50"/>
    <w:rsid w:val="002C3AB1"/>
    <w:rsid w:val="002C3D8E"/>
    <w:rsid w:val="002C4982"/>
    <w:rsid w:val="002C509B"/>
    <w:rsid w:val="002C5316"/>
    <w:rsid w:val="002C5924"/>
    <w:rsid w:val="002C6D27"/>
    <w:rsid w:val="002C74CF"/>
    <w:rsid w:val="002C7622"/>
    <w:rsid w:val="002C7FD6"/>
    <w:rsid w:val="002D000C"/>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02A"/>
    <w:rsid w:val="002E0D98"/>
    <w:rsid w:val="002E114F"/>
    <w:rsid w:val="002E125F"/>
    <w:rsid w:val="002E2254"/>
    <w:rsid w:val="002E2A3F"/>
    <w:rsid w:val="002E2ABD"/>
    <w:rsid w:val="002E38CD"/>
    <w:rsid w:val="002E4298"/>
    <w:rsid w:val="002E4F7C"/>
    <w:rsid w:val="002E57CF"/>
    <w:rsid w:val="002E593F"/>
    <w:rsid w:val="002E5D03"/>
    <w:rsid w:val="002E5D6D"/>
    <w:rsid w:val="002E5E33"/>
    <w:rsid w:val="002E5F5A"/>
    <w:rsid w:val="002E6007"/>
    <w:rsid w:val="002E7045"/>
    <w:rsid w:val="002F0514"/>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C91"/>
    <w:rsid w:val="00316E24"/>
    <w:rsid w:val="003171B3"/>
    <w:rsid w:val="003179E3"/>
    <w:rsid w:val="00320142"/>
    <w:rsid w:val="003205B6"/>
    <w:rsid w:val="00320613"/>
    <w:rsid w:val="0032113C"/>
    <w:rsid w:val="003219D2"/>
    <w:rsid w:val="00322128"/>
    <w:rsid w:val="00322275"/>
    <w:rsid w:val="003225E4"/>
    <w:rsid w:val="00323791"/>
    <w:rsid w:val="00324479"/>
    <w:rsid w:val="0032469E"/>
    <w:rsid w:val="00325BA0"/>
    <w:rsid w:val="00325E60"/>
    <w:rsid w:val="003265DE"/>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1566"/>
    <w:rsid w:val="003418C5"/>
    <w:rsid w:val="0034219A"/>
    <w:rsid w:val="00342DA2"/>
    <w:rsid w:val="0034327C"/>
    <w:rsid w:val="00343704"/>
    <w:rsid w:val="00343942"/>
    <w:rsid w:val="00343FB1"/>
    <w:rsid w:val="003440F5"/>
    <w:rsid w:val="003444EE"/>
    <w:rsid w:val="003459B2"/>
    <w:rsid w:val="0034661A"/>
    <w:rsid w:val="00346E96"/>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0D3F"/>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97AD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B23"/>
    <w:rsid w:val="003B0EE7"/>
    <w:rsid w:val="003B2A44"/>
    <w:rsid w:val="003B2F3C"/>
    <w:rsid w:val="003B3DC6"/>
    <w:rsid w:val="003B51F2"/>
    <w:rsid w:val="003B5406"/>
    <w:rsid w:val="003B577A"/>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8F"/>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6FBE"/>
    <w:rsid w:val="003E12EE"/>
    <w:rsid w:val="003E2151"/>
    <w:rsid w:val="003E2317"/>
    <w:rsid w:val="003E3FAF"/>
    <w:rsid w:val="003E450D"/>
    <w:rsid w:val="003E4B2F"/>
    <w:rsid w:val="003E5902"/>
    <w:rsid w:val="003E59A4"/>
    <w:rsid w:val="003E606C"/>
    <w:rsid w:val="003E651C"/>
    <w:rsid w:val="003E6AD0"/>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070"/>
    <w:rsid w:val="00416294"/>
    <w:rsid w:val="004162C6"/>
    <w:rsid w:val="0041691B"/>
    <w:rsid w:val="00417910"/>
    <w:rsid w:val="00417BCF"/>
    <w:rsid w:val="004200AA"/>
    <w:rsid w:val="0042122F"/>
    <w:rsid w:val="00421658"/>
    <w:rsid w:val="00421D4A"/>
    <w:rsid w:val="004226E4"/>
    <w:rsid w:val="00423037"/>
    <w:rsid w:val="004233A7"/>
    <w:rsid w:val="004239C6"/>
    <w:rsid w:val="00424658"/>
    <w:rsid w:val="00425511"/>
    <w:rsid w:val="00426DA7"/>
    <w:rsid w:val="00427571"/>
    <w:rsid w:val="00427B69"/>
    <w:rsid w:val="00430C3B"/>
    <w:rsid w:val="00430DF6"/>
    <w:rsid w:val="0043109C"/>
    <w:rsid w:val="00431351"/>
    <w:rsid w:val="0043190C"/>
    <w:rsid w:val="00431BC1"/>
    <w:rsid w:val="004320D3"/>
    <w:rsid w:val="004323B9"/>
    <w:rsid w:val="0043242A"/>
    <w:rsid w:val="0043356D"/>
    <w:rsid w:val="00433F5F"/>
    <w:rsid w:val="004342E4"/>
    <w:rsid w:val="0043570B"/>
    <w:rsid w:val="00435C04"/>
    <w:rsid w:val="00435C70"/>
    <w:rsid w:val="00436016"/>
    <w:rsid w:val="00436DB5"/>
    <w:rsid w:val="00436E5B"/>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29ED"/>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D83"/>
    <w:rsid w:val="00467B1E"/>
    <w:rsid w:val="004705FE"/>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319"/>
    <w:rsid w:val="00495425"/>
    <w:rsid w:val="00495E53"/>
    <w:rsid w:val="00496B43"/>
    <w:rsid w:val="00496B5E"/>
    <w:rsid w:val="0049721F"/>
    <w:rsid w:val="00497ADA"/>
    <w:rsid w:val="00497FE7"/>
    <w:rsid w:val="004A1891"/>
    <w:rsid w:val="004A2FC2"/>
    <w:rsid w:val="004A3509"/>
    <w:rsid w:val="004A4D28"/>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7F8"/>
    <w:rsid w:val="004D2B62"/>
    <w:rsid w:val="004D2DE9"/>
    <w:rsid w:val="004D35C8"/>
    <w:rsid w:val="004D4D43"/>
    <w:rsid w:val="004D6031"/>
    <w:rsid w:val="004D6777"/>
    <w:rsid w:val="004D6A4B"/>
    <w:rsid w:val="004D6BD6"/>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746C"/>
    <w:rsid w:val="00500078"/>
    <w:rsid w:val="005005BD"/>
    <w:rsid w:val="00500C5B"/>
    <w:rsid w:val="00500CD4"/>
    <w:rsid w:val="00500F34"/>
    <w:rsid w:val="0050116B"/>
    <w:rsid w:val="00501264"/>
    <w:rsid w:val="005019D3"/>
    <w:rsid w:val="00501E0C"/>
    <w:rsid w:val="00502827"/>
    <w:rsid w:val="00502B35"/>
    <w:rsid w:val="00505148"/>
    <w:rsid w:val="00506100"/>
    <w:rsid w:val="0050647F"/>
    <w:rsid w:val="005072B0"/>
    <w:rsid w:val="005108D1"/>
    <w:rsid w:val="00510A6E"/>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2266"/>
    <w:rsid w:val="00532ABF"/>
    <w:rsid w:val="00532BBB"/>
    <w:rsid w:val="00532DA7"/>
    <w:rsid w:val="005339E8"/>
    <w:rsid w:val="0053437B"/>
    <w:rsid w:val="005347E9"/>
    <w:rsid w:val="0053527A"/>
    <w:rsid w:val="00535341"/>
    <w:rsid w:val="005356D6"/>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475"/>
    <w:rsid w:val="00546749"/>
    <w:rsid w:val="00547FE0"/>
    <w:rsid w:val="005500D9"/>
    <w:rsid w:val="00551367"/>
    <w:rsid w:val="00551705"/>
    <w:rsid w:val="00551EAB"/>
    <w:rsid w:val="005526AF"/>
    <w:rsid w:val="0055283C"/>
    <w:rsid w:val="00553066"/>
    <w:rsid w:val="0055378E"/>
    <w:rsid w:val="00553E7E"/>
    <w:rsid w:val="0055442E"/>
    <w:rsid w:val="0055452D"/>
    <w:rsid w:val="00554A35"/>
    <w:rsid w:val="00554A7E"/>
    <w:rsid w:val="00554B85"/>
    <w:rsid w:val="0055558B"/>
    <w:rsid w:val="00555986"/>
    <w:rsid w:val="0055611F"/>
    <w:rsid w:val="00556199"/>
    <w:rsid w:val="00556BD3"/>
    <w:rsid w:val="0055736D"/>
    <w:rsid w:val="0055770A"/>
    <w:rsid w:val="005579B8"/>
    <w:rsid w:val="00557CB6"/>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1BC7"/>
    <w:rsid w:val="00572128"/>
    <w:rsid w:val="00573A2D"/>
    <w:rsid w:val="00573BA8"/>
    <w:rsid w:val="00573F9E"/>
    <w:rsid w:val="0057497D"/>
    <w:rsid w:val="0057503E"/>
    <w:rsid w:val="00575BBE"/>
    <w:rsid w:val="005763B4"/>
    <w:rsid w:val="00576B12"/>
    <w:rsid w:val="00581501"/>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EC7"/>
    <w:rsid w:val="005B0F04"/>
    <w:rsid w:val="005B107E"/>
    <w:rsid w:val="005B297B"/>
    <w:rsid w:val="005B31F0"/>
    <w:rsid w:val="005B372B"/>
    <w:rsid w:val="005B387C"/>
    <w:rsid w:val="005B48E5"/>
    <w:rsid w:val="005B5E8D"/>
    <w:rsid w:val="005B6FFF"/>
    <w:rsid w:val="005B7493"/>
    <w:rsid w:val="005B7E3A"/>
    <w:rsid w:val="005C0183"/>
    <w:rsid w:val="005C0614"/>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C7A45"/>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1A5C"/>
    <w:rsid w:val="005E3B5E"/>
    <w:rsid w:val="005E439B"/>
    <w:rsid w:val="005E4C78"/>
    <w:rsid w:val="005E4D82"/>
    <w:rsid w:val="005E5DE0"/>
    <w:rsid w:val="005E706E"/>
    <w:rsid w:val="005E70EF"/>
    <w:rsid w:val="005F0406"/>
    <w:rsid w:val="005F089F"/>
    <w:rsid w:val="005F2463"/>
    <w:rsid w:val="005F3056"/>
    <w:rsid w:val="005F3F78"/>
    <w:rsid w:val="005F4658"/>
    <w:rsid w:val="005F48CC"/>
    <w:rsid w:val="005F52C6"/>
    <w:rsid w:val="005F53B5"/>
    <w:rsid w:val="005F584F"/>
    <w:rsid w:val="005F5E9D"/>
    <w:rsid w:val="005F761E"/>
    <w:rsid w:val="005F7C38"/>
    <w:rsid w:val="00600389"/>
    <w:rsid w:val="00600678"/>
    <w:rsid w:val="00601418"/>
    <w:rsid w:val="00602AEE"/>
    <w:rsid w:val="00602D6A"/>
    <w:rsid w:val="00602EF4"/>
    <w:rsid w:val="00603289"/>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5CB9"/>
    <w:rsid w:val="0061605E"/>
    <w:rsid w:val="0061645A"/>
    <w:rsid w:val="0061752B"/>
    <w:rsid w:val="0062012A"/>
    <w:rsid w:val="00620185"/>
    <w:rsid w:val="00620472"/>
    <w:rsid w:val="00620E40"/>
    <w:rsid w:val="00620E8B"/>
    <w:rsid w:val="00621BD0"/>
    <w:rsid w:val="00622DE2"/>
    <w:rsid w:val="00623C76"/>
    <w:rsid w:val="006244BB"/>
    <w:rsid w:val="00624548"/>
    <w:rsid w:val="00624A9A"/>
    <w:rsid w:val="006257CE"/>
    <w:rsid w:val="0062587C"/>
    <w:rsid w:val="006263D7"/>
    <w:rsid w:val="00626688"/>
    <w:rsid w:val="00626C99"/>
    <w:rsid w:val="0062725E"/>
    <w:rsid w:val="006272E0"/>
    <w:rsid w:val="00627361"/>
    <w:rsid w:val="006273AE"/>
    <w:rsid w:val="00627BCB"/>
    <w:rsid w:val="006301EB"/>
    <w:rsid w:val="0063063A"/>
    <w:rsid w:val="006307AC"/>
    <w:rsid w:val="00630FC8"/>
    <w:rsid w:val="0063120C"/>
    <w:rsid w:val="00631C23"/>
    <w:rsid w:val="00631D01"/>
    <w:rsid w:val="006325D8"/>
    <w:rsid w:val="00632973"/>
    <w:rsid w:val="00633357"/>
    <w:rsid w:val="0063466C"/>
    <w:rsid w:val="00634905"/>
    <w:rsid w:val="006352C4"/>
    <w:rsid w:val="006352E8"/>
    <w:rsid w:val="006353A7"/>
    <w:rsid w:val="00635A31"/>
    <w:rsid w:val="00635D8F"/>
    <w:rsid w:val="00635F6C"/>
    <w:rsid w:val="006362B0"/>
    <w:rsid w:val="006408AF"/>
    <w:rsid w:val="00640CE4"/>
    <w:rsid w:val="0064257F"/>
    <w:rsid w:val="00643249"/>
    <w:rsid w:val="00643573"/>
    <w:rsid w:val="00643D74"/>
    <w:rsid w:val="0064463E"/>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498C"/>
    <w:rsid w:val="00655039"/>
    <w:rsid w:val="00655FC5"/>
    <w:rsid w:val="006562FC"/>
    <w:rsid w:val="00656592"/>
    <w:rsid w:val="00656B16"/>
    <w:rsid w:val="006571B7"/>
    <w:rsid w:val="00657DCB"/>
    <w:rsid w:val="006608B5"/>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6CA"/>
    <w:rsid w:val="006A1A85"/>
    <w:rsid w:val="006A1CF0"/>
    <w:rsid w:val="006A2B52"/>
    <w:rsid w:val="006A2F66"/>
    <w:rsid w:val="006A33F3"/>
    <w:rsid w:val="006A3C64"/>
    <w:rsid w:val="006A4009"/>
    <w:rsid w:val="006A42EC"/>
    <w:rsid w:val="006A5294"/>
    <w:rsid w:val="006A59F4"/>
    <w:rsid w:val="006A5DAE"/>
    <w:rsid w:val="006A63D7"/>
    <w:rsid w:val="006A6F99"/>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74A"/>
    <w:rsid w:val="006C08B2"/>
    <w:rsid w:val="006C174D"/>
    <w:rsid w:val="006C177D"/>
    <w:rsid w:val="006C295D"/>
    <w:rsid w:val="006C2A69"/>
    <w:rsid w:val="006C2B58"/>
    <w:rsid w:val="006C3A1B"/>
    <w:rsid w:val="006C3DE2"/>
    <w:rsid w:val="006C465D"/>
    <w:rsid w:val="006C4BAA"/>
    <w:rsid w:val="006C568B"/>
    <w:rsid w:val="006C633E"/>
    <w:rsid w:val="006C73D7"/>
    <w:rsid w:val="006C7B24"/>
    <w:rsid w:val="006D022D"/>
    <w:rsid w:val="006D032B"/>
    <w:rsid w:val="006D0B36"/>
    <w:rsid w:val="006D12CB"/>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9C5"/>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5ABE"/>
    <w:rsid w:val="007171EA"/>
    <w:rsid w:val="007177A5"/>
    <w:rsid w:val="00717B8D"/>
    <w:rsid w:val="0072020C"/>
    <w:rsid w:val="007208A6"/>
    <w:rsid w:val="007223F4"/>
    <w:rsid w:val="007224CE"/>
    <w:rsid w:val="00722522"/>
    <w:rsid w:val="00722EE0"/>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37D74"/>
    <w:rsid w:val="007403BA"/>
    <w:rsid w:val="00740A66"/>
    <w:rsid w:val="00741B73"/>
    <w:rsid w:val="0074329C"/>
    <w:rsid w:val="00744A95"/>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4D3"/>
    <w:rsid w:val="00756F07"/>
    <w:rsid w:val="00757B92"/>
    <w:rsid w:val="00757E6D"/>
    <w:rsid w:val="0076025D"/>
    <w:rsid w:val="007606FA"/>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49E"/>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3EF6"/>
    <w:rsid w:val="0078519A"/>
    <w:rsid w:val="007854A8"/>
    <w:rsid w:val="007876AC"/>
    <w:rsid w:val="00790519"/>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0AFB"/>
    <w:rsid w:val="007A100E"/>
    <w:rsid w:val="007A19C9"/>
    <w:rsid w:val="007A1F1C"/>
    <w:rsid w:val="007A2978"/>
    <w:rsid w:val="007A34E3"/>
    <w:rsid w:val="007A4659"/>
    <w:rsid w:val="007A4DCC"/>
    <w:rsid w:val="007A52B3"/>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A45"/>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0DB"/>
    <w:rsid w:val="007D181A"/>
    <w:rsid w:val="007D1966"/>
    <w:rsid w:val="007D1AEF"/>
    <w:rsid w:val="007D2517"/>
    <w:rsid w:val="007D2714"/>
    <w:rsid w:val="007D3380"/>
    <w:rsid w:val="007D344A"/>
    <w:rsid w:val="007D402F"/>
    <w:rsid w:val="007D4770"/>
    <w:rsid w:val="007D516A"/>
    <w:rsid w:val="007D5647"/>
    <w:rsid w:val="007D5BA0"/>
    <w:rsid w:val="007D6208"/>
    <w:rsid w:val="007D77D8"/>
    <w:rsid w:val="007E0ACB"/>
    <w:rsid w:val="007E0CC6"/>
    <w:rsid w:val="007E1338"/>
    <w:rsid w:val="007E2720"/>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2F4"/>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21"/>
    <w:rsid w:val="00870095"/>
    <w:rsid w:val="008700FF"/>
    <w:rsid w:val="008701BA"/>
    <w:rsid w:val="008710C9"/>
    <w:rsid w:val="008714DC"/>
    <w:rsid w:val="008719E7"/>
    <w:rsid w:val="00871AE2"/>
    <w:rsid w:val="00872F81"/>
    <w:rsid w:val="0087388A"/>
    <w:rsid w:val="008741E0"/>
    <w:rsid w:val="008744A3"/>
    <w:rsid w:val="008753E9"/>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0F21"/>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168"/>
    <w:rsid w:val="008B15B4"/>
    <w:rsid w:val="008B1D08"/>
    <w:rsid w:val="008B2755"/>
    <w:rsid w:val="008B2AA7"/>
    <w:rsid w:val="008B2CEB"/>
    <w:rsid w:val="008B3916"/>
    <w:rsid w:val="008B4397"/>
    <w:rsid w:val="008B4B94"/>
    <w:rsid w:val="008B560F"/>
    <w:rsid w:val="008B5F9A"/>
    <w:rsid w:val="008B6C9E"/>
    <w:rsid w:val="008B6EDD"/>
    <w:rsid w:val="008B720F"/>
    <w:rsid w:val="008C0608"/>
    <w:rsid w:val="008C0C2B"/>
    <w:rsid w:val="008C1816"/>
    <w:rsid w:val="008C2C92"/>
    <w:rsid w:val="008C2FF8"/>
    <w:rsid w:val="008C3088"/>
    <w:rsid w:val="008C35F6"/>
    <w:rsid w:val="008C3BDD"/>
    <w:rsid w:val="008C3DFD"/>
    <w:rsid w:val="008C4052"/>
    <w:rsid w:val="008C725D"/>
    <w:rsid w:val="008D0E85"/>
    <w:rsid w:val="008D15D0"/>
    <w:rsid w:val="008D1962"/>
    <w:rsid w:val="008D2C42"/>
    <w:rsid w:val="008D38F6"/>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8D5"/>
    <w:rsid w:val="008F1656"/>
    <w:rsid w:val="008F186B"/>
    <w:rsid w:val="008F208B"/>
    <w:rsid w:val="008F22AF"/>
    <w:rsid w:val="008F3C03"/>
    <w:rsid w:val="008F3DA4"/>
    <w:rsid w:val="008F4487"/>
    <w:rsid w:val="008F575D"/>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0E93"/>
    <w:rsid w:val="009114A1"/>
    <w:rsid w:val="009115D6"/>
    <w:rsid w:val="009124DC"/>
    <w:rsid w:val="00912C18"/>
    <w:rsid w:val="00913B84"/>
    <w:rsid w:val="00913F3F"/>
    <w:rsid w:val="009141A3"/>
    <w:rsid w:val="009144B6"/>
    <w:rsid w:val="009150E5"/>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16F6"/>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EBD"/>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6E3"/>
    <w:rsid w:val="00987D07"/>
    <w:rsid w:val="00991DD4"/>
    <w:rsid w:val="00992120"/>
    <w:rsid w:val="00992534"/>
    <w:rsid w:val="0099402E"/>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21A"/>
    <w:rsid w:val="009B434E"/>
    <w:rsid w:val="009B47EB"/>
    <w:rsid w:val="009B4A6A"/>
    <w:rsid w:val="009B4C0C"/>
    <w:rsid w:val="009B6439"/>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EA3"/>
    <w:rsid w:val="009D2F88"/>
    <w:rsid w:val="009D3013"/>
    <w:rsid w:val="009D367F"/>
    <w:rsid w:val="009D3830"/>
    <w:rsid w:val="009D3F77"/>
    <w:rsid w:val="009D3FB6"/>
    <w:rsid w:val="009D4F59"/>
    <w:rsid w:val="009D57D2"/>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0B2E"/>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81B"/>
    <w:rsid w:val="00A0765A"/>
    <w:rsid w:val="00A0794D"/>
    <w:rsid w:val="00A079A7"/>
    <w:rsid w:val="00A10280"/>
    <w:rsid w:val="00A114EE"/>
    <w:rsid w:val="00A12176"/>
    <w:rsid w:val="00A13300"/>
    <w:rsid w:val="00A13BC3"/>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3345"/>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4A4"/>
    <w:rsid w:val="00A43956"/>
    <w:rsid w:val="00A446E2"/>
    <w:rsid w:val="00A44757"/>
    <w:rsid w:val="00A44CC0"/>
    <w:rsid w:val="00A44D8C"/>
    <w:rsid w:val="00A45145"/>
    <w:rsid w:val="00A45174"/>
    <w:rsid w:val="00A45C68"/>
    <w:rsid w:val="00A45E13"/>
    <w:rsid w:val="00A46969"/>
    <w:rsid w:val="00A47403"/>
    <w:rsid w:val="00A47BFD"/>
    <w:rsid w:val="00A50530"/>
    <w:rsid w:val="00A5145A"/>
    <w:rsid w:val="00A5175F"/>
    <w:rsid w:val="00A51838"/>
    <w:rsid w:val="00A51C49"/>
    <w:rsid w:val="00A5282D"/>
    <w:rsid w:val="00A52FB2"/>
    <w:rsid w:val="00A53269"/>
    <w:rsid w:val="00A541F8"/>
    <w:rsid w:val="00A543C5"/>
    <w:rsid w:val="00A55BA0"/>
    <w:rsid w:val="00A56037"/>
    <w:rsid w:val="00A5626B"/>
    <w:rsid w:val="00A56348"/>
    <w:rsid w:val="00A5643F"/>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BD"/>
    <w:rsid w:val="00A76038"/>
    <w:rsid w:val="00A76730"/>
    <w:rsid w:val="00A768BD"/>
    <w:rsid w:val="00A76A85"/>
    <w:rsid w:val="00A77957"/>
    <w:rsid w:val="00A8084C"/>
    <w:rsid w:val="00A81E83"/>
    <w:rsid w:val="00A83600"/>
    <w:rsid w:val="00A83A52"/>
    <w:rsid w:val="00A84DF7"/>
    <w:rsid w:val="00A8592B"/>
    <w:rsid w:val="00A86016"/>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0427"/>
    <w:rsid w:val="00AA0B4F"/>
    <w:rsid w:val="00AA1732"/>
    <w:rsid w:val="00AA1833"/>
    <w:rsid w:val="00AA19FE"/>
    <w:rsid w:val="00AA1E8E"/>
    <w:rsid w:val="00AA1F6D"/>
    <w:rsid w:val="00AA31F2"/>
    <w:rsid w:val="00AA3E39"/>
    <w:rsid w:val="00AA502B"/>
    <w:rsid w:val="00AA69C5"/>
    <w:rsid w:val="00AA715A"/>
    <w:rsid w:val="00AA7C62"/>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0B1C"/>
    <w:rsid w:val="00AD19DE"/>
    <w:rsid w:val="00AD1F35"/>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E7BC2"/>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526"/>
    <w:rsid w:val="00AF68D4"/>
    <w:rsid w:val="00AF714C"/>
    <w:rsid w:val="00AF7323"/>
    <w:rsid w:val="00B0036E"/>
    <w:rsid w:val="00B003D1"/>
    <w:rsid w:val="00B0058B"/>
    <w:rsid w:val="00B00B92"/>
    <w:rsid w:val="00B00C72"/>
    <w:rsid w:val="00B017B7"/>
    <w:rsid w:val="00B019E9"/>
    <w:rsid w:val="00B01A3F"/>
    <w:rsid w:val="00B01D7E"/>
    <w:rsid w:val="00B02ADE"/>
    <w:rsid w:val="00B04741"/>
    <w:rsid w:val="00B04B55"/>
    <w:rsid w:val="00B04B81"/>
    <w:rsid w:val="00B04C01"/>
    <w:rsid w:val="00B057E6"/>
    <w:rsid w:val="00B05BA5"/>
    <w:rsid w:val="00B05E38"/>
    <w:rsid w:val="00B06414"/>
    <w:rsid w:val="00B0650B"/>
    <w:rsid w:val="00B0658B"/>
    <w:rsid w:val="00B06AAC"/>
    <w:rsid w:val="00B06FB2"/>
    <w:rsid w:val="00B07E07"/>
    <w:rsid w:val="00B10635"/>
    <w:rsid w:val="00B10A0D"/>
    <w:rsid w:val="00B10F79"/>
    <w:rsid w:val="00B1148B"/>
    <w:rsid w:val="00B116F5"/>
    <w:rsid w:val="00B11997"/>
    <w:rsid w:val="00B1205D"/>
    <w:rsid w:val="00B12557"/>
    <w:rsid w:val="00B12996"/>
    <w:rsid w:val="00B13D5F"/>
    <w:rsid w:val="00B147AB"/>
    <w:rsid w:val="00B14C46"/>
    <w:rsid w:val="00B14DEC"/>
    <w:rsid w:val="00B1513C"/>
    <w:rsid w:val="00B16FF7"/>
    <w:rsid w:val="00B1779F"/>
    <w:rsid w:val="00B17EFB"/>
    <w:rsid w:val="00B17FFA"/>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A63"/>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677F"/>
    <w:rsid w:val="00B47724"/>
    <w:rsid w:val="00B47893"/>
    <w:rsid w:val="00B47F06"/>
    <w:rsid w:val="00B50A5B"/>
    <w:rsid w:val="00B5223A"/>
    <w:rsid w:val="00B52890"/>
    <w:rsid w:val="00B52F10"/>
    <w:rsid w:val="00B53674"/>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18F6"/>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BEE"/>
    <w:rsid w:val="00B85D3C"/>
    <w:rsid w:val="00B86DF9"/>
    <w:rsid w:val="00B871D7"/>
    <w:rsid w:val="00B8786B"/>
    <w:rsid w:val="00B87B49"/>
    <w:rsid w:val="00B87CA3"/>
    <w:rsid w:val="00B902F6"/>
    <w:rsid w:val="00B909F2"/>
    <w:rsid w:val="00B90F38"/>
    <w:rsid w:val="00B91AB4"/>
    <w:rsid w:val="00B92910"/>
    <w:rsid w:val="00B934F7"/>
    <w:rsid w:val="00B938A6"/>
    <w:rsid w:val="00B939A4"/>
    <w:rsid w:val="00B93C97"/>
    <w:rsid w:val="00B947E4"/>
    <w:rsid w:val="00B954E3"/>
    <w:rsid w:val="00B95B9A"/>
    <w:rsid w:val="00B9607F"/>
    <w:rsid w:val="00B9674D"/>
    <w:rsid w:val="00B96A49"/>
    <w:rsid w:val="00B97270"/>
    <w:rsid w:val="00B97D66"/>
    <w:rsid w:val="00B97EB5"/>
    <w:rsid w:val="00BA049C"/>
    <w:rsid w:val="00BA0591"/>
    <w:rsid w:val="00BA0666"/>
    <w:rsid w:val="00BA0707"/>
    <w:rsid w:val="00BA1490"/>
    <w:rsid w:val="00BA1F88"/>
    <w:rsid w:val="00BA23E1"/>
    <w:rsid w:val="00BA2600"/>
    <w:rsid w:val="00BA29A7"/>
    <w:rsid w:val="00BA3004"/>
    <w:rsid w:val="00BA32A7"/>
    <w:rsid w:val="00BA3C13"/>
    <w:rsid w:val="00BA4512"/>
    <w:rsid w:val="00BA4C27"/>
    <w:rsid w:val="00BA672B"/>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173"/>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C7416"/>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7645"/>
    <w:rsid w:val="00BE7A36"/>
    <w:rsid w:val="00BE7AC3"/>
    <w:rsid w:val="00BE7C01"/>
    <w:rsid w:val="00BF0FC3"/>
    <w:rsid w:val="00BF183D"/>
    <w:rsid w:val="00BF1889"/>
    <w:rsid w:val="00BF3086"/>
    <w:rsid w:val="00BF3612"/>
    <w:rsid w:val="00BF4B1C"/>
    <w:rsid w:val="00BF5C56"/>
    <w:rsid w:val="00BF63BF"/>
    <w:rsid w:val="00BF6761"/>
    <w:rsid w:val="00BF6BE2"/>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269D"/>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69D6"/>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359"/>
    <w:rsid w:val="00C45E6D"/>
    <w:rsid w:val="00C46051"/>
    <w:rsid w:val="00C46089"/>
    <w:rsid w:val="00C465B7"/>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98B"/>
    <w:rsid w:val="00C6316E"/>
    <w:rsid w:val="00C632F6"/>
    <w:rsid w:val="00C6358E"/>
    <w:rsid w:val="00C64501"/>
    <w:rsid w:val="00C646B3"/>
    <w:rsid w:val="00C64D48"/>
    <w:rsid w:val="00C65612"/>
    <w:rsid w:val="00C65D66"/>
    <w:rsid w:val="00C703E5"/>
    <w:rsid w:val="00C71A7F"/>
    <w:rsid w:val="00C726E3"/>
    <w:rsid w:val="00C730A6"/>
    <w:rsid w:val="00C737B6"/>
    <w:rsid w:val="00C744BC"/>
    <w:rsid w:val="00C7634A"/>
    <w:rsid w:val="00C7675B"/>
    <w:rsid w:val="00C76773"/>
    <w:rsid w:val="00C77745"/>
    <w:rsid w:val="00C778DB"/>
    <w:rsid w:val="00C77A88"/>
    <w:rsid w:val="00C80194"/>
    <w:rsid w:val="00C801C3"/>
    <w:rsid w:val="00C805A4"/>
    <w:rsid w:val="00C80AB8"/>
    <w:rsid w:val="00C81507"/>
    <w:rsid w:val="00C82136"/>
    <w:rsid w:val="00C831EC"/>
    <w:rsid w:val="00C834BB"/>
    <w:rsid w:val="00C83670"/>
    <w:rsid w:val="00C845CA"/>
    <w:rsid w:val="00C8471C"/>
    <w:rsid w:val="00C85BA5"/>
    <w:rsid w:val="00C85BE8"/>
    <w:rsid w:val="00C85F7C"/>
    <w:rsid w:val="00C8706B"/>
    <w:rsid w:val="00C870E0"/>
    <w:rsid w:val="00C8780F"/>
    <w:rsid w:val="00C9008A"/>
    <w:rsid w:val="00C90149"/>
    <w:rsid w:val="00C90612"/>
    <w:rsid w:val="00C9153C"/>
    <w:rsid w:val="00C917F4"/>
    <w:rsid w:val="00C91853"/>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15C4"/>
    <w:rsid w:val="00CA2C96"/>
    <w:rsid w:val="00CA2F5A"/>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4B6"/>
    <w:rsid w:val="00CD16CF"/>
    <w:rsid w:val="00CD2437"/>
    <w:rsid w:val="00CD27D4"/>
    <w:rsid w:val="00CD37F8"/>
    <w:rsid w:val="00CD4F9A"/>
    <w:rsid w:val="00CD6B77"/>
    <w:rsid w:val="00CD6BE6"/>
    <w:rsid w:val="00CD6ECF"/>
    <w:rsid w:val="00CD7EA6"/>
    <w:rsid w:val="00CE0167"/>
    <w:rsid w:val="00CE0756"/>
    <w:rsid w:val="00CE0C60"/>
    <w:rsid w:val="00CE14D6"/>
    <w:rsid w:val="00CE1716"/>
    <w:rsid w:val="00CE2718"/>
    <w:rsid w:val="00CE2BD2"/>
    <w:rsid w:val="00CE2CE0"/>
    <w:rsid w:val="00CE334A"/>
    <w:rsid w:val="00CE3768"/>
    <w:rsid w:val="00CE377C"/>
    <w:rsid w:val="00CE3B7D"/>
    <w:rsid w:val="00CE44E3"/>
    <w:rsid w:val="00CE49CC"/>
    <w:rsid w:val="00CE4A39"/>
    <w:rsid w:val="00CE4F65"/>
    <w:rsid w:val="00CE54BA"/>
    <w:rsid w:val="00CE5AB1"/>
    <w:rsid w:val="00CE63B4"/>
    <w:rsid w:val="00CE6613"/>
    <w:rsid w:val="00CE68D4"/>
    <w:rsid w:val="00CE7FAD"/>
    <w:rsid w:val="00CE7FC5"/>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4156"/>
    <w:rsid w:val="00D06270"/>
    <w:rsid w:val="00D06A55"/>
    <w:rsid w:val="00D07248"/>
    <w:rsid w:val="00D07BCE"/>
    <w:rsid w:val="00D10927"/>
    <w:rsid w:val="00D10A8A"/>
    <w:rsid w:val="00D11241"/>
    <w:rsid w:val="00D112A6"/>
    <w:rsid w:val="00D125D2"/>
    <w:rsid w:val="00D12DB0"/>
    <w:rsid w:val="00D13AFD"/>
    <w:rsid w:val="00D13FD5"/>
    <w:rsid w:val="00D14532"/>
    <w:rsid w:val="00D15A8B"/>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2BBD"/>
    <w:rsid w:val="00D54384"/>
    <w:rsid w:val="00D543E9"/>
    <w:rsid w:val="00D54BE1"/>
    <w:rsid w:val="00D55040"/>
    <w:rsid w:val="00D568ED"/>
    <w:rsid w:val="00D572D6"/>
    <w:rsid w:val="00D578B9"/>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706"/>
    <w:rsid w:val="00D82FA6"/>
    <w:rsid w:val="00D8428A"/>
    <w:rsid w:val="00D849C1"/>
    <w:rsid w:val="00D84F2C"/>
    <w:rsid w:val="00D855EF"/>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69B3"/>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4E6"/>
    <w:rsid w:val="00DD367D"/>
    <w:rsid w:val="00DD39C7"/>
    <w:rsid w:val="00DD4360"/>
    <w:rsid w:val="00DD4C58"/>
    <w:rsid w:val="00DD6311"/>
    <w:rsid w:val="00DD643B"/>
    <w:rsid w:val="00DD7650"/>
    <w:rsid w:val="00DD7A56"/>
    <w:rsid w:val="00DD7F8E"/>
    <w:rsid w:val="00DE03DB"/>
    <w:rsid w:val="00DE051B"/>
    <w:rsid w:val="00DE0D10"/>
    <w:rsid w:val="00DE0DD8"/>
    <w:rsid w:val="00DE10A5"/>
    <w:rsid w:val="00DE1733"/>
    <w:rsid w:val="00DE1AF7"/>
    <w:rsid w:val="00DE2254"/>
    <w:rsid w:val="00DE28FE"/>
    <w:rsid w:val="00DE2906"/>
    <w:rsid w:val="00DE34FD"/>
    <w:rsid w:val="00DE3D4F"/>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EAD"/>
    <w:rsid w:val="00E22E94"/>
    <w:rsid w:val="00E23D7B"/>
    <w:rsid w:val="00E23D9C"/>
    <w:rsid w:val="00E23E08"/>
    <w:rsid w:val="00E24267"/>
    <w:rsid w:val="00E24B4A"/>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47ECF"/>
    <w:rsid w:val="00E5029B"/>
    <w:rsid w:val="00E50460"/>
    <w:rsid w:val="00E508C1"/>
    <w:rsid w:val="00E527E4"/>
    <w:rsid w:val="00E52A26"/>
    <w:rsid w:val="00E52E72"/>
    <w:rsid w:val="00E534E4"/>
    <w:rsid w:val="00E53C35"/>
    <w:rsid w:val="00E53EFA"/>
    <w:rsid w:val="00E544B3"/>
    <w:rsid w:val="00E54987"/>
    <w:rsid w:val="00E54B9D"/>
    <w:rsid w:val="00E55393"/>
    <w:rsid w:val="00E55475"/>
    <w:rsid w:val="00E564C0"/>
    <w:rsid w:val="00E56D21"/>
    <w:rsid w:val="00E579CD"/>
    <w:rsid w:val="00E61255"/>
    <w:rsid w:val="00E6206A"/>
    <w:rsid w:val="00E62BC4"/>
    <w:rsid w:val="00E63984"/>
    <w:rsid w:val="00E64551"/>
    <w:rsid w:val="00E646F9"/>
    <w:rsid w:val="00E64830"/>
    <w:rsid w:val="00E649A1"/>
    <w:rsid w:val="00E64CCC"/>
    <w:rsid w:val="00E65F5F"/>
    <w:rsid w:val="00E66087"/>
    <w:rsid w:val="00E67091"/>
    <w:rsid w:val="00E678FB"/>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1A7"/>
    <w:rsid w:val="00E74270"/>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7DA"/>
    <w:rsid w:val="00E90B6F"/>
    <w:rsid w:val="00E917F5"/>
    <w:rsid w:val="00E92222"/>
    <w:rsid w:val="00E9231A"/>
    <w:rsid w:val="00E92A4A"/>
    <w:rsid w:val="00E9315D"/>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0F1B"/>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3AC"/>
    <w:rsid w:val="00EC05F0"/>
    <w:rsid w:val="00EC16BB"/>
    <w:rsid w:val="00EC1C09"/>
    <w:rsid w:val="00EC1F23"/>
    <w:rsid w:val="00EC2258"/>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3E"/>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3D1"/>
    <w:rsid w:val="00EF762C"/>
    <w:rsid w:val="00EF7CDD"/>
    <w:rsid w:val="00EF7D7B"/>
    <w:rsid w:val="00EF7EF4"/>
    <w:rsid w:val="00F00213"/>
    <w:rsid w:val="00F003C2"/>
    <w:rsid w:val="00F0242E"/>
    <w:rsid w:val="00F02E9F"/>
    <w:rsid w:val="00F039AC"/>
    <w:rsid w:val="00F043EA"/>
    <w:rsid w:val="00F05845"/>
    <w:rsid w:val="00F0652C"/>
    <w:rsid w:val="00F06EC5"/>
    <w:rsid w:val="00F07323"/>
    <w:rsid w:val="00F079FA"/>
    <w:rsid w:val="00F07ACA"/>
    <w:rsid w:val="00F07AD2"/>
    <w:rsid w:val="00F10704"/>
    <w:rsid w:val="00F10B26"/>
    <w:rsid w:val="00F11BEC"/>
    <w:rsid w:val="00F1314F"/>
    <w:rsid w:val="00F135DC"/>
    <w:rsid w:val="00F14B59"/>
    <w:rsid w:val="00F15585"/>
    <w:rsid w:val="00F17536"/>
    <w:rsid w:val="00F20EA0"/>
    <w:rsid w:val="00F21F1B"/>
    <w:rsid w:val="00F227E2"/>
    <w:rsid w:val="00F22928"/>
    <w:rsid w:val="00F23A1B"/>
    <w:rsid w:val="00F23F9B"/>
    <w:rsid w:val="00F249BF"/>
    <w:rsid w:val="00F254E2"/>
    <w:rsid w:val="00F25A10"/>
    <w:rsid w:val="00F26A30"/>
    <w:rsid w:val="00F26AF3"/>
    <w:rsid w:val="00F27B29"/>
    <w:rsid w:val="00F30075"/>
    <w:rsid w:val="00F30F9F"/>
    <w:rsid w:val="00F31A04"/>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35F1"/>
    <w:rsid w:val="00F440FF"/>
    <w:rsid w:val="00F445DF"/>
    <w:rsid w:val="00F44961"/>
    <w:rsid w:val="00F4544C"/>
    <w:rsid w:val="00F4563D"/>
    <w:rsid w:val="00F463AB"/>
    <w:rsid w:val="00F46A5E"/>
    <w:rsid w:val="00F4773C"/>
    <w:rsid w:val="00F4796F"/>
    <w:rsid w:val="00F5030D"/>
    <w:rsid w:val="00F50AE8"/>
    <w:rsid w:val="00F51051"/>
    <w:rsid w:val="00F51352"/>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07F7"/>
    <w:rsid w:val="00F71C84"/>
    <w:rsid w:val="00F73587"/>
    <w:rsid w:val="00F73784"/>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5AF"/>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33C"/>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7D"/>
    <w:rsid w:val="00FB3DC2"/>
    <w:rsid w:val="00FB45A4"/>
    <w:rsid w:val="00FB5496"/>
    <w:rsid w:val="00FB55EF"/>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C4F"/>
    <w:rsid w:val="00FD4E7E"/>
    <w:rsid w:val="00FD50C7"/>
    <w:rsid w:val="00FD57CC"/>
    <w:rsid w:val="00FD5B3D"/>
    <w:rsid w:val="00FD5D32"/>
    <w:rsid w:val="00FD5E20"/>
    <w:rsid w:val="00FD5FBA"/>
    <w:rsid w:val="00FD7344"/>
    <w:rsid w:val="00FD7426"/>
    <w:rsid w:val="00FD79B0"/>
    <w:rsid w:val="00FE0EAB"/>
    <w:rsid w:val="00FE1A01"/>
    <w:rsid w:val="00FE20C3"/>
    <w:rsid w:val="00FE2419"/>
    <w:rsid w:val="00FE2B0B"/>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3D4D"/>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72B"/>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9F0B2E"/>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72B"/>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9F0B2E"/>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www.microsoft.com/online/faq.aspx" TargetMode="External"/><Relationship Id="rId39" Type="http://schemas.openxmlformats.org/officeDocument/2006/relationships/hyperlink" Target="https://www.microsoft.com/licensing/servicecenter/default.aspx" TargetMode="External"/><Relationship Id="rId21" Type="http://schemas.openxmlformats.org/officeDocument/2006/relationships/image" Target="media/image6.png"/><Relationship Id="rId34" Type="http://schemas.openxmlformats.org/officeDocument/2006/relationships/hyperlink" Target="http://www.microsoft.com/licensing"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hyperlink" Target="http://www.microsoft.com/en-us/dynamics/erp-explore-ax-capabilities.aspx"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5.png"/><Relationship Id="rId29" Type="http://schemas.openxmlformats.org/officeDocument/2006/relationships/hyperlink" Target="http://www.microsoft.com/resources/sharedsource/Licensing/Enterprise.mspx" TargetMode="External"/><Relationship Id="rId41" Type="http://schemas.openxmlformats.org/officeDocument/2006/relationships/hyperlink" Target="http://www.microsoft.com/licensing/resources/vol/volumelicensekey/default.mspx" TargetMode="External"/><Relationship Id="rId54" Type="http://schemas.openxmlformats.org/officeDocument/2006/relationships/hyperlink" Target="https://www.microsoft.com/licensing/servicecenter"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footer" Target="footer4.xml"/><Relationship Id="rId32" Type="http://schemas.openxmlformats.org/officeDocument/2006/relationships/hyperlink" Target="http://support.microsoft.com/lifecycle" TargetMode="External"/><Relationship Id="rId37" Type="http://schemas.openxmlformats.org/officeDocument/2006/relationships/hyperlink" Target="http://www.windowsazure.com/en-us/support/plans/" TargetMode="External"/><Relationship Id="rId40" Type="http://schemas.openxmlformats.org/officeDocument/2006/relationships/hyperlink" Target="http://www.microsoft.com/licensing/resources/vol/numbers.mspx"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s://www.microsoft.com/licensing/servicecenter" TargetMode="External"/><Relationship Id="rId58" Type="http://schemas.openxmlformats.org/officeDocument/2006/relationships/hyperlink" Target="https://www.certiport.com/PORTAL/desktopdefault.aspx?tabid=682&amp;roleid=101"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eader" Target="header3.xml"/><Relationship Id="rId28" Type="http://schemas.openxmlformats.org/officeDocument/2006/relationships/hyperlink" Target="http://www.microsoft.com/spd" TargetMode="External"/><Relationship Id="rId36" Type="http://schemas.openxmlformats.org/officeDocument/2006/relationships/hyperlink" Target="http://www.windowsazure.com" TargetMode="External"/><Relationship Id="rId49" Type="http://schemas.openxmlformats.org/officeDocument/2006/relationships/hyperlink" Target="mailto:bmesupp@microsoft.com" TargetMode="External"/><Relationship Id="rId57" Type="http://schemas.openxmlformats.org/officeDocument/2006/relationships/hyperlink" Target="http://www.microsoft.com/en-us/dynamics/erp-buy-ax-software.aspx" TargetMode="External"/><Relationship Id="rId61" Type="http://schemas.openxmlformats.org/officeDocument/2006/relationships/fontTable" Target="fontTable.xml"/><Relationship Id="rId10" Type="http://schemas.microsoft.com/office/2007/relationships/stylesWithEffects" Target="stylesWithEffects.xml"/><Relationship Id="rId19" Type="http://schemas.openxmlformats.org/officeDocument/2006/relationships/image" Target="media/image4.png"/><Relationship Id="rId31" Type="http://schemas.openxmlformats.org/officeDocument/2006/relationships/hyperlink" Target="http://support.microsoft.com/common/international.aspx?rdpath=dm;en-us;lifecycle" TargetMode="External"/><Relationship Id="rId44" Type="http://schemas.openxmlformats.org/officeDocument/2006/relationships/hyperlink" Target="http://www.vexcel.com/geospatial/bingmapsserver/index.asp" TargetMode="External"/><Relationship Id="rId52" Type="http://schemas.openxmlformats.org/officeDocument/2006/relationships/hyperlink" Target="http://www.microsoft.com/sqlserver/en/us/get-sql-server/how-to-buy.aspx" TargetMode="External"/><Relationship Id="rId60" Type="http://schemas.openxmlformats.org/officeDocument/2006/relationships/hyperlink" Target="http://www.vexcel.com/geospatial/bingmapsserver/index.asp"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footer" Target="footer3.xml"/><Relationship Id="rId27" Type="http://schemas.openxmlformats.org/officeDocument/2006/relationships/hyperlink" Target="http://www.microsoft.com/licensing"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en-us/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licensing/contracts" TargetMode="External"/><Relationship Id="rId56" Type="http://schemas.openxmlformats.org/officeDocument/2006/relationships/hyperlink" Target="http://www.microsoft.com" TargetMode="Externa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licensing" TargetMode="External"/><Relationship Id="rId33" Type="http://schemas.openxmlformats.org/officeDocument/2006/relationships/hyperlink" Target="http://www.microsoft.com/technet/subscription" TargetMode="External"/><Relationship Id="rId38" Type="http://schemas.openxmlformats.org/officeDocument/2006/relationships/hyperlink" Target="http://www.microsoft.com/products/exporting/basics.htm" TargetMode="External"/><Relationship Id="rId46" Type="http://schemas.openxmlformats.org/officeDocument/2006/relationships/hyperlink" Target="http://www.microsoft.com/en-us/windows/windowsintune/faq/default.aspx" TargetMode="External"/><Relationship Id="rId59" Type="http://schemas.openxmlformats.org/officeDocument/2006/relationships/hyperlink" Target="https://www.certiport.com/PORTAL/desktopdefault.aspx?tabid=682&amp;roleid=101"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43B9BB3-E854-47EE-8807-705FD12DF0EE}">
  <ds:schemaRefs>
    <ds:schemaRef ds:uri="http://schemas.openxmlformats.org/officeDocument/2006/bibliography"/>
  </ds:schemaRefs>
</ds:datastoreItem>
</file>

<file path=customXml/itemProps5.xml><?xml version="1.0" encoding="utf-8"?>
<ds:datastoreItem xmlns:ds="http://schemas.openxmlformats.org/officeDocument/2006/customXml" ds:itemID="{0EB1B4F7-C86E-4CFD-B53D-092DEFB9BB31}">
  <ds:schemaRefs>
    <ds:schemaRef ds:uri="http://schemas.openxmlformats.org/officeDocument/2006/bibliography"/>
  </ds:schemaRefs>
</ds:datastoreItem>
</file>

<file path=customXml/itemProps6.xml><?xml version="1.0" encoding="utf-8"?>
<ds:datastoreItem xmlns:ds="http://schemas.openxmlformats.org/officeDocument/2006/customXml" ds:itemID="{3FAAEE51-FC48-4CA3-9295-53B047DED441}">
  <ds:schemaRefs>
    <ds:schemaRef ds:uri="http://schemas.openxmlformats.org/officeDocument/2006/bibliography"/>
  </ds:schemaRefs>
</ds:datastoreItem>
</file>

<file path=customXml/itemProps7.xml><?xml version="1.0" encoding="utf-8"?>
<ds:datastoreItem xmlns:ds="http://schemas.openxmlformats.org/officeDocument/2006/customXml" ds:itemID="{6D15033F-6A5B-43A9-872B-A2C084E8F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141</Pages>
  <Words>96728</Words>
  <Characters>551354</Characters>
  <Application>Microsoft Office Word</Application>
  <DocSecurity>8</DocSecurity>
  <Lines>4594</Lines>
  <Paragraphs>1293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646789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2013-03-20T21:57:00Z</cp:lastPrinted>
  <dcterms:created xsi:type="dcterms:W3CDTF">2013-03-29T03:45:00Z</dcterms:created>
  <dcterms:modified xsi:type="dcterms:W3CDTF">2013-03-29T03:45:00Z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